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p>
      <w:pPr>
        <w:pStyle w:val="TextBody"/>
        <w:bidi w:val="0"/>
        <w:spacing w:lineRule="auto" w:line="288" w:before="40" w:after="283"/>
        <w:jc w:val="center"/>
        <w:rPr>
          <w:color w:val="000000"/>
        </w:rPr>
      </w:pPr>
      <w:r>
        <w:rPr>
          <w:color w:val="000000"/>
        </w:rPr>
        <w:t> </w:t>
      </w:r>
    </w:p>
    <w:p>
      <w:pPr>
        <w:pStyle w:val="TextBody"/>
        <w:bidi w:val="0"/>
        <w:spacing w:lineRule="auto" w:line="288"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4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2024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001-35410</w:t>
      </w:r>
    </w:p>
    <w:p>
      <w:pPr>
        <w:pStyle w:val="TextBody"/>
        <w:bidi w:val="0"/>
        <w:spacing w:before="0" w:after="0"/>
        <w:jc w:val="left"/>
        <w:rPr/>
      </w:pPr>
      <w:r>
        <w:rPr/>
      </w:r>
    </w:p>
    <w:p>
      <w:pPr>
        <w:pStyle w:val="TextBody"/>
        <w:bidi w:val="0"/>
        <w:spacing w:lineRule="auto" w:line="288" w:before="40" w:after="283"/>
        <w:jc w:val="center"/>
        <w:rPr>
          <w:rFonts w:ascii="Times New Roman;sans-serif" w:hAnsi="Times New Roman;sans-serif"/>
          <w:b/>
          <w:color w:val="000000"/>
          <w:sz w:val="48"/>
        </w:rPr>
      </w:pPr>
      <w:r>
        <w:rPr>
          <w:rFonts w:ascii="Times New Roman;sans-serif" w:hAnsi="Times New Roman;sans-serif"/>
          <w:b/>
          <w:color w:val="000000"/>
          <w:sz w:val="48"/>
        </w:rPr>
        <w:t xml:space="preserve">Matador Resources Company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r>
    </w:p>
    <w:tbl>
      <w:tblPr>
        <w:tblW w:w="5057" w:type="dxa"/>
        <w:jc w:val="center"/>
        <w:tblInd w:w="0" w:type="dxa"/>
        <w:tblLayout w:type="fixed"/>
        <w:tblCellMar>
          <w:top w:w="28" w:type="dxa"/>
          <w:left w:w="28" w:type="dxa"/>
          <w:bottom w:w="28" w:type="dxa"/>
          <w:right w:w="28" w:type="dxa"/>
        </w:tblCellMar>
      </w:tblPr>
      <w:tblGrid>
        <w:gridCol w:w="124"/>
        <w:gridCol w:w="109"/>
        <w:gridCol w:w="109"/>
        <w:gridCol w:w="296"/>
        <w:gridCol w:w="296"/>
        <w:gridCol w:w="296"/>
        <w:gridCol w:w="296"/>
        <w:gridCol w:w="296"/>
        <w:gridCol w:w="296"/>
        <w:gridCol w:w="372"/>
        <w:gridCol w:w="372"/>
        <w:gridCol w:w="384"/>
        <w:gridCol w:w="109"/>
        <w:gridCol w:w="109"/>
        <w:gridCol w:w="109"/>
        <w:gridCol w:w="433"/>
        <w:gridCol w:w="433"/>
        <w:gridCol w:w="6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27-4662601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5400 LBJ Freeway, </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Suite 1500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75240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Dallas, </w:t>
            </w:r>
          </w:p>
        </w:tc>
        <w:tc>
          <w:tcPr>
            <w:tcW w:w="20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(972) 371-5200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rFonts w:ascii="Times New Roman;sans-serif" w:hAnsi="Times New Roman;sans-serif"/>
          <w:b w:val="false"/>
          <w:color w:val="000000"/>
          <w:sz w:val="18"/>
        </w:rPr>
        <w:t>_________________________________________________________</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bidi w:val="0"/>
        <w:spacing w:lineRule="auto" w:line="288" w:before="40" w:after="283"/>
        <w:jc w:val="center"/>
        <w:rPr>
          <w:color w:val="000000"/>
        </w:rPr>
      </w:pPr>
      <w:r>
        <w:rPr>
          <w:color w:val="000000"/>
        </w:rPr>
        <w:t> </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p>
      <w:pPr>
        <w:pStyle w:val="TextBody"/>
        <w:bidi w:val="0"/>
        <w:spacing w:lineRule="auto" w:line="288" w:before="0" w:after="0"/>
        <w:jc w:val="left"/>
        <w:rPr/>
      </w:pP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w:t>
      </w:r>
    </w:p>
    <w:p>
      <w:pPr>
        <w:pStyle w:val="TextBody"/>
        <w:bidi w:val="0"/>
        <w:spacing w:lineRule="auto" w:line="288" w:before="0" w:after="0"/>
        <w:jc w:val="left"/>
        <w:rPr/>
      </w:pP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40" w:after="283"/>
        <w:jc w:val="left"/>
        <w:rPr/>
      </w:pPr>
      <w:r>
        <w:rPr/>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40" w:after="283"/>
        <w:jc w:val="left"/>
        <w:rPr/>
      </w:pPr>
      <w:r>
        <w:rPr/>
      </w:r>
    </w:p>
    <w:p>
      <w:pPr>
        <w:pStyle w:val="TextBody"/>
        <w:bidi w:val="0"/>
        <w:spacing w:lineRule="auto" w:line="288" w:before="40" w:after="283"/>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40" w:after="283"/>
        <w:jc w:val="left"/>
        <w:rPr/>
      </w:pPr>
      <w:r>
        <w:rPr/>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w:t>
      </w:r>
    </w:p>
    <w:p>
      <w:pPr>
        <w:pStyle w:val="TextBody"/>
        <w:bidi w:val="0"/>
        <w:spacing w:lineRule="auto" w:line="288" w:before="0" w:after="0"/>
        <w:jc w:val="left"/>
        <w:rPr/>
      </w:pP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w:t>
      </w:r>
    </w:p>
    <w:p>
      <w:pPr>
        <w:pStyle w:val="TextBody"/>
        <w:bidi w:val="0"/>
        <w:spacing w:lineRule="auto" w:line="288" w:before="0" w:after="0"/>
        <w:jc w:val="left"/>
        <w:rPr/>
      </w:pPr>
      <w:r>
        <w:rPr>
          <w:rFonts w:ascii="Times New Roman;sans-serif" w:hAnsi="Times New Roman;sans-serif"/>
          <w:b w:val="false"/>
          <w:color w:val="000000"/>
          <w:sz w:val="20"/>
        </w:rPr>
        <w:t xml:space="preserve">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40" w:after="283"/>
        <w:jc w:val="left"/>
        <w:rPr/>
      </w:pPr>
      <w:r>
        <w:rPr/>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equity of the registrant held by non-affiliates, computed by reference to the price at which the common equity was last sold, as of the last business day of the registrant’s most recently completed second fiscal quarter was $6,917,323,570.</w:t>
      </w:r>
    </w:p>
    <w:p>
      <w:pPr>
        <w:pStyle w:val="TextBody"/>
        <w:bidi w:val="0"/>
        <w:spacing w:before="40" w:after="283"/>
        <w:ind w:left="0" w:right="0" w:firstLine="360"/>
        <w:jc w:val="left"/>
        <w:rPr/>
      </w:pPr>
      <w:r>
        <w:rPr/>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18, 2025, there were 125,207,212 shares of common stock outstanding.</w:t>
      </w:r>
    </w:p>
    <w:tbl>
      <w:tblPr>
        <w:tblW w:w="4590" w:type="dxa"/>
        <w:jc w:val="center"/>
        <w:tblInd w:w="0" w:type="dxa"/>
        <w:tblLayout w:type="fixed"/>
        <w:tblCellMar>
          <w:top w:w="28" w:type="dxa"/>
          <w:left w:w="28" w:type="dxa"/>
          <w:bottom w:w="28" w:type="dxa"/>
          <w:right w:w="28" w:type="dxa"/>
        </w:tblCellMar>
      </w:tblPr>
      <w:tblGrid>
        <w:gridCol w:w="1468"/>
        <w:gridCol w:w="1292"/>
        <w:gridCol w:w="1830"/>
      </w:tblGrid>
      <w:tr>
        <w:trPr/>
        <w:tc>
          <w:tcPr>
            <w:tcW w:w="146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tc>
      </w:tr>
    </w:tbl>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Part III of this Annual Report on Form 10-K, to the extent not set forth herein, is incorporated by reference to the registrant’s definitive proxy statement relating to the 2025 Annual Meeting of Shareholders, which will be filed with the Securities and Exchange Commission within 120 days after the end of the fiscal year to which this Annual Report on Form 10-K relates. </w:t>
      </w:r>
    </w:p>
    <w:tbl>
      <w:tblPr>
        <w:tblW w:w="6645" w:type="dxa"/>
        <w:jc w:val="left"/>
        <w:tblInd w:w="0" w:type="dxa"/>
        <w:tblLayout w:type="fixed"/>
        <w:tblCellMar>
          <w:top w:w="28" w:type="dxa"/>
          <w:left w:w="28" w:type="dxa"/>
          <w:bottom w:w="28" w:type="dxa"/>
          <w:right w:w="28" w:type="dxa"/>
        </w:tblCellMar>
      </w:tblPr>
      <w:tblGrid>
        <w:gridCol w:w="837"/>
        <w:gridCol w:w="735"/>
        <w:gridCol w:w="738"/>
        <w:gridCol w:w="824"/>
        <w:gridCol w:w="824"/>
        <w:gridCol w:w="827"/>
        <w:gridCol w:w="543"/>
        <w:gridCol w:w="543"/>
        <w:gridCol w:w="77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Auditor Name: KPMG LLP</w:t>
            </w:r>
          </w:p>
        </w:tc>
        <w:tc>
          <w:tcPr>
            <w:tcW w:w="24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Auditor Location: Dallas, TX</w:t>
            </w:r>
          </w:p>
        </w:tc>
        <w:tc>
          <w:tcPr>
            <w:tcW w:w="18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Auditor Firm ID: 185</w:t>
            </w:r>
          </w:p>
        </w:tc>
      </w:tr>
    </w:tbl>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9225" w:type="dxa"/>
        <w:jc w:val="left"/>
        <w:tblInd w:w="0" w:type="dxa"/>
        <w:tblLayout w:type="fixed"/>
        <w:tblCellMar>
          <w:top w:w="28" w:type="dxa"/>
          <w:left w:w="28" w:type="dxa"/>
          <w:bottom w:w="28" w:type="dxa"/>
          <w:right w:w="28" w:type="dxa"/>
        </w:tblCellMar>
      </w:tblPr>
      <w:tblGrid>
        <w:gridCol w:w="321"/>
        <w:gridCol w:w="281"/>
        <w:gridCol w:w="283"/>
        <w:gridCol w:w="2603"/>
        <w:gridCol w:w="2603"/>
        <w:gridCol w:w="2623"/>
        <w:gridCol w:w="149"/>
        <w:gridCol w:w="149"/>
        <w:gridCol w:w="213"/>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7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9">
              <w:r>
                <w:rPr>
                  <w:rStyle w:val="InternetLink"/>
                  <w:rFonts w:ascii="Times New Roman;sans-serif" w:hAnsi="Times New Roman;sans-serif"/>
                  <w:b w:val="false"/>
                  <w:color w:val="0000FF"/>
                  <w:sz w:val="16"/>
                  <w:u w:val="single"/>
                </w:rPr>
                <w:t>Business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19">
              <w:r>
                <w:rPr>
                  <w:rStyle w:val="InternetLink"/>
                  <w:rFonts w:ascii="Times New Roman;sans-serif" w:hAnsi="Times New Roman;sans-serif"/>
                  <w:b w:val="false"/>
                  <w:color w:val="0000FF"/>
                  <w:sz w:val="20"/>
                  <w:u w:val="single"/>
                </w:rPr>
                <w:t>2</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1A.</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22">
              <w:r>
                <w:rPr>
                  <w:rStyle w:val="InternetLink"/>
                  <w:rFonts w:ascii="Times New Roman;sans-serif" w:hAnsi="Times New Roman;sans-serif"/>
                  <w:b w:val="false"/>
                  <w:color w:val="0000FF"/>
                  <w:sz w:val="16"/>
                  <w:u w:val="single"/>
                </w:rPr>
                <w:t xml:space="preserve">Risk Factors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22">
              <w:r>
                <w:rPr>
                  <w:rStyle w:val="InternetLink"/>
                  <w:rFonts w:ascii="Times New Roman;sans-serif" w:hAnsi="Times New Roman;sans-serif"/>
                  <w:b w:val="false"/>
                  <w:color w:val="0000FF"/>
                  <w:sz w:val="20"/>
                  <w:u w:val="single"/>
                </w:rPr>
                <w:t>36</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1B.</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25">
              <w:r>
                <w:rPr>
                  <w:rStyle w:val="InternetLink"/>
                  <w:rFonts w:ascii="Times New Roman;sans-serif" w:hAnsi="Times New Roman;sans-serif"/>
                  <w:b w:val="false"/>
                  <w:color w:val="0000FF"/>
                  <w:sz w:val="16"/>
                  <w:u w:val="single"/>
                </w:rPr>
                <w:t>Unresolved Staff Comments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25">
              <w:r>
                <w:rPr>
                  <w:rStyle w:val="InternetLink"/>
                  <w:rFonts w:ascii="Times New Roman;sans-serif" w:hAnsi="Times New Roman;sans-serif"/>
                  <w:b w:val="false"/>
                  <w:color w:val="0000FF"/>
                  <w:sz w:val="20"/>
                  <w:u w:val="single"/>
                </w:rPr>
                <w:t>67</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1C.</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28">
              <w:r>
                <w:rPr>
                  <w:rStyle w:val="InternetLink"/>
                  <w:rFonts w:ascii="Times New Roman;sans-serif" w:hAnsi="Times New Roman;sans-serif"/>
                  <w:b w:val="false"/>
                  <w:color w:val="0000FF"/>
                  <w:sz w:val="16"/>
                  <w:u w:val="single"/>
                </w:rPr>
                <w:t>Cybersecurity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28">
              <w:r>
                <w:rPr>
                  <w:rStyle w:val="InternetLink"/>
                  <w:rFonts w:ascii="Times New Roman;sans-serif" w:hAnsi="Times New Roman;sans-serif"/>
                  <w:b w:val="false"/>
                  <w:color w:val="0000FF"/>
                  <w:sz w:val="20"/>
                  <w:u w:val="single"/>
                </w:rPr>
                <w:t>67</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31">
              <w:r>
                <w:rPr>
                  <w:rStyle w:val="InternetLink"/>
                  <w:rFonts w:ascii="Times New Roman;sans-serif" w:hAnsi="Times New Roman;sans-serif"/>
                  <w:b w:val="false"/>
                  <w:color w:val="0000FF"/>
                  <w:sz w:val="16"/>
                  <w:u w:val="single"/>
                </w:rPr>
                <w:t xml:space="preserve">Properties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31">
              <w:r>
                <w:rPr>
                  <w:rStyle w:val="InternetLink"/>
                  <w:rFonts w:ascii="Times New Roman;sans-serif" w:hAnsi="Times New Roman;sans-serif"/>
                  <w:b w:val="false"/>
                  <w:color w:val="0000FF"/>
                  <w:sz w:val="20"/>
                  <w:u w:val="single"/>
                </w:rPr>
                <w:t>69</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34">
              <w:r>
                <w:rPr>
                  <w:rStyle w:val="InternetLink"/>
                  <w:rFonts w:ascii="Times New Roman;sans-serif" w:hAnsi="Times New Roman;sans-serif"/>
                  <w:b w:val="false"/>
                  <w:color w:val="0000FF"/>
                  <w:sz w:val="16"/>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34">
              <w:r>
                <w:rPr>
                  <w:rStyle w:val="InternetLink"/>
                  <w:rFonts w:ascii="Times New Roman;sans-serif" w:hAnsi="Times New Roman;sans-serif"/>
                  <w:b w:val="false"/>
                  <w:color w:val="0000FF"/>
                  <w:sz w:val="20"/>
                  <w:u w:val="single"/>
                </w:rPr>
                <w:t>69</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37">
              <w:r>
                <w:rPr>
                  <w:rStyle w:val="InternetLink"/>
                  <w:rFonts w:ascii="Times New Roman;sans-serif" w:hAnsi="Times New Roman;sans-serif"/>
                  <w:b w:val="false"/>
                  <w:color w:val="0000FF"/>
                  <w:sz w:val="16"/>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37">
              <w:r>
                <w:rPr>
                  <w:rStyle w:val="InternetLink"/>
                  <w:rFonts w:ascii="Times New Roman;sans-serif" w:hAnsi="Times New Roman;sans-serif"/>
                  <w:b w:val="false"/>
                  <w:color w:val="0000FF"/>
                  <w:sz w:val="20"/>
                  <w:u w:val="single"/>
                </w:rPr>
                <w:t>69</w:t>
              </w:r>
            </w:hyperlink>
          </w:p>
        </w:tc>
      </w:tr>
      <w:tr>
        <w:trPr/>
        <w:tc>
          <w:tcPr>
            <w:tcW w:w="8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5.</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43">
              <w:r>
                <w:rPr>
                  <w:rStyle w:val="InternetLink"/>
                  <w:rFonts w:ascii="Times New Roman;sans-serif" w:hAnsi="Times New Roman;sans-serif"/>
                  <w:b w:val="false"/>
                  <w:color w:val="0000FF"/>
                  <w:sz w:val="16"/>
                  <w:u w:val="single"/>
                </w:rPr>
                <w:t>Market for Registrant’s Common Equity, Related Stockholder Matters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43">
              <w:r>
                <w:rPr>
                  <w:rStyle w:val="InternetLink"/>
                  <w:rFonts w:ascii="Times New Roman;sans-serif" w:hAnsi="Times New Roman;sans-serif"/>
                  <w:b w:val="false"/>
                  <w:color w:val="0000FF"/>
                  <w:sz w:val="20"/>
                  <w:u w:val="single"/>
                </w:rPr>
                <w:t>70</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6.</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46">
              <w:r>
                <w:rPr>
                  <w:rStyle w:val="InternetLink"/>
                  <w:rFonts w:ascii="Times New Roman;sans-serif" w:hAnsi="Times New Roman;sans-serif"/>
                  <w:b w:val="false"/>
                  <w:color w:val="0000FF"/>
                  <w:sz w:val="16"/>
                  <w:u w:val="single"/>
                </w:rPr>
                <w:t>Selected Financial Data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46">
              <w:r>
                <w:rPr>
                  <w:rStyle w:val="InternetLink"/>
                  <w:rFonts w:ascii="Times New Roman;sans-serif" w:hAnsi="Times New Roman;sans-serif"/>
                  <w:b w:val="false"/>
                  <w:color w:val="0000FF"/>
                  <w:sz w:val="20"/>
                  <w:u w:val="single"/>
                </w:rPr>
                <w:t>73</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7.</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52">
              <w:r>
                <w:rPr>
                  <w:rStyle w:val="InternetLink"/>
                  <w:rFonts w:ascii="Times New Roman;sans-serif" w:hAnsi="Times New Roman;sans-serif"/>
                  <w:b w:val="false"/>
                  <w:color w:val="0000FF"/>
                  <w:sz w:val="16"/>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52">
              <w:r>
                <w:rPr>
                  <w:rStyle w:val="InternetLink"/>
                  <w:rFonts w:ascii="Times New Roman;sans-serif" w:hAnsi="Times New Roman;sans-serif"/>
                  <w:b w:val="false"/>
                  <w:color w:val="0000FF"/>
                  <w:sz w:val="20"/>
                  <w:u w:val="single"/>
                </w:rPr>
                <w:t>73</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7A.</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76">
              <w:r>
                <w:rPr>
                  <w:rStyle w:val="InternetLink"/>
                  <w:rFonts w:ascii="Times New Roman;sans-serif" w:hAnsi="Times New Roman;sans-serif"/>
                  <w:b w:val="false"/>
                  <w:color w:val="0000FF"/>
                  <w:sz w:val="16"/>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76">
              <w:r>
                <w:rPr>
                  <w:rStyle w:val="InternetLink"/>
                  <w:rFonts w:ascii="Times New Roman;sans-serif" w:hAnsi="Times New Roman;sans-serif"/>
                  <w:b w:val="false"/>
                  <w:color w:val="0000FF"/>
                  <w:sz w:val="20"/>
                  <w:u w:val="single"/>
                </w:rPr>
                <w:t>91</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8.</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79">
              <w:r>
                <w:rPr>
                  <w:rStyle w:val="InternetLink"/>
                  <w:rFonts w:ascii="Times New Roman;sans-serif" w:hAnsi="Times New Roman;sans-serif"/>
                  <w:b w:val="false"/>
                  <w:color w:val="0000FF"/>
                  <w:sz w:val="16"/>
                  <w:u w:val="single"/>
                </w:rPr>
                <w:t>Financial Statements and Supplementary Data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79">
              <w:r>
                <w:rPr>
                  <w:rStyle w:val="InternetLink"/>
                  <w:rFonts w:ascii="Times New Roman;sans-serif" w:hAnsi="Times New Roman;sans-serif"/>
                  <w:b w:val="false"/>
                  <w:color w:val="0000FF"/>
                  <w:sz w:val="20"/>
                  <w:u w:val="single"/>
                </w:rPr>
                <w:t>92</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9.</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82">
              <w:r>
                <w:rPr>
                  <w:rStyle w:val="InternetLink"/>
                  <w:rFonts w:ascii="Times New Roman;sans-serif" w:hAnsi="Times New Roman;sans-serif"/>
                  <w:b w:val="false"/>
                  <w:color w:val="0000FF"/>
                  <w:sz w:val="16"/>
                  <w:u w:val="single"/>
                </w:rPr>
                <w:t>Changes in and Disagreements with Accountants on Accounting and Financial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82">
              <w:r>
                <w:rPr>
                  <w:rStyle w:val="InternetLink"/>
                  <w:rFonts w:ascii="Times New Roman;sans-serif" w:hAnsi="Times New Roman;sans-serif"/>
                  <w:b w:val="false"/>
                  <w:color w:val="0000FF"/>
                  <w:sz w:val="20"/>
                  <w:u w:val="single"/>
                </w:rPr>
                <w:t>92</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9A.</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85">
              <w:r>
                <w:rPr>
                  <w:rStyle w:val="InternetLink"/>
                  <w:rFonts w:ascii="Times New Roman;sans-serif" w:hAnsi="Times New Roman;sans-serif"/>
                  <w:b w:val="false"/>
                  <w:color w:val="0000FF"/>
                  <w:sz w:val="16"/>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85">
              <w:r>
                <w:rPr>
                  <w:rStyle w:val="InternetLink"/>
                  <w:rFonts w:ascii="Times New Roman;sans-serif" w:hAnsi="Times New Roman;sans-serif"/>
                  <w:b w:val="false"/>
                  <w:color w:val="0000FF"/>
                  <w:sz w:val="20"/>
                  <w:u w:val="single"/>
                </w:rPr>
                <w:t>92</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9B.</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88">
              <w:r>
                <w:rPr>
                  <w:rStyle w:val="InternetLink"/>
                  <w:rFonts w:ascii="Times New Roman;sans-serif" w:hAnsi="Times New Roman;sans-serif"/>
                  <w:b w:val="false"/>
                  <w:color w:val="0000FF"/>
                  <w:sz w:val="16"/>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88">
              <w:r>
                <w:rPr>
                  <w:rStyle w:val="InternetLink"/>
                  <w:rFonts w:ascii="Times New Roman;sans-serif" w:hAnsi="Times New Roman;sans-serif"/>
                  <w:b w:val="false"/>
                  <w:color w:val="0000FF"/>
                  <w:sz w:val="20"/>
                  <w:u w:val="single"/>
                </w:rPr>
                <w:t>95</w:t>
              </w:r>
            </w:hyperlink>
          </w:p>
        </w:tc>
      </w:tr>
      <w:tr>
        <w:trPr/>
        <w:tc>
          <w:tcPr>
            <w:tcW w:w="8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10.</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94">
              <w:r>
                <w:rPr>
                  <w:rStyle w:val="InternetLink"/>
                  <w:rFonts w:ascii="Times New Roman;sans-serif" w:hAnsi="Times New Roman;sans-serif"/>
                  <w:b w:val="false"/>
                  <w:color w:val="0000FF"/>
                  <w:sz w:val="16"/>
                  <w:u w:val="single"/>
                </w:rPr>
                <w:t>Directors, Executive Officers and Corporate 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94">
              <w:r>
                <w:rPr>
                  <w:rStyle w:val="InternetLink"/>
                  <w:rFonts w:ascii="Times New Roman;sans-serif" w:hAnsi="Times New Roman;sans-serif"/>
                  <w:b w:val="false"/>
                  <w:color w:val="0000FF"/>
                  <w:sz w:val="20"/>
                  <w:u w:val="single"/>
                </w:rPr>
                <w:t>95</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97">
              <w:r>
                <w:rPr>
                  <w:rStyle w:val="InternetLink"/>
                  <w:rFonts w:ascii="Times New Roman;sans-serif" w:hAnsi="Times New Roman;sans-serif"/>
                  <w:b w:val="false"/>
                  <w:color w:val="0000FF"/>
                  <w:sz w:val="16"/>
                  <w:u w:val="single"/>
                </w:rPr>
                <w:t>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97">
              <w:r>
                <w:rPr>
                  <w:rStyle w:val="InternetLink"/>
                  <w:rFonts w:ascii="Times New Roman;sans-serif" w:hAnsi="Times New Roman;sans-serif"/>
                  <w:b w:val="false"/>
                  <w:color w:val="0000FF"/>
                  <w:sz w:val="20"/>
                  <w:u w:val="single"/>
                </w:rPr>
                <w:t>95</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00">
              <w:r>
                <w:rPr>
                  <w:rStyle w:val="InternetLink"/>
                  <w:rFonts w:ascii="Times New Roman;sans-serif" w:hAnsi="Times New Roman;sans-serif"/>
                  <w:b w:val="false"/>
                  <w:color w:val="0000FF"/>
                  <w:sz w:val="16"/>
                  <w:u w:val="single"/>
                </w:rPr>
                <w:t>Security Ownership of Certain Beneficial Owners and Management and Related Stockholder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100">
              <w:r>
                <w:rPr>
                  <w:rStyle w:val="InternetLink"/>
                  <w:rFonts w:ascii="Times New Roman;sans-serif" w:hAnsi="Times New Roman;sans-serif"/>
                  <w:b w:val="false"/>
                  <w:color w:val="0000FF"/>
                  <w:sz w:val="20"/>
                  <w:u w:val="single"/>
                </w:rPr>
                <w:t>95</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03">
              <w:r>
                <w:rPr>
                  <w:rStyle w:val="InternetLink"/>
                  <w:rFonts w:ascii="Times New Roman;sans-serif" w:hAnsi="Times New Roman;sans-serif"/>
                  <w:b w:val="false"/>
                  <w:color w:val="0000FF"/>
                  <w:sz w:val="16"/>
                  <w:u w:val="single"/>
                </w:rPr>
                <w:t>Certain Relationships and Related Transactions, and Director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103">
              <w:r>
                <w:rPr>
                  <w:rStyle w:val="InternetLink"/>
                  <w:rFonts w:ascii="Times New Roman;sans-serif" w:hAnsi="Times New Roman;sans-serif"/>
                  <w:b w:val="false"/>
                  <w:color w:val="0000FF"/>
                  <w:sz w:val="20"/>
                  <w:u w:val="single"/>
                </w:rPr>
                <w:t>95</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06">
              <w:r>
                <w:rPr>
                  <w:rStyle w:val="InternetLink"/>
                  <w:rFonts w:ascii="Times New Roman;sans-serif" w:hAnsi="Times New Roman;sans-serif"/>
                  <w:b w:val="false"/>
                  <w:color w:val="0000FF"/>
                  <w:sz w:val="16"/>
                  <w:u w:val="single"/>
                </w:rPr>
                <w:t>Principal Accounting Fees and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106">
              <w:r>
                <w:rPr>
                  <w:rStyle w:val="InternetLink"/>
                  <w:rFonts w:ascii="Times New Roman;sans-serif" w:hAnsi="Times New Roman;sans-serif"/>
                  <w:b w:val="false"/>
                  <w:color w:val="0000FF"/>
                  <w:sz w:val="20"/>
                  <w:u w:val="single"/>
                </w:rPr>
                <w:t>95</w:t>
              </w:r>
            </w:hyperlink>
          </w:p>
        </w:tc>
      </w:tr>
      <w:tr>
        <w:trPr/>
        <w:tc>
          <w:tcPr>
            <w:tcW w:w="8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r>
              <w:rPr>
                <w:rFonts w:ascii="Times New Roman;sans-serif" w:hAnsi="Times New Roman;sans-serif"/>
                <w:b w:val="false"/>
                <w:color w:val="000000"/>
                <w:sz w:val="16"/>
              </w:rPr>
              <w:t>TEM</w:t>
            </w:r>
            <w:r>
              <w:rPr>
                <w:color w:val="000000"/>
              </w:rPr>
              <w:t xml:space="preserve"> </w:t>
            </w:r>
            <w:r>
              <w:rPr>
                <w:rFonts w:ascii="Times New Roman;sans-serif" w:hAnsi="Times New Roman;sans-serif"/>
                <w:b w:val="false"/>
                <w:color w:val="000000"/>
                <w:sz w:val="20"/>
              </w:rPr>
              <w:t>15.</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12">
              <w:r>
                <w:rPr>
                  <w:rStyle w:val="InternetLink"/>
                  <w:rFonts w:ascii="Times New Roman;sans-serif" w:hAnsi="Times New Roman;sans-serif"/>
                  <w:b w:val="false"/>
                  <w:color w:val="0000FF"/>
                  <w:sz w:val="16"/>
                  <w:u w:val="single"/>
                </w:rPr>
                <w:t>Exhibits and Financial Statement Schedules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112">
              <w:r>
                <w:rPr>
                  <w:rStyle w:val="InternetLink"/>
                  <w:rFonts w:ascii="Times New Roman;sans-serif" w:hAnsi="Times New Roman;sans-serif"/>
                  <w:b w:val="false"/>
                  <w:color w:val="0000FF"/>
                  <w:sz w:val="20"/>
                  <w:u w:val="single"/>
                </w:rPr>
                <w:t>96</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16.</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15">
              <w:r>
                <w:rPr>
                  <w:rStyle w:val="InternetLink"/>
                  <w:rFonts w:ascii="Times New Roman;sans-serif" w:hAnsi="Times New Roman;sans-serif"/>
                  <w:b w:val="false"/>
                  <w:color w:val="0000FF"/>
                  <w:sz w:val="16"/>
                  <w:u w:val="single"/>
                </w:rPr>
                <w:t>Form 10-K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115">
              <w:r>
                <w:rPr>
                  <w:rStyle w:val="InternetLink"/>
                  <w:rFonts w:ascii="Times New Roman;sans-serif" w:hAnsi="Times New Roman;sans-serif"/>
                  <w:b w:val="false"/>
                  <w:color w:val="0000FF"/>
                  <w:sz w:val="20"/>
                  <w:u w:val="single"/>
                </w:rPr>
                <w:t>96</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NOTE REGARDING FORWARD-LOOKING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Annual Report on Form 10-K (this “Annual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capital markets, available borrowing capacity under our revolving credit facilities and otherwise; our ability to make acquisitions on economically acceptable terms; our ability to integrate acquisitions; the operating results of and availability of any potential distributions from our joint ventures; weather and environmental conditions; disruption from our acquisitions making it more difficult to maintain business and operational relationships; significant transaction costs associated with our acquisitions; the risk of litigation and/or regulatory actions related to our acquisitions; and the other factors discussed below and elsewhere in this Annual Report and in other documents that we file with or furnish to the United States Securities and Exchange Commission (the “SEC”), all of which are difficult to predict. Forward-looking statements may include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strategy;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estimated future reserves and the present value thereof, including whether or not a full-cost ceiling impairment could be realized;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cash flows and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timing and payment of dividends, if 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financial strategy, budget, projections and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supply and demand of oil, natural gas and NGLs;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oil, natural gas and NGL prices, including our realized prices thereof;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and amount of future production of oil and natural gas;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drilling and production equipment;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oil storage capacity;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oil field labor;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nature and timing of capital expenditures, including future exploration and development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and terms of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drilling of wells;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negotiate and consummate acquisition and divestiture opportunities;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integration of acquisitions with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government regulation and taxation of the oil and natural gas industry;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tariffs and trade restrictions;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marketing of oil and natural gas;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exploitation projects or property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midstream business to construct, maintain and operate midstream pipelines and facilities, including the operation of cryogenic natural gas processing plants and the drilling of additional salt water disposal wells;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midstream business to attract third-party volumes;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costs of exploiting and developing our properties and conducting other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in the oil and natural gas industry, including in both the exploration and production and midstream segments;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effectiveness of our risk management and hedging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technology;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environmental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initiatives and efforts relating to environmental, social and governance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counterparty credit risk;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geopolitical instability and developments in oil-producing and natural gas-producing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future operating results;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the Inflation Reduction Act of 2022;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plans, objectives, expectations and intentions contained in this Annual Report or in our other filings with the SEC that are not historical.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conveyed by the forward-looking statements in this Annual Report are reasonable based on information available to us on the date hereof, no assurances can be given as to future results, levels of activity, achievements or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In this Annual Report, (i) references to “we,” “our” or the “Company” refer to Matador Resources Company and its subsidiaries as a whole (unless the context indicates otherwise), (ii) references to “Matador” refer solely to Matador Resources Company, (iii) references to “Ameredev” refer to Ameredev Stateline II, LLC, (iv) references to “Piñon” refer to Piñon Midstream, LLC, (v) references to the “Ameredev Acquisition” refer to the acquisition of Ameredev from affiliates of EnCap Investments L.P., including (a) certain oil and natural gas producing properties and undeveloped acreage located in Lea County, New Mexico and Loving and Winkler Counties, Texas, and (b) an approximate 19% stake in the parent company of Piñon, which was completed by a subsidiary of the Company on September 18, 2024, (vi) references to “Advance” refer to Advance Energy Partners Holdings, LLC, (vii) references to the “Advance Acquisition” refer to the acquisition of Advance from affiliates of EnCap Investments L.P., including certain oil and natural gas producing properties, undeveloped acreage and midstream assets located primarily in Lea County, New Mexico and Ward County, Texas, that was completed by a subsidiary of the Company on April 12, 2023, and the acquisition of additional interests from affiliates of EnCap Investments L.P., including overriding royalty interests and royalty interests in certain oil and natural gas properties located primarily in Lea County, New Mexico on December 1, 2023, (viii) references to “San Mateo” refer to San Mateo Midstream, LLC, collectively with its subsidiaries (including, as of December 18, 2024, Pronto), and (ix) references to “Pronto” refer to Pronto Midstream, LLC, together with its subsidiary. For certain oil and natural gas terms used in this Annual Report, see the “Glossary of Oil and Natural Gas Terms” included in this Annual Report.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Eagle Ford shale play in South Texas and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 Texas corporation founded in July 2003 by Joseph Wm. Foran, Chairman and Chief Executive Officer. Mr. Foran began his career as an oil and natural gas independent in 1983 when he founded Foran Oil Company with $270,000 in contributed capital from 17 friends and family members. Foran Oil Company was later contributed to Matador Petroleum Corporation upon its formation by Mr. Foran in 1988. Mr. Foran served as Chairman and Chief Executive Officer of that company from its inception until it was sold in June 2003 to Tom Brown, Inc., in an all-cash transaction for an enterprise value of approximately $388.5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 2012, our common stock began trading on the New York Stock Exchange (the “NYSE”) under the symbol “MTDR.” Prior to trading on the NYSE, there was no established public trading market for our common stock.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goal is to increase shareholder value by building oil and natural gas reserves, production and cash flows and providing midstream services at an attractive rate of return on invested capital. We plan to achieve our goal by, among other items, executing the following business strategies: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focus our exploration and development activities primarily on unconventional plays, including the Wolfcamp and Bone Spring plays in the Delaware Basin;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identify, evaluate and develop additional oil and natural gas plays as necessary to maintain a balanced portfolio of oil and natural gas properties;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continue to improve operational and cost efficiencies;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identify and develop midstream opportunities that support and enhance our exploration and development activities and that generate value for San Mateo and Matador;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our financial discipline;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return capital to shareholders through our dividend policy;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pursue opportunistic acquisitions, divestitures and joint ventures;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 the energy that society needs in a manner that is safe, protects the environment and is consistent with the oil and natural gas industry’s best practices.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successful execution of our business strategies, including the Ameredev Acquisition, led to increases in our oil and natural gas production and proved oil and natural gas reserves in 2024. We also improved the capital efficiency of our drilling and completion operations and achieved several key operational milestones throughout the year (as further described below in “—Exploration and Production Segment—Southeast New Mexico and West Texas—Delaware Basin”). In addition, we achieved several key capital resources objectives during the year, including generating free cash flow, paying down a portion of the borrowings that funded the Advance Acquisition and Ameredev Acquisition, increasing our quarterly cash dividend and earning performance incentives from Five Point Energy, LLC or its affiliates (“Five Point”), our joint venture partner in San Mateo. Further, we completed several important financing transactions in 2024, including the Pronto Transaction, the 2024 Equity Offering, the 2026 Notes Repurchase, the 2032 Notes Offering and the 2033 Notes Offering, twice increasing the elected borrowing commitment and the borrowing base under our Credit Agreement and increasing the lender commitments under the San Mateo Credit Facility (all as defined below). San Mateo also achieved important milestones in 2024, including completing the natural gas pipeline connections between Pronto and San Mateo and between Pronto and Matador’s acreage obtained in the Advance Acquisition. These connector pipelines provide further flow assurance and options for Matador and third-party customer natural gas, and resulted in Pronto and San Mateo’s plants operating at or above nameplate capacity at times during 2024.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2024 Highlights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Ameredev Acquisition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18, 2024, our wholly-owned subsidiary completed the acquisition of Ameredev from affiliates of EnCap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L.P., including (i) certain oil and natural gas producing properties and undeveloped acreage located in Lea County, New Mexico and Loving and Winkler Counties, Texas, and (ii) an approximate 19% stake in the parent company of Piñon. The Ameredev Acquisition had an effective date of June 1, 2024 and an aggregate as-adjusted closing purchase price of approximately $1.83 billion in cash, which amount is subject to customary post-closing adjustments. The purchase price for the Ameredev Acquisition was funded by a combination of cash on hand and borrowings under our existing secured revolving credit facility (the “Credit Agreement”), which was amended on September 18, 2024 to, among other things: (i) provide for a term loan of $250.0 million, the full amount of which was borrowed to fund the Ameredev Acquisition, and (ii) increase the elected borrowing commitments under the revolving credit facility from $1.50 billion to $2.25 billion. On September 25, 2024, we completed the sale of $750.0 million in aggregate principal amount of our 6.25% senior unsecured notes due 2033 (the “2033 Notes”) and used the net proceeds to partially repay borrowings outstanding under our Credit Agreement, including all of the $250.0 million in outstanding borrowings under the term loan. On October 28, 2024, Piñon was acquired by an affiliate of Enterprise Products Partners L.P. We received $113.6 million from the sale of Piñon during the fourth quarter of 2024 and used these proceeds to reduce borrowings under our Credit Agreement. We currently expect to receive an additional $4.8 million from the sale of Piñon in the first half of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Ameredev Acquisition since the closing date of September 18, 2024 have been included in our consolidated financial statements for the year ended December 31, 2024. The oil and natural gas production from the Ameredev Acquisition increased our revenues and net income for the period from September 18, 2024 through December 31, 2024 by $118.0 million and $34.8 million, respectively. See Note 6 to the consolidated financial statements in this Annual Report for more information regarding the Ameredev Acquisition. Such information is incorporated herein by reference.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Increased Oil, Natural Gas and Oil Equivalent Production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we achieved record oil, natural gas and average daily oil equivalent production. In 2024, we produced 36.5 million Bbl of oil, an increase of 33%, as compared to 27.5 million Bbl of oil produced in 2023. We also produced 155.8 Bcf of natural gas, an increase of 26% from 123.4 Bcf of natural gas produced in 2023. Our average daily oil equivalent production for the year ended December 31, 2024 was 170,751 BOE per day, including 99,808 Bbl of oil per day and 425.7 MMcf of natural gas per day, an increase of 30%, as compared to 131,813 BOE per day, including 75,457 Bbl of oil per day and 338.1 MMcf of natural gas per day, for the year ended December 31, 2023. The increase in oil and natural gas production was primarily attributable to the Ameredev Acquisition and our ongoing delineation and development drilling activities in the Delaware Basin throughout 2024, which offset declining production in the Eagle Ford shale and Northwest Louisiana. Oil production comprised 58% and 57% of our total production (using a conversion ratio of one Bbl of oil per six Mcf of natural gas) for the years ended December 31, 2024 and 2023, respectively.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Increased Oil, Natural Gas and Oil Equivalent Reserves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our estimated total proved oil and natural gas reserves were 611.5 million BOE, including 361.8 million Bbl of oil and 1.50 Tcf of natural gas, an increase of 33% from 460.1 million BOE, including 272.3 million Bbl of oil and 1.13 Tcf of natural gas, at December 31, 2023. The Standardized Measure of our total proved oil and natural gas reserves increased 21% from $6.11 billion at December 31, 2023 to $7.38 billion at December 31, 2024. The PV-10 of our total proved oil and natural gas reserves increased 20% from $7.70 billion at December 31, 2023 to $9.23 billion at December 31, 2024. The increases in our Standardized Measure and PV-10 were primarily a result of a 33% increase in our total proved oil and natural gas reserves at December 31, 2024, as compared to December 31, 2023, partially offset by the lower unweighted arithmetic average oil and natural gas prices used to estimate proved reserves at December 31, 2024, as compared to December 31, 2023. PV-10 is a non-GAAP financial measure. For a reconciliation of PV-10 to Standardized Measure, see “—Estimated Proved Reserves.”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estimated proved developed reserves included 206.3 million Bbl of oil and 963.2 Bcf of natural gas, and estimated proved undeveloped reserves included 155.6 million Bbl of oil and 535.0 Bcf of natural gas. Proved developed reserves and proved oil reserves comprised 60% and 59%, respectively, of our total proved oil and natural gas reserves at December 31, 2024. Proved developed reserves and proved oil reserves comprised 63% and 59%, respectively, of our total proved oil and natural gas reserves at December 31, 2023.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Operational Highlights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focus on optimizing the development of our resource base by seeking ways to maximize our recovery per well relative to the cost incurred and to minimize our operating costs per BOE produced. We apply an analytical approach to track and monitor the effectiveness of our drilling and completion techniques and service providers. This allows us to better manage operating costs, the pace of development activities, technical applications, the gathering and marketing of our production and capital allocation. Additionally, we concentrate on our core areas, which allows us to achieve economies of scale and reduce operating costs. Largely as a result of these factors, we believe that we have increased our technical knowledge of drilling, completing and producing Delaware Basin wells. We expect the Delaware Basin will continue to be our primary area of focus in 2025.</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completed and began producing oil and natural gas from 251 gross (110.2 net) horizontal wells in the Delaware Basin in 2024, including 124 gross (101.9 net) operated and 127 gross (8.3 net) non-operated wells. At December 31, 2024, our total acreage position in the Delaware Basin was approximately 328,000 gross (198,700 net) acres, primarily in Lea and Eddy Counties, New Mexico and Loving, Ward and Winkler Counties, Texas. We have focused our Delaware Basin operations on the following asset areas: the Stateline, Rustler Breaks and Arrowhead asset areas in Eddy County, New Mexico, the Antelope Ridge, Ranger and Twin Lakes asset areas in Lea County, New Mexico and the West Texas asset area in Loving, Ward and Winkler Counties, Texas. Our Delaware Basin properties are the most significant component of our asset portfolio. Our average daily oil equivalent production from the Delaware Basin increased approximately 31% to 166,273 BOE per day (97% of total oil equivalent production), including 99,086 Bbl of oil per day (99% of total oil production) and 403.1 MMcf of natural gas per day (95% of total natural gas production), in 2024, as compared to 126,720 BOE per day (96% of total oil equivalent production), including 74,697 Bbl of oil per day (99% of total oil production) and 312.1 MMcf of natural gas per day (92% of total natural gas production), in 2023. We expect our Delaware Basin production to increase in 2025 as we continue the delineation and development of these asset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we achieved several operational milestones in the Delaware Basin. These milestones (as further described below in “—Exploration and Production Segment—Southeast New Mexico and West Texas—Delaware Basin”) were each achieved when we turned to sales: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21 Antelope Ridge wells on properties acquired in the Advance Acquisition in the first half of 2024, which matched the largest single batch development project in our history;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Five U-Turn wells in the second half of 2024, with significantly reduced drilling time as compared to our initial U-Turn wells that we turned to sales in 2023;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increased efficiencies and capital savings through the introduction of Trimul-Frac and continued use of Simul-Frac.</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achieving these key operational milestones, other operational highlights in the Delaware Basin (as further described below in “—Exploration and Production Segment—Southeast New Mexico and West Texas—Delaware Basin”) in 2024 included: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continued drilling of longer laterals, with average completed lateral length for operated wells turned to sales in 2024 of approximately 9,300 feet;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capital expenditures for drilling, completing and equipping wells (“D/C/E capital expenditures”) for 2024 of $1.32 billion, which was within our estimated range for 2024 D/C/E capital expenditures of $1.15 to $1.35 billion, as provided on October 22, 2024.</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Resources and Financing Highlights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we achieved several significant and important capital resources objectives, which included: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generation of free cash flow in all four quarters of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amendment of our dividend policy in the fourth quarter of 2024, pursuant to which we increased the quarterly cash dividend from $0.20 per share of common stock to $0.25 per share of common stock;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receipt of $219.8 million in special distributions from San Mateo as a result of the Pronto Transaction;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receipt of $23.8 million in performance incentives directly from Five Point.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completed several financing transactions in 2024 that increased our operational flexibility, while preserving the strength of our balance sheet and improving our liquidity position. These transactions included: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underwritten public offering of 5,250,000 shares of our common stock (the “2024 Equity Offering”);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repurchase of all of the aggregate principal amount of approximately $699.2 million of outstanding senior notes due 2026 (the “2026 Notes”) through our cash tender offer and subsequent exercise of our optional redemption right in April 2024 (the “2026 Notes Repurchase”);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issuance of $900.0 million in aggregate principal amount of 6.50% senior notes due 2032 (the “2032 Notes”, and such issuance, the “2032 Notes Offering”);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issuance of $750.0 million in aggregate principal amount of 2033 Notes (the “2033 Notes Offering”);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spring and fall redeterminations under, and amendments of, our Credit Agreement to collectively (i) increase the borrowing base to $3.25 billion, as compared to $2.50 billion at December 31, 2023, (ii) increase the elected borrowing commitment to $2.25 billion, as compared to $1.325 billion at December 31, 2023, (iii) increase the maximum facility amount to $3.50 billion, as compared to $2.00 billion at December 31, 2023, (iv) extend the maturity date from October 31, 2026 to March 22, 2029 and (v) add five new banks to our lending group;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amendment of San Mateo’s secured revolving credit facility (the “San Mateo Credit Facility”) in November 2024 to (i) increase the lender commitments from $535.0 million to $800.0 million, (ii) extend the maturity date from December 9, 2026 to November 26, 2029 and (iii) add six new banks to San Mateo’s lending group.</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“Management’s Discussion and Analysis of Financial Condition and Results of Operations—Liquidity and Capital Resources” for additional information regarding these financing transactions.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Midstream Highlights</w:t>
      </w:r>
    </w:p>
    <w:p>
      <w:pPr>
        <w:pStyle w:val="TextBody"/>
        <w:bidi w:val="0"/>
        <w:spacing w:lineRule="auto" w:line="288" w:before="12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Matador conducts its midstream operations primarily through San Mateo, which is owned 51% by us and 49% by our joint venture partner, Five Point.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76" w:before="12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2024, we completed a transaction with Five Point in which we contributed Pronto, a wholly-owned subsidiary of the Company, to San Mateo, and Five Point made a cash contribution to San Mateo of $171.5 million (the “Pronto Transaction”). In connection with the Pronto Transaction, we received a special distribution from San Mateo of approximately $219.8 million. In addition, we have the potential to earn up to $75.0 million in incentive payments from Five Point over a five-year period. San Mateo continues to be owned 51% by us and 49% by Five Point. </w:t>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Pronto owns and operates the Marlan cryogenic natural gas processing plant (the “Marlan Processing Plant”), which has a designed inlet capacity of 60 MMcf of natural gas per day. Pronto is expanding the Marlan Processing Plant to add an additional plant with a designed inlet capacity of 200 MMcf of natural gas per day, which would increase the total capacity of the Marlan Processing Plant to 260 MMcf of natural gas per day. Pronto also owns and operates five compressor stations and approximately 120 miles of natural gas gathering pipelines in Lea and Eddy Counties, New Mexico. </w:t>
      </w:r>
    </w:p>
    <w:p>
      <w:pPr>
        <w:pStyle w:val="TextBody"/>
        <w:bidi w:val="0"/>
        <w:spacing w:lineRule="auto" w:line="288" w:before="12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Pronto Transaction, Matador dedicated to Pronto its current and certain future leasehold interests in the Ranger and Antelope Ridge asset areas pursuant to 15-year, fixed fee natural gas gathering, compression, treating and processing agreements whereby Pronto will gather, compress, treat and process natural gas produced from our operated wells in northern Lea County, New Mexico. In addition, Pronto entered into certain agreements with Northwind Midstream Partners LLC (“Northwind”), an affiliate of Five Point, whereby Northwind will treat certain sour gas gathered and delivered by Pronto in northern Lea County, New Mexico. Under these agreements, Northwind will redeliver the treated sweet gas from Pronto and other third-party customers to Pronto for processing.</w:t>
      </w:r>
    </w:p>
    <w:p>
      <w:pPr>
        <w:pStyle w:val="TextBody"/>
        <w:bidi w:val="0"/>
        <w:spacing w:lineRule="auto" w:line="288" w:before="12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Mateo achieved strong operating results in 2024, highlighted by (i) free cash flow generation, (ii) increased midstream services revenues and (iii) increased natural gas gathering and processing volumes, produced water handling volumes and oil gathering and transportation volumes. </w:t>
      </w:r>
    </w:p>
    <w:p>
      <w:pPr>
        <w:pStyle w:val="TextBody"/>
        <w:bidi w:val="0"/>
        <w:spacing w:lineRule="auto" w:line="288" w:before="12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completed our natural gas pipeline connections between Pronto and San Mateo and between Pronto and Matador’s acreage obtained in the Advance Acquisition. These connector pipelines provide further flow assurance and options for Matador and third-party customer natural gas, and resulted in Pronto and San Mateo’s plants operating at or above nameplate capacity at times during 2024. </w:t>
      </w:r>
    </w:p>
    <w:p>
      <w:pPr>
        <w:pStyle w:val="TextBody"/>
        <w:bidi w:val="0"/>
        <w:spacing w:lineRule="auto" w:line="288" w:before="12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San Mateo and Pronto also closed new midstream transactions with oil and natural gas producers and other counterparties in Eddy and Lea Counties, New Mexico, which are expected to generate additional natural gas gathering and processing and water handling volumes in future periods. A majority of these new opportunities reflect additional business awarded to San Mateo and Pronto by existing customers, which we believe is indicative of the quality of service San Mateo and Pronto provides to all of its customers in the Delaware Basin.</w:t>
      </w:r>
    </w:p>
    <w:p>
      <w:pPr>
        <w:pStyle w:val="TextBody"/>
        <w:bidi w:val="0"/>
        <w:spacing w:lineRule="auto" w:line="288" w:before="12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following the Pronto Transaction, San Mateo’s midstream system included: </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u w:val="single"/>
        </w:rPr>
        <w:t>Natural Gas Assets</w:t>
      </w:r>
      <w:r>
        <w:rPr>
          <w:rFonts w:ascii="Times New Roman;sans-serif" w:hAnsi="Times New Roman;sans-serif"/>
          <w:b w:val="false"/>
          <w:color w:val="000000"/>
          <w:sz w:val="20"/>
        </w:rPr>
        <w:t xml:space="preserve">: 520 MMcf per day of designed natural gas cryogenic processing capacity and approximately 295 miles of natural gas gathering pipelines in Eddy and Lea Counties, New Mexico and Loving County, Texas, including 43 miles of large diameter natural gas gathering lines spanning from the Stateline asset area to the southern portion of the Arrowhead asset area (the “Greater Stebbins Area”);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Oil Assets</w:t>
      </w:r>
      <w:r>
        <w:rPr>
          <w:rFonts w:ascii="Times New Roman;sans-serif" w:hAnsi="Times New Roman;sans-serif"/>
          <w:b w:val="false"/>
          <w:color w:val="000000"/>
          <w:sz w:val="20"/>
        </w:rPr>
        <w:t>: three oil central delivery points (“CDP”) with over 100,000 Bbl of designed oil throughput capacity and approximately 110 miles of oil gathering and transportation pipelines in Eddy County, New Mexico and Loving County, Texas, as well as a 400,000-acre joint development area with Plains Marketing, L.P. (“Plains”) to gather our and other producers’ oil production in Eddy County, New Mexico; and</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u w:val="single"/>
        </w:rPr>
        <w:t>Produced Water Assets</w:t>
      </w:r>
      <w:r>
        <w:rPr>
          <w:rFonts w:ascii="Times New Roman;sans-serif" w:hAnsi="Times New Roman;sans-serif"/>
          <w:b w:val="false"/>
          <w:color w:val="000000"/>
          <w:sz w:val="20"/>
        </w:rPr>
        <w:t>: 16 commercial salt water disposal wells and associated facilities with designed produced water disposal capacity of 475,000 Bbl per day and approximately 180 miles of produced water gathering pipelines in Eddy County, New Mexico and Loving County, Texas.</w:t>
      </w:r>
    </w:p>
    <w:p>
      <w:pPr>
        <w:pStyle w:val="TextBody"/>
        <w:bidi w:val="0"/>
        <w:spacing w:lineRule="auto" w:line="288" w:before="12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18, 2024, we completed the Ameredev Acquisition, which included approximately 180 miles of gas gathering, water gathering and oil transportation and gathering pipeline assets.</w:t>
      </w:r>
    </w:p>
    <w:p>
      <w:pPr>
        <w:pStyle w:val="TextBody"/>
        <w:bidi w:val="0"/>
        <w:spacing w:lineRule="auto" w:line="288" w:before="120" w:after="160"/>
        <w:jc w:val="both"/>
        <w:rPr/>
      </w:pPr>
      <w:r>
        <w:rPr>
          <w:rFonts w:ascii="Times New Roman;sans-serif" w:hAnsi="Times New Roman;sans-serif"/>
          <w:b w:val="false"/>
          <w:i/>
          <w:color w:val="000000"/>
          <w:sz w:val="20"/>
        </w:rPr>
        <w:t>Environmental, Social and Governance (“ESG”) Initiatives</w:t>
      </w:r>
      <w:r>
        <w:rPr>
          <w:color w:val="000000"/>
        </w:rPr>
        <w: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creating long-term value in a responsible manner. Our aim is to reliably and profitably provide the energy that society needs in a manner that is safe, protects the environment and is consistent with the industry’s best practices and highest applicable regulatory and legal standards. We also report on our stewardship efforts in our annual Sustainability Report using quantitative metrics aligned with standards developed by an industry leader, the Sustainability Accounting Standards Board (SASB).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Highlights from our ESG initiatives, which generally relate to our operations in 2023 except as otherwise noted,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decreased Exploration and Production direct greenhouse gas emissions intensity by 58% in 2023, as compared to 2019;</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decreased methane emissions intensity by 76% in 2023, as compared to 2019;</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decreased flaring intensity by 82% in 2023, as compared to 2019;</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utilized non-fresh water in 97% of total water consumption in 2023;</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increased number of wells utilizing recycled produced water to 89% of total wells completed in 2023, as compared to 72% in 2022;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transported 99% of operated produced water and 96% of operated produced oil by pipeline in 2024;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provided approximately 22,500 hours of employee continuing education, equating to approximately 50 hours per employee in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data utilized in calculating such metrics is subject to certain reporting rules, regulatory reviews, definitions, calculation methodologies, estimates, adjustments and other factors. We expect to complete the review of fiscal year 2024 data from our ESG initiatives in the second half of 2025 in connection with the preparation of our 2024 Sustainability Report.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Exploration and Production Segment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operations are focused primarily on the oil and liquids-rich portion of the Wolfcamp and Bone Spring plays in the Delaware Basin in Southeast New Mexico and West Texas. We also have operations in the Eagle Ford shale play in South Texas and the Haynesville shale and Cotton Valley plays in Northwest Louisiana. During 2024, we devoted most of our efforts and most of our capital expenditures to our drilling and completion operations and midstream operations in the Wolfcamp and Bone Spring plays in the Delaware Basin. Since our inception, our exploration and development efforts have concentrated primarily on known hydrocarbon-producing basins with well-established production histories offering the potential for multiple-zone completions.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certain summary data for each of our operating areas as of and for the year ended December 31, 2024. </w:t>
      </w:r>
    </w:p>
    <w:tbl>
      <w:tblPr>
        <w:tblW w:w="11990" w:type="dxa"/>
        <w:jc w:val="left"/>
        <w:tblInd w:w="0" w:type="dxa"/>
        <w:tblLayout w:type="fixed"/>
        <w:tblCellMar>
          <w:top w:w="28" w:type="dxa"/>
          <w:left w:w="28" w:type="dxa"/>
          <w:bottom w:w="28" w:type="dxa"/>
          <w:right w:w="28" w:type="dxa"/>
        </w:tblCellMar>
      </w:tblPr>
      <w:tblGrid>
        <w:gridCol w:w="404"/>
        <w:gridCol w:w="263"/>
        <w:gridCol w:w="264"/>
        <w:gridCol w:w="368"/>
        <w:gridCol w:w="368"/>
        <w:gridCol w:w="238"/>
        <w:gridCol w:w="109"/>
        <w:gridCol w:w="109"/>
        <w:gridCol w:w="109"/>
        <w:gridCol w:w="368"/>
        <w:gridCol w:w="368"/>
        <w:gridCol w:w="238"/>
        <w:gridCol w:w="109"/>
        <w:gridCol w:w="109"/>
        <w:gridCol w:w="109"/>
        <w:gridCol w:w="278"/>
        <w:gridCol w:w="278"/>
        <w:gridCol w:w="176"/>
        <w:gridCol w:w="109"/>
        <w:gridCol w:w="109"/>
        <w:gridCol w:w="109"/>
        <w:gridCol w:w="345"/>
        <w:gridCol w:w="346"/>
        <w:gridCol w:w="191"/>
        <w:gridCol w:w="109"/>
        <w:gridCol w:w="109"/>
        <w:gridCol w:w="109"/>
        <w:gridCol w:w="278"/>
        <w:gridCol w:w="278"/>
        <w:gridCol w:w="246"/>
        <w:gridCol w:w="160"/>
        <w:gridCol w:w="160"/>
        <w:gridCol w:w="160"/>
        <w:gridCol w:w="278"/>
        <w:gridCol w:w="278"/>
        <w:gridCol w:w="193"/>
        <w:gridCol w:w="109"/>
        <w:gridCol w:w="109"/>
        <w:gridCol w:w="109"/>
        <w:gridCol w:w="368"/>
        <w:gridCol w:w="368"/>
        <w:gridCol w:w="211"/>
        <w:gridCol w:w="188"/>
        <w:gridCol w:w="188"/>
        <w:gridCol w:w="188"/>
        <w:gridCol w:w="283"/>
        <w:gridCol w:w="283"/>
        <w:gridCol w:w="290"/>
        <w:gridCol w:w="109"/>
        <w:gridCol w:w="109"/>
        <w:gridCol w:w="109"/>
        <w:gridCol w:w="368"/>
        <w:gridCol w:w="368"/>
        <w:gridCol w:w="401"/>
      </w:tblGrid>
      <w:tr>
        <w:trPr/>
        <w:tc>
          <w:tcPr>
            <w:tcW w:w="40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Identified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Net Proved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9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Drilling Locations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Reserves</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Avg. Daily</w:t>
            </w:r>
          </w:p>
        </w:tc>
      </w:tr>
      <w:tr>
        <w:trPr/>
        <w:tc>
          <w:tcPr>
            <w:tcW w:w="93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Gross  </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Production</w:t>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MBOE</w:t>
            </w:r>
            <w:r>
              <w:rPr>
                <w:rFonts w:ascii="Times New Roman;sans-serif" w:hAnsi="Times New Roman;sans-serif"/>
                <w:b/>
                <w:color w:val="000000"/>
                <w:sz w:val="10"/>
              </w:rPr>
              <w:t>(3)</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(BOE/d)</w:t>
            </w:r>
            <w:r>
              <w:rPr>
                <w:rFonts w:ascii="Times New Roman;sans-serif" w:hAnsi="Times New Roman;sans-serif"/>
                <w:b/>
                <w:color w:val="000000"/>
                <w:sz w:val="10"/>
              </w:rPr>
              <w:t>(3)</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Southeast New Mexico/West Texas:</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Delaware Basin</w:t>
            </w:r>
            <w:r>
              <w:rPr>
                <w:rFonts w:ascii="Times New Roman;sans-serif" w:hAnsi="Times New Roman;sans-serif"/>
                <w:b w:val="false"/>
                <w:color w:val="000000"/>
                <w:sz w:val="10"/>
              </w:rPr>
              <w:t>(4)</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606,196 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166,273 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 Texas:</w:t>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Eagle Ford</w:t>
            </w:r>
            <w:r>
              <w:rPr>
                <w:rFonts w:ascii="Times New Roman;sans-serif" w:hAnsi="Times New Roman;sans-serif"/>
                <w:b w:val="false"/>
                <w:color w:val="000000"/>
                <w:sz w:val="10"/>
              </w:rPr>
              <w:t>(5)</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Haynesville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Cotton Valley</w:t>
            </w:r>
            <w:r>
              <w:rPr>
                <w:rFonts w:ascii="Times New Roman;sans-serif" w:hAnsi="Times New Roman;sans-serif"/>
                <w:b w:val="false"/>
                <w:color w:val="000000"/>
                <w:sz w:val="10"/>
              </w:rPr>
              <w:t>(6)</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Area Total</w:t>
            </w:r>
            <w:r>
              <w:rPr>
                <w:rFonts w:ascii="Times New Roman;sans-serif" w:hAnsi="Times New Roman;sans-serif"/>
                <w:b w:val="false"/>
                <w:color w:val="000000"/>
                <w:sz w:val="10"/>
              </w:rPr>
              <w:t>(7)</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3,492 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w:t>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349,400 </w:t>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218,900 </w:t>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2,314 </w:t>
            </w:r>
          </w:p>
        </w:tc>
        <w:tc>
          <w:tcPr>
            <w:tcW w:w="1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1,107.6 </w:t>
            </w:r>
          </w:p>
        </w:tc>
        <w:tc>
          <w:tcPr>
            <w:tcW w:w="1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5,361 </w:t>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1,923 </w:t>
            </w:r>
          </w:p>
        </w:tc>
        <w:tc>
          <w:tcPr>
            <w:tcW w:w="1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611,536 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170,751 </w:t>
            </w:r>
          </w:p>
        </w:tc>
        <w:tc>
          <w:tcPr>
            <w:tcW w:w="4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(1)Identified and engineered drilling locations. These locations have been identified for potential future drilling and were not producing at December 31, 2024. The total net engineered drilling locations are calculated by multiplying the gross engineered drilling locations in an operating area by our working interest participation in such locations. Individual horizontal drilling locations generally represent a variety of lateral lengths, from one mile to greater than two miles, based upon our current assumptions for a well that could be drilled at that location given our current acreage position. At December 31, 2024, approximately 77% of these identified drilling locations in the Delaware Basin were expected to be horizontal laterals with lateral lengths of approximately two miles or greater, and approximately 89% are expected to have lateral lengths of approximately 1.5 miles or greater. At December 31, 2024, these engineered drilling locations included 439 gross (258 net) operated and non-operated locations to which we have assigned proved undeveloped reserves, primarily in the Wolfcamp or Bone Spring plays, but also in the Brushy Canyon and Avalon formations, in the Delaware Basin. At December 31, 2024, we had assigned no proved undeveloped reserves to our leasehold in Northwest Louisiana.</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(2)These estimates were prepared by our engineering staff and audited by Netherland, Sewell &amp; Associates, Inc., independent reservoir engineers. For additional information regarding our oil and natural gas reserves, see “—Estimated Proved Reserves” and Supplemental Oil and Natural Gas Disclosures included in the unaudited supplementary information in this Annual Report, which is incorporated herein by reference.</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(3)Production volumes and proved reserves reported in two streams: oil and natural gas, including both dry and liquids-rich natural gas. Estimated using a conversion ratio of one Bbl of oil per six Mcf of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(4)Includes potential future engineered drilling locations in the Wolfcamp, Bone Spring, Brushy Canyon, Yeso and Avalon plays on our acreage in the Delaware Basin at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(5)Includes one well producing oil from the Austin Chalk formation in La Salle County, Texas.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(6)Includes the Cotton Valley formation and shallower zones.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(7)Some of the same leases cover the net acres shown for both the Haynesville formation and the shallower Cotton Valley formation. Therefore, the sum of the net acreage for both formations is not equal to the total net acreage for Northwest Louisiana. This total includes acreage that we are producing from or that we believe to be prospective for these formations.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active both as an operator and as a non-operating, co-working interest owner with various industry participants. At December 31, 2024, we operated a significant majority of our acreage in the Delaware Basin in Southeast New Mexico and West Texas. In those wells where we are not the operator, our working interests are often relatively small. At December 31, 2024, we also operated approximately 100% of our Eagle Ford acreage and approximately 51% of our Northwest Louisiana acreage.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While we do not always have direct access to our operating partners’ drilling plans with respect to future well locations on non-operated properties, we do attempt to maintain ongoing communications with the technical staff of these operators in an effort to understand their drilling plans for purposes of our capital expenditure budget and our booking of related proved undeveloped well locations and reserves. We review these locations with Netherland, Sewell &amp; Associates, Inc., independent reservoir engineers, on a periodic basis to ensure their concurrence with our estimates of these drilling plans and our approach to booking these reserves.</w:t>
      </w:r>
    </w:p>
    <w:p>
      <w:pPr>
        <w:pStyle w:val="TextBody"/>
        <w:bidi w:val="0"/>
        <w:spacing w:lineRule="auto" w:line="288" w:before="120" w:after="283"/>
        <w:jc w:val="left"/>
        <w:rPr/>
      </w:pPr>
      <w:r>
        <w:rPr>
          <w:rFonts w:ascii="Times New Roman;sans-serif" w:hAnsi="Times New Roman;sans-serif"/>
          <w:b w:val="false"/>
          <w:i/>
          <w:color w:val="000000"/>
          <w:sz w:val="20"/>
        </w:rPr>
        <w:t xml:space="preserve">Southeast New Mexico and West Texas </w:t>
      </w:r>
      <w:r>
        <w:rPr>
          <w:color w:val="000000"/>
        </w:rPr>
        <w:t xml:space="preserve">— </w:t>
      </w:r>
      <w:r>
        <w:rPr>
          <w:rFonts w:ascii="Times New Roman;sans-serif" w:hAnsi="Times New Roman;sans-serif"/>
          <w:b w:val="false"/>
          <w:i/>
          <w:color w:val="000000"/>
          <w:sz w:val="20"/>
        </w:rPr>
        <w:t>Delaware Basin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greater Permian Basin in Southeast New Mexico and West Texas is a mature exploration and production region with extensive developments in a wide variety of petroleum systems resulting in stacked target horizons in many areas. Historically, the majority of development in this basin had focused on relatively conventional reservoir targets, but the combination of advanced formation evaluation, 3-D seismic technology, horizontal drilling and hydraulic fracturing technology has enhanced the development potential of this basin, particularly in the organic rich shales, or source rocks, of the Wolfcamp formation and in the low permeability sand and carbonate reservoirs of the Bone Spring, Brushy Canyon and Avalon formations.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western part of the Permian Basin, also known as the Delaware Basin, there are multiple horizontal targets in a given area that exist within the several thousand feet of hydrocarbon bearing layers that make up the Bone Spring and Wolfcamp plays. Multiple horizontal drilling and completion targets are being identified and targeted by companies, including us, throughout the vertical section, including the Brushy Canyon, Avalon and Bone Spring (First, Second and Third Sand and Carbonate) and several intervals within the Wolfcamp shale, often identified as Wolfcamp A through 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our total acreage position in Southeast New Mexico and West Texas was approximately 328,000 gross (198,700 net) acres, primarily in Lea and Eddy Counties, New Mexico and Loving, Ward and Winkler Counties, Texas. These acreage totals included approximately 73,700 gross (42,100 net) acres in our Ranger asset area in Lea County, 59,600 gross (24,000 net) acres in our Arrowhead asset area in Eddy County, 47,000 gross (26,500 net) acres in our Rustler Breaks asset area in Eddy County, 63,800 gross (50,400 net) acres in our Antelope Ridge asset area in Lea County, 2,900 gross (2,900 net) acres in our Stateline asset area in Eddy County, 47,300 gross (30,000 net) acres in our Twin Lakes asset area in Lea County and 33,200 gross (22,300 net) acres in our West Texas asset area in Loving, Ward and Winkler Counties at December 31, 2024. We consider the vast majority of our Delaware Basin acreage position to be prospective for oil and liquids-rich targets in the Bone Spring and Wolfcamp formations. Other potential targets on certain portions of our acreage include the Brushy Canyon and Avalon formations, as well as the Abo, Strawn, Devonian, Penn Shale, Atoka, Yeso and Morrow formations. At December 31, 2024, our acreage position in the Delaware Basin was approximately 79% held by existing production. Excluding the Twin Lakes asset area, our acreage position in the Delaware Basin was approximately 88% held by existing production at December 31,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continued the delineation and development of our Delaware Basin acreage. We completed and began producing oil and natural gas from 251 gross (110.2 net) horizontal wells in the Delaware Basin, including 124 gross (101.9 net) operated horizontal wells and 127 gross (8.3 net) non-operated horizontal wells, throughout our various asset areas. At December 31, 2024, we had tested a number of different producing horizons at various locations across our acreage position, including the Brushy Canyon, two benches of the Avalon, two benches of the First Bone Spring, the Second Bone Spring Carbonate, three benches of the Second Bone Spring Sand, three benches of the Third Bone Spring Carbonate, two benches of the Third Bone Spring Sand, four benches of the Wolfcamp A, including the X, Y and Z sands and the more organic, lower section of the Wolfcamp A, three benches of the Wolfcamp B, the Wolfcamp D, the Strawn and the Morrow.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ongoing drilling and completion operations in these asset areas and the Ameredev Acquisition, our Delaware Basin production increased significantly in 2024. Our average daily oil equivalent production from the Delaware Basin increased approximately 31% to 166,273 BOE per day (97% of total oil equivalent production), including 99,086 Bbl of oil per day (99% of total oil production) and 403.1 MMcf of natural gas per day (95% of total natural gas production),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126,720 BOE per day (96% of total oil equivalent production), including 74,697 Bbl of oil per day (99% of total oil production) and 312.1 MMcf of natural gas per day (92% of total natural gas production), in 2023.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approximately 99% of our estimated total proved oil and natural gas reserves, or 606.2 million BOE, was attributable to the Delaware Basin, including approximately 360.4 million Bbl of oil and 1.47 Tcf of natural gas, a 34% increase, as compared to 452.6 million BOE for the year ended December 31, 2023. Our Delaware Basin proved reserves at December 31, 2024 comprised approximately 100% of our proved oil reserves and 98% of our proved natural gas reserves, as compared to approximately 99% of our proved oil reserves and 97% of our proved natural gas reserves at December 31,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identified 5,080 gross (1,869 net) engineered locations for potential future drilling on our Delaware Basin acreage, primarily in the Wolfcamp and Bone Spring plays, but also including the shallower Brushy Canyon, Yeso and Avalon formations. At December 31, 2024, these locations had a total net lateral length of approximately 18.3 million feet, or 3,680 miles, an increase of 22% as compared to the total net lateral length of approximately 15.0 million feet, or 2,975 miles, as of December 31, 2023. These locations include 2,546 gross (1,667 net) locations that we anticipate operating as we hold a working interest of at least 25% in each of these locations. Individual horizontal drilling locations represent a variety of lateral lengths, from one mile to greater than two miles based upon our current assumptions for a well that could be drilled at specified locations given our current acreage position. At December 31, 2024, approximately 77% of these identified drilling locations are expected to have horizontal lateral lengths of approximately two miles or greater and approximately 89% are expected to have horizontal lateral lengths of approximately 1.5 miles or greater. These engineered locations have been identified on a property-by-property basis and take into account criteria such as anticipated geologic conditions and reservoir properties, estimated rates of return, estimated recoveries from our Delaware Basin wells and other nearby wells based on available public data, drilling densities anticipated on our properties and properties of other operators, estimated drilling and completion costs, spacing and other rules established by regulatory authorities and surface considerations, among other criteria. Our engineered well locations, at December 31, 2024, do not yet include all portions of our acreage position. Our identified well locations presume that multiple intervals may be prospective at any one surface location. Although we believe that denser well spacing may be possible in certain asset areas or in certain formations, at December 31, 2024, the majority of our estimated locations were based on the assumption of 160-acre well spacing. As we explore and develop our Delaware Basin acreage further, we anticipate that we may identify additional locations for future drilling. At December 31, 2024, these potential future drilling locations included 439 gross (258 net) operated and non-operated locations in the Delaware Basin, primarily in the Wolfcamp and Bone Spring plays, but also in the Brushy Canyon and Avalon, to which we have assigned proved undeveloped reserves.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We began 2024 o</w:t>
      </w:r>
      <w:r>
        <w:rPr>
          <w:rFonts w:ascii="Times New Roman;sans-serif" w:hAnsi="Times New Roman;sans-serif"/>
          <w:b w:val="false"/>
          <w:color w:val="000000"/>
          <w:sz w:val="20"/>
          <w:shd w:fill="FFFFFF" w:val="clear"/>
        </w:rPr>
        <w:t xml:space="preserve">perating seven drilling rigs in the Delaware Basin. We added an eighth operated drilling rig in the first quarter of 2024 and a ninth operated drilling rig late in the second quarter of 2024. Upon the consummation of the Ameredev Acquisition, we continued operating a total of nine drilling rigs for the combined Matador and Ameredev properties. </w:t>
      </w:r>
      <w:r>
        <w:rPr>
          <w:rFonts w:ascii="Times New Roman;sans-serif" w:hAnsi="Times New Roman;sans-serif"/>
          <w:b w:val="false"/>
          <w:color w:val="000000"/>
          <w:sz w:val="20"/>
        </w:rPr>
        <w:t>We have built significant optionality into our drilling program, which should generally allow us to decrease or increase the number of rigs we operate as necessary based on changing commodity prices and other factors.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Antelope Ridge Asset Area - Lea County, New Mexico</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Antelope Ridge asset area, we turned to sales 60 gross (52.2 net) operated wells and 14 gross (0.9 net) non-operated wells during 2024.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we achieved an operational milestone when we turned to sales 21 gross (18.9 net) wells in the Antelope Ridge asset area that were acquired as part of the Advance Acquisition. Each of these wells had a lateral length of 1.5 miles, resulting in approximately 155,000 completed lateral feet. These wells included three First Bone Spring, six Second Bone Spring, three Third Bone Spring, six Third Bone Spring Carbonate, and three Wolfcamp A-XY completions, which averaged 24-hour initial production tests of 1,728 BOE per day with oil cuts averaging 83% and have in aggregate produced 4.2 million BOE in approximately eight months of production.</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turned to sales an additional 39 gross (33.3 net) operated wells in the Antelope Ridge asset area at various times during 2024. In total, these 39 Antelope Ridge wells, which included eight First Bone Spring, 12 Second Bone Spring, seven Third Bone Spring, four Third Bone Spring Carbonate, three Wolfcamp A-XY, two Wolfcamp A, two Wolfcamp B and one Wolfcamp D completions, have produced in aggregate approximately 2.4 million BOE in an average of approximately three months of production. These 39 wells had average completed lateral lengths of approximately 9,500 feet.</w:t>
      </w:r>
    </w:p>
    <w:p>
      <w:pPr>
        <w:pStyle w:val="TextBody"/>
        <w:bidi w:val="0"/>
        <w:spacing w:lineRule="auto" w:line="26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Stateline Asset Area - Eddy County, New Mexico</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turned to sales six gross (6.0 net) operated wells in the Stateline asset area during 2024. These wells, which included four Upper Avalon and two Lower Avalon completions, have produced in aggregate approximately 0.4 million BOE in approximately seven months of production. These six wells had average completed lateral lengths of approximately 12,100 feet.</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turned to sales 18 gross (0.4 net) non-operated wells in the Stateline asset area during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6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Ranger and Twin Lakes Asset Areas - Lea County, New Mexico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Ranger asset area, we turned to sales ten gross (7.9 net) operated wells and 14 gross (1.9 net) non-operated wells during 2024. In the Twin Lakes asset area, we did not turn to sales or participate in any horizontal operated or non-operated wells during 2024.</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total, these ten Ranger operated wells, which included four First Bone Spring, four Second Bone Spring, one Third Bone Spring and one Avalon completions, have produced in aggregate approximately 1.5 million BOE in an average of approximately eight months of production. These ten wells had average completed lateral lengths of approximately 10,100 feet.</w:t>
      </w:r>
    </w:p>
    <w:p>
      <w:pPr>
        <w:pStyle w:val="TextBody"/>
        <w:bidi w:val="0"/>
        <w:spacing w:lineRule="auto" w:line="26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Arrowhead Asset Area - Eddy County, New Mexico</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turned to sales 16 gross (12.3 net) operated wells in the Arrowhead asset area during 2024. These wells, which included eight Wolfcamp A and eight Second Bone Spring completions, have produced in aggregate approximately 2.5 million BOE in approximately six months of production. These 16 wells had average completed lateral lengths of approximately 9,800 feet.</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turned to sales 23 gross (1.7 net) non-operated wells in the Arrowhead asset area during 2024. </w:t>
      </w:r>
    </w:p>
    <w:p>
      <w:pPr>
        <w:pStyle w:val="TextBody"/>
        <w:bidi w:val="0"/>
        <w:spacing w:lineRule="auto" w:line="26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Rustler Breaks Asset Area - Eddy County, New Mexico</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turned to sales 32 gross (23.5 net) operated wells in the Rustler Breaks asset area during 2024. In total, these 32 Rustler Breaks wells, which included ten First Bone Spring, six Second Bone Spring, 12 Third Bone Spring Carbonate and four Wolfcamp B completions, have produced in aggregate approximately 5.7 million BOE in an average of approximately six months of production. These 32 wells had average completed lateral lengths of approximately 9,100 feet.</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turned to sales 48 gross (3.2 net) non-operated wells in the Rustler Breaks asset area during 2024. </w:t>
      </w:r>
    </w:p>
    <w:p>
      <w:pPr>
        <w:pStyle w:val="TextBody"/>
        <w:bidi w:val="0"/>
        <w:spacing w:lineRule="auto" w:line="26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West Texas Asset Area - Loving, Ward and Winkler Counties, Texas</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turned to sales ten gross (0.2 net) non-operated wells in the West Texas asset area during 2024. </w:t>
      </w:r>
    </w:p>
    <w:p>
      <w:pPr>
        <w:pStyle w:val="TextBody"/>
        <w:bidi w:val="0"/>
        <w:spacing w:lineRule="auto" w:line="288" w:before="120" w:after="283"/>
        <w:jc w:val="left"/>
        <w:rPr/>
      </w:pPr>
      <w:r>
        <w:rPr>
          <w:rFonts w:ascii="Times New Roman;sans-serif" w:hAnsi="Times New Roman;sans-serif"/>
          <w:b w:val="false"/>
          <w:i/>
          <w:color w:val="000000"/>
          <w:sz w:val="20"/>
        </w:rPr>
        <w:t xml:space="preserve">South Texas </w:t>
      </w:r>
      <w:r>
        <w:rPr>
          <w:color w:val="000000"/>
        </w:rPr>
        <w:t xml:space="preserve">— </w:t>
      </w:r>
      <w:r>
        <w:rPr>
          <w:rFonts w:ascii="Times New Roman;sans-serif" w:hAnsi="Times New Roman;sans-serif"/>
          <w:b w:val="false"/>
          <w:i/>
          <w:color w:val="000000"/>
          <w:sz w:val="20"/>
        </w:rPr>
        <w:t>Eagle Ford Shale and Other Formations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2024, we divested certain non-core assets in the Eagle Ford shale for approximately $11.5 million. At December 31, 2024, our remaining properties included approximately 2,900 gross (2,900 net) acres in the Eagle Ford shale play in South Texas. All of our Eagle Ford leasehold was held by existing production at December 31,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conduct any operated drilling and completion activities on our leasehold properties in South Texas during the year ended December 31, 2024. In fact, as of December 31, 2024, we had not completed any new operated wells in the Eagle Ford shale since the second quarter of 2019. As a result of not completing any new operated wells since 2019 and our asset sales during the year, our average daily oil equivalent production from the Eagle Ford shale decreased 8% to 986 BOE per day, including 719 Bbl of oil per day and 1.6 MMcf of natural gas per day, during 2024, as compared to 1,068 BOE per day, including 755 Bbl of oil per day and 1.9 MMcf of natural gas per day, during 2023. For each of the years ended December 31, 2024 and 2023, less than 1% of our total daily oil equivalent production was attributable to the Eagle Ford shale.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less than 1% of our estimated total proved oil and natural gas reserves, or 1.7 million BOE, was attributable to the Eagle Ford shale, including approximately 1.4 million Bbl of oil and 1.4 Bcf of natural gas. Our Eagle Ford total proved reserves comprised less than 1% of our proved oil reserves and less than 1% of our proved natural gas reserves at December 31, 2024, essentially unchanged from December 31, 2023.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Northwest Louisiana — Haynesville Shale, Cotton Valley and Other Formations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did not conduct any operated drilling and completion activities on our leasehold properties in Northwest Louisiana during 2024, although we did participate in the drilling and completion of eight gross (0.1 net) non-operated Haynesville shale wells that were turned to sales in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we held approximately 18,500 gross (17,300 net) acres in Northwest Louisiana, including 16,200 gross (8,900 net) acres in the Haynesville shale play and 15,700 gross (14,800 net) acres in the Cotton Valley play. We operate substantially all of our Cotton Valley and shallower production on our leasehold interests in Northwest Louisiana, as well as all of our Haynesville production on the acreage outside of what we believe to be the core area of the Haynesville shale play. We operate approximately 8% of the 11,600 gross (4,700 net) acres that we consider to be in the core area of the Haynesville shale play. All of our leasehold in the Haynesville and Cotton Valley plays in Northwest Louisiana was held by existing production at December 31, 2024.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approximately 2% of our average daily oil equivalent production, or 3,492 BOE per day, including three Bbl of oil per day and 21.0 MMcf of natural gas per day, was attributable to our leasehold interests in Northwest Louisiana, while for the year ended December 31, 2023, approximately 3% of our average daily oil equivalent production, or 4,025 BOE per day, including five Bbl of oil per day and 24.1 MMcf of natural gas per day, was attributable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properties in Northwest Louisiana. For the year ended December 31, 2024, approximately 5% of our daily natural gas production, or 21.0 MMcf of natural gas per day, was attributable to our leasehold interests in Northwest Louisiana, while for the year ended December 31, 2023, approximately 7% of our daily natural gas production, or 24.1 MMcf of natural gas per day, was attributable to these properties. At December 31, 2024, less than 1% of our estimated total proved reserves, or 3.7 million BOE, was attributable to our properties in Northwest Louisiana.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Midstream Segment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midstream segment conducts midstream operations in support of, and provides flow assurance for, our exploration, development and production operations and provides natural gas processing, oil transportation services, oil, natural gas and produced water gathering services and produced water disposal services to third parties.</w:t>
      </w:r>
    </w:p>
    <w:p>
      <w:pPr>
        <w:pStyle w:val="TextBody"/>
        <w:bidi w:val="0"/>
        <w:spacing w:lineRule="auto" w:line="288" w:before="120" w:after="283"/>
        <w:jc w:val="left"/>
        <w:rPr/>
      </w:pPr>
      <w:r>
        <w:rPr>
          <w:rFonts w:ascii="Times New Roman;sans-serif" w:hAnsi="Times New Roman;sans-serif"/>
          <w:b w:val="false"/>
          <w:i/>
          <w:color w:val="000000"/>
          <w:sz w:val="20"/>
        </w:rPr>
        <w:t xml:space="preserve">Southeast New Mexico and West Texas </w:t>
      </w:r>
      <w:r>
        <w:rPr>
          <w:color w:val="000000"/>
        </w:rPr>
        <w:t xml:space="preserve">— </w:t>
      </w:r>
      <w:r>
        <w:rPr>
          <w:rFonts w:ascii="Times New Roman;sans-serif" w:hAnsi="Times New Roman;sans-serif"/>
          <w:b w:val="false"/>
          <w:i/>
          <w:color w:val="000000"/>
          <w:sz w:val="20"/>
        </w:rPr>
        <w:t>Delaware Basin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17, 2017, we announced the formation of San Mateo, a strategic joint venture with Five Point. The midstream assets that were contributed to San Mateo included (i) San Mateo’s Black River cryogenic natural gas processing plant in Eddy County, New Mexico (the “Black River Processing Plant”) (before its expansions); (ii) one salt water disposal well and a related commercial salt water disposal facility in the Rustler Breaks asset area; (iii) three salt water disposal wells and related commercial salt water disposal facilities in the West Texas asset area and (iv) substantially all related oil, natural gas and produced water gathering systems and pipelines in both the Rustler Breaks asset area and in Loving County, Texas (collectively, the “Delaware Midstream Assets”). We received $171.5 million in connection with the formation of San Mateo and earned all of the potential $73.5 million in performance incentives through January 31, 2023. In connection with the formation of San Mateo, we dedicated to San Mateo current and certain future leasehold interests in the Rustler Breaks asset area and the Wolf portion of the West Texas asset area pursuant to 15-year, fixed fee oil, natural gas and produced water gathering and produced water disposal agreements. In addition, we dedicated current and certain future leasehold interests in the Rustler Breaks asset area to San Mateo pursuant to a 15-year, fixed fee natural gas processing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25, 2019, we announced the formation of San Mateo Midstream II, LLC (“San Mateo II”), a strategic joint venture with Five Point designed to expand our midstream operations in the Delaware Basin, specifically in Eddy County, New Mexico. In addition, Five Point committed to pay $125.0 million of the first $150.0 million of capital expenditures incurred by San Mateo II to develop facilities in the Greater Stebbins Area and the Stateline asset area. The $150.0 million threshold for capital expenditures was reached during 2020 and additional capital expenditures are the responsibility of the Company and Five Point based on each company’s proportionate interest in San Mateo. In addition, we earned $108.2 million in performance incentives through September 30, 2024. In connection with the formation of San Mateo II, we dedicated to San Mateo II acreage in the Greater Stebbins Area and the Stateline asset area pursuant to 15-year, fixed-fee oil transportation, oil, natural gas and produced water gathering, natural gas processing and produced water disposal agreements.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October 1, 2020, San Mateo II merged with and into San Mateo. The Company and Five Point own 51% and 49% of San Mateo, respectively. San Mateo provides firm service to us, while also being a midstream service provider to other customers in and around our Stateline, West Texas and Rustler Breaks asset areas and the Greater Stebbins Area. We retain operational control of San Mateo and continue to operate the Delaware Midstream Assets, the expanded Black River Processing Plant and the other midstream facilities that have been developed in the Greater Stebbins Area and the Stateline asset area.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June 30, 2022, we acquired Pronto, including the Marlan Processing Plant, three compressor stations and approximately 45 miles of natural gas gathering pipelines in Lea and Eddy Counties, New Mexico.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18, 2024, we completed the Ameredev Acquisition, which included approximately 180 miles of gas gathering, water gathering and oil transportation and gathering pipeline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2024, we completed the Pronto Transaction, pursuant to which we contributed Pronto, a wholly-owned subsidiary of the Company, to San Mateo, and Five Point made a cash contribution to San Mateo of $171.5 million. In connection with the Pronto Transaction, we received a special distribution from San Mateo of approximately $219.8 million. In addition, we have the potential to earn up to $75.0 million in incentive payments from Five Point over a five-year period. San Mateo continues to be owned 51% by us and 49% by Five Point. </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Pronto owns and operates the Marlan Processing Plant, which has a designed inlet capacity of 60 MMcf of natural gas per day. Pronto is expanding the Marlan Processing Plant to add an additional plant with a designed inlet capacity of 200 MMcf of natural gas per day, which would increase the total capacity of the Marlan Processing Plant to 260 MMcf of natural gas per day. Pronto also owns and operates five compressor stations and approximately 120 miles of natural gas gathering pipelines in Lea and Eddy Counties, New Mexico. </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Pronto Transaction, Matador dedicated to Pronto its current and certain future leasehold interests in the Ranger and Antelope Ridge asset areas pursuant to 15-year, fixed fee natural gas gathering, compression, treating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processing agreements whereby Pronto will gather, compress, treat and process natural gas produced from our operated wells in northern Lea County, New Mexico. In addition, Pronto entered into certain agreements with Northwind, an affiliate of Five Point, whereby Northwind will treat certain sour gas gathered and delivered by Pronto in northern Lea County, New Mexico. Under these agreements, Northwind will redeliver the treated sweet gas from Pronto and other third-party customers to Pronto for processing.</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Natural Gas Gathering and Processing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Black River Processing Plant and associated gathering system were originally built to support our ongoing and future development efforts in the Rustler Breaks asset area and to provide us with firm takeaway and processing services for our Rustler Breaks natural gas production. We had previously completed the installation and testing of a 12-inch natural gas trunk line and associated gathering lines running throughout the length of our Rustler Breaks acreage position, and these natural gas gathering lines are being used to gather almost all of our operated natural gas production at Rustler Breaks.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San Mateo completed the construction and successful start-up of the expansion of the Black River Processing Plant to add an incremental designed inlet capacity of 200 MMcf of natural gas per day to the existing designed inlet capacity of 260 MMcf of natural gas per day, bringing the total designed inlet capacity to 460 MMcf of natural gas per day. The expanded Black River Processing Plant supports our exploration and development activities in the Delaware Basin and, at December 31, 2024, was also gathering and processing natural gas from the Stateline asset area and from the Greater Stebbins Area. The Black River Processing Plant also processes natural gas from our Rustler Breaks asset area and provides natural gas processing services for other San Mateo customers in the area.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San Mateo had approximately 43 miles of large diameter natural gas gathering pipelines between the Black River Processing Plant and the Stateline asset area (approximately 24 miles) and the Greater Stebbins Area (approximately 19 miles). At December 31, 2024, San Mateo was gathering or transporting almost all our operated natural gas production via pipeline in the Stateline asset area, the Greater Stebbins Area, the Rustler Breaks asset area and the Wolf portion of our West Texas asset area.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at December 31, 2024, San Mateo had NGL pipeline connections at the Black River Processing Plant to the NGL pipelines owned by EPIC Y-Grade Pipeline LP and Enterprise Products Partners L.P. These NGL connections provide several significant benefits to us and other San Mateo customers compared to transporting NGLs by truck. San Mateo’s customers receive (i) firm NGL takeaway out of the Delaware Basin, (ii) increased NGL recoveries, (iii) improved pricing realizations through lower transportation and fractionation costs, (iv) increased optionality through San Mateo’s ability to operate the Black River Processing Plant in ethane recovery mode, if desired, and (v) a reliable alternative to pipe rather than to truck NGLs during severe weather events and otherwise.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Wolf portion of the West Texas asset area in Loving County, Texas, San Mateo gathers our natural gas production with the natural gas gathering system we retained following the sale of our wholly-owned subsidiary that owned certain natural gas gathering and processing assets in the West Texas asset area, including a cryogenic natural gas processing plant and approximately six miles of high-pressure gathering pipelines.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San Mateo’s natural gas gathering systems included natural gas gathering pipelines and related compression and treating systems. During the year ended December 31, 2024, San Mateo gathered an average of approximately 426 MMcf of natural gas per day, an increase of 19% as compared to 358 MMcf of natural gas per day gathered during the year ended December 31, 2023. In addition, during the year ended December 31, 2024, San Mateo processed approximately 403 MMcf of natural gas per day at the Black River Processing Plant, an increase of 6%, as compared to 381 MMcf of natural gas per day processed during the year ended December 31, 2023. </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Crude Oil Gathering and Transportation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Mateo and Plains have entered into a strategic relationship to gather and transport crude oil for upstream producers in Eddy County, New Mexico and have agreed to work together through a joint tariff arrangement and related transactions to offer producers located within a joint development area crude oil transportation services from the wellhead to Midland, Texas with access to other end markets.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San Mateo had (i) a crude oil gathering and transportation system in the Greater Stebbins Area that was connected to the existing interconnect in the Rustler Breaks asset area totaling approximately 80 miles of various diameter crude oil pipelines and (ii) a crude oil gathering system in the Stateline asset area. With these oil gathering and transportation systems (collectively with the crude oil gathering and transportation system in the Rustler Breaks asset area and the crude oil gathering system in the West Texas asset area, the “San Mateo Oil Pipeline Systems”) in service, at December 31, 2024, we estimated almost all of our oil production from the Stateline, West Texas and Rustler Breaks asset areas and the Greater Stebbins Area was transported by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the San Mateo Oil Pipeline Systems included crude oil gathering and transportation pipelines from points of origin in Eddy County, New Mexico and Loving County, Texas to interconnects with Plains and two trucking facilities. During the year ended December 31, 2024, the San Mateo Oil Pipeline Systems had throughput of approximately 52,600 Bbl of oil per day, an increase of 21%, as compared to throughput of approximately 43,600 Bbl of oil per day during the year ended December 31, 2023. </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Produced Water Gathering and Disposal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San Mateo had four commercial salt water disposal wells and associated facilities in the Greater Stebbins Area, nine commercial salt water disposal wells and associated facilities in the Rustler Breaks asset area, three commercial salt water disposal wells and associated facilities in the West Texas asset area and produced water gathering systems in the Stateline, Rustler Breaks and West Texas asset areas and the Greater Stebbins Area. At December 31, 2024, San Mateo had designed disposal capacity of approximately 475,000 Bbl of produced water per day.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San Mateo handled approximately 462,400 Bbl of produced water per day, an increase of 23%, as compared to approximately 376,000 Bbl of produced water per day handled during the year ended December 31, 2023.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South Texas / Northwest Louisiana</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South Texas, we own a natural gas gathering system that gathers natural gas production from certain of our operated Eagle Ford leases. In Northwest Louisiana, we have midstream assets that gather natural gas from most of our operated leases. Our midstream assets in South Texas and Northwest Louisiana are not part of San Mateo as of December 31, 2024.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Operating Summary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unaudited production and operating data for the years ended December 31, 2024, 2023 and 2022.</w:t>
      </w:r>
    </w:p>
    <w:tbl>
      <w:tblPr>
        <w:tblW w:w="7940" w:type="dxa"/>
        <w:jc w:val="left"/>
        <w:tblInd w:w="0" w:type="dxa"/>
        <w:tblLayout w:type="fixed"/>
        <w:tblCellMar>
          <w:top w:w="28" w:type="dxa"/>
          <w:left w:w="28" w:type="dxa"/>
          <w:bottom w:w="28" w:type="dxa"/>
          <w:right w:w="28" w:type="dxa"/>
        </w:tblCellMar>
      </w:tblPr>
      <w:tblGrid>
        <w:gridCol w:w="1309"/>
        <w:gridCol w:w="1149"/>
        <w:gridCol w:w="1157"/>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761"/>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 Production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Production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630"/>
              <w:jc w:val="left"/>
              <w:rPr/>
            </w:pPr>
            <w:r>
              <w:rPr>
                <w:rFonts w:ascii="Times New Roman;sans-serif" w:hAnsi="Times New Roman;sans-serif"/>
                <w:b w:val="false"/>
                <w:color w:val="000000"/>
                <w:sz w:val="16"/>
              </w:rPr>
              <w:t>Total oil equivalent (MBOE)</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630"/>
              <w:jc w:val="left"/>
              <w:rPr/>
            </w:pPr>
            <w:r>
              <w:rPr>
                <w:rFonts w:ascii="Times New Roman;sans-serif" w:hAnsi="Times New Roman;sans-serif"/>
                <w:b w:val="false"/>
                <w:color w:val="000000"/>
                <w:sz w:val="16"/>
              </w:rPr>
              <w:t>Average daily production (BOE/d)</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Sales Prices: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without realized derivatives (per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with realized derivatives (per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without realized derivatives (per Mcf)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with realized derivatives (per 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 (per BOE):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taxes, transportation and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Plant and other midstream services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(1)Estimated using a conversion ratio of one Bbl of oil per six Mcf of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production volumes, sales prices and production costs for the year ended December 31, 2024 from our operating areas, which we consider to be distinct fields for purposes of accounting for production.</w:t>
      </w:r>
    </w:p>
    <w:tbl>
      <w:tblPr>
        <w:tblW w:w="10205" w:type="dxa"/>
        <w:jc w:val="left"/>
        <w:tblInd w:w="0" w:type="dxa"/>
        <w:tblLayout w:type="fixed"/>
        <w:tblCellMar>
          <w:top w:w="28" w:type="dxa"/>
          <w:left w:w="28" w:type="dxa"/>
          <w:bottom w:w="28" w:type="dxa"/>
          <w:right w:w="28" w:type="dxa"/>
        </w:tblCellMar>
      </w:tblPr>
      <w:tblGrid>
        <w:gridCol w:w="1033"/>
        <w:gridCol w:w="908"/>
        <w:gridCol w:w="914"/>
        <w:gridCol w:w="109"/>
        <w:gridCol w:w="109"/>
        <w:gridCol w:w="109"/>
        <w:gridCol w:w="299"/>
        <w:gridCol w:w="850"/>
        <w:gridCol w:w="368"/>
        <w:gridCol w:w="109"/>
        <w:gridCol w:w="109"/>
        <w:gridCol w:w="109"/>
        <w:gridCol w:w="200"/>
        <w:gridCol w:w="570"/>
        <w:gridCol w:w="247"/>
        <w:gridCol w:w="109"/>
        <w:gridCol w:w="109"/>
        <w:gridCol w:w="109"/>
        <w:gridCol w:w="196"/>
        <w:gridCol w:w="556"/>
        <w:gridCol w:w="241"/>
        <w:gridCol w:w="109"/>
        <w:gridCol w:w="109"/>
        <w:gridCol w:w="109"/>
        <w:gridCol w:w="225"/>
        <w:gridCol w:w="641"/>
        <w:gridCol w:w="277"/>
        <w:gridCol w:w="109"/>
        <w:gridCol w:w="109"/>
        <w:gridCol w:w="109"/>
        <w:gridCol w:w="196"/>
        <w:gridCol w:w="556"/>
        <w:gridCol w:w="293"/>
      </w:tblGrid>
      <w:tr>
        <w:trPr/>
        <w:tc>
          <w:tcPr>
            <w:tcW w:w="103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Southeast </w:t>
              <w:br/>
              <w:t>New Mexico/West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Eagle Ford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Haynesville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Cotton Valley</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Net Production Volumes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36,265 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36,530 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oil equivalent (MBOE)</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60,856 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62,495 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Percentage of total annual net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Net Daily Production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99,086 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99,808 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(BOE/d)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166,273 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170,751 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Average Sales Prices</w:t>
            </w:r>
            <w:r>
              <w:rPr>
                <w:rFonts w:ascii="Times New Roman;sans-serif" w:hAnsi="Times New Roman;sans-serif"/>
                <w:b/>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(per Mcf)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(per BOE)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51.05 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Production Costs</w:t>
            </w:r>
            <w:r>
              <w:rPr>
                <w:rFonts w:ascii="Times New Roman;sans-serif" w:hAnsi="Times New Roman;sans-serif"/>
                <w:b/>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transportation and processing (per BOE)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61 gross (41.0 net) wells from the Eagle Ford formation that were divested in 2024 and one well producing oil from the Austin Chalk formation in La Salle County, Texas that was divested in November 2024.</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the Cotton Valley formation and shallower zones.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(3)Production volumes reported in two streams: oil and natural gas, including both dry and liquids-rich natural gas. Estimated using a conversion ratio of one Bbl of oil per six Mcf of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(4)Excludes impact of derivative settlements.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(5)Excludes plant and other midstream services operating expenses, ad valorem taxes and oil and natural gas production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following table sets forth information regarding our production volumes, sales prices and production costs for the year ended December 31, 2023 from our operating areas, which we consider to be distinct fields for purposes of accounting for production.</w:t>
      </w:r>
      <w:r>
        <w:rPr>
          <w:color w:val="000000"/>
        </w:rPr>
        <w:t> </w:t>
      </w:r>
    </w:p>
    <w:tbl>
      <w:tblPr>
        <w:tblW w:w="10205" w:type="dxa"/>
        <w:jc w:val="left"/>
        <w:tblInd w:w="0" w:type="dxa"/>
        <w:tblLayout w:type="fixed"/>
        <w:tblCellMar>
          <w:top w:w="28" w:type="dxa"/>
          <w:left w:w="28" w:type="dxa"/>
          <w:bottom w:w="28" w:type="dxa"/>
          <w:right w:w="28" w:type="dxa"/>
        </w:tblCellMar>
      </w:tblPr>
      <w:tblGrid>
        <w:gridCol w:w="1026"/>
        <w:gridCol w:w="902"/>
        <w:gridCol w:w="908"/>
        <w:gridCol w:w="109"/>
        <w:gridCol w:w="109"/>
        <w:gridCol w:w="109"/>
        <w:gridCol w:w="303"/>
        <w:gridCol w:w="862"/>
        <w:gridCol w:w="373"/>
        <w:gridCol w:w="109"/>
        <w:gridCol w:w="109"/>
        <w:gridCol w:w="109"/>
        <w:gridCol w:w="200"/>
        <w:gridCol w:w="570"/>
        <w:gridCol w:w="246"/>
        <w:gridCol w:w="109"/>
        <w:gridCol w:w="109"/>
        <w:gridCol w:w="109"/>
        <w:gridCol w:w="196"/>
        <w:gridCol w:w="556"/>
        <w:gridCol w:w="241"/>
        <w:gridCol w:w="109"/>
        <w:gridCol w:w="109"/>
        <w:gridCol w:w="109"/>
        <w:gridCol w:w="225"/>
        <w:gridCol w:w="640"/>
        <w:gridCol w:w="277"/>
        <w:gridCol w:w="109"/>
        <w:gridCol w:w="109"/>
        <w:gridCol w:w="109"/>
        <w:gridCol w:w="196"/>
        <w:gridCol w:w="556"/>
        <w:gridCol w:w="293"/>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Southeast</w:t>
              <w:br/>
              <w:t> New Mexico/West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Eagle Ford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Haynesville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Cotton Valley</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Net Production Volumes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27,264 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27,542 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oil equivalent (MBOE)</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46,253 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48,112 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Percentage of total annual net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Net Daily Production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74,697 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75,457 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312.1 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(BOE/d)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126,720 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131,813 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Average Sales Prices</w:t>
            </w:r>
            <w:r>
              <w:rPr>
                <w:rFonts w:ascii="Times New Roman;sans-serif" w:hAnsi="Times New Roman;sans-serif"/>
                <w:b/>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(per Mcf)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(per BOE)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Production Costs</w:t>
            </w:r>
            <w:r>
              <w:rPr>
                <w:rFonts w:ascii="Times New Roman;sans-serif" w:hAnsi="Times New Roman;sans-serif"/>
                <w:b/>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transportation and processing (per BOE)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one well producing oil from the Austin Chalk formation in La Salle County, Texas.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the Cotton Valley formation and shallower zones and also includes one well producing from the Frio formation in Orange County, Texas that was divested in September 2023.</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(3)Production volumes reported in two streams: oil and natural gas, including both dry and liquids-rich natural gas. Estimated using a conversion ratio of one Bbl of oil per six Mcf of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(4)Excludes impact of derivative settlements.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(5)Excludes plant and other midstream services operating expenses, ad valorem taxes and oil and natural gas production taxes.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production volumes, sales prices and production costs for the year ended December 31, 2022 from our operating areas, which we consider to be distinct fields for purposes of accounting for production.</w:t>
      </w:r>
    </w:p>
    <w:tbl>
      <w:tblPr>
        <w:tblW w:w="10205" w:type="dxa"/>
        <w:jc w:val="left"/>
        <w:tblInd w:w="0" w:type="dxa"/>
        <w:tblLayout w:type="fixed"/>
        <w:tblCellMar>
          <w:top w:w="28" w:type="dxa"/>
          <w:left w:w="28" w:type="dxa"/>
          <w:bottom w:w="28" w:type="dxa"/>
          <w:right w:w="28" w:type="dxa"/>
        </w:tblCellMar>
      </w:tblPr>
      <w:tblGrid>
        <w:gridCol w:w="1026"/>
        <w:gridCol w:w="902"/>
        <w:gridCol w:w="908"/>
        <w:gridCol w:w="109"/>
        <w:gridCol w:w="109"/>
        <w:gridCol w:w="109"/>
        <w:gridCol w:w="303"/>
        <w:gridCol w:w="862"/>
        <w:gridCol w:w="373"/>
        <w:gridCol w:w="109"/>
        <w:gridCol w:w="109"/>
        <w:gridCol w:w="109"/>
        <w:gridCol w:w="200"/>
        <w:gridCol w:w="570"/>
        <w:gridCol w:w="246"/>
        <w:gridCol w:w="109"/>
        <w:gridCol w:w="109"/>
        <w:gridCol w:w="109"/>
        <w:gridCol w:w="196"/>
        <w:gridCol w:w="556"/>
        <w:gridCol w:w="241"/>
        <w:gridCol w:w="109"/>
        <w:gridCol w:w="109"/>
        <w:gridCol w:w="109"/>
        <w:gridCol w:w="225"/>
        <w:gridCol w:w="640"/>
        <w:gridCol w:w="277"/>
        <w:gridCol w:w="109"/>
        <w:gridCol w:w="109"/>
        <w:gridCol w:w="109"/>
        <w:gridCol w:w="196"/>
        <w:gridCol w:w="556"/>
        <w:gridCol w:w="293"/>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Southeast</w:t>
              <w:br/>
              <w:t> New Mexico/West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Eagle Ford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Haynesville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Cotton Valley</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Net Production Volumes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21,585 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oil equivalent (MBOE)</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36,550 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38,495 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Percentage of total annual net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Net Daily Production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(Bbl/d)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59,139 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60,119 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(BOE/d)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100,135 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105,465 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Average Sales Prices</w:t>
            </w:r>
            <w:r>
              <w:rPr>
                <w:rFonts w:ascii="Times New Roman;sans-serif" w:hAnsi="Times New Roman;sans-serif"/>
                <w:b/>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(per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96.34 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(per Mcf)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equivalent (per BOE)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76.98 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Production Costs</w:t>
            </w:r>
            <w:r>
              <w:rPr>
                <w:rFonts w:ascii="Times New Roman;sans-serif" w:hAnsi="Times New Roman;sans-serif"/>
                <w:b/>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transportation and processing (per BOE)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one well producing oil from the Austin Chalk formation in La Salle County, Texas.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the Cotton Valley formation and shallower zones and also includes one well producing from the Frio formation in Orange County, Texas.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(3)Production volumes reported in two streams: oil and natural gas, including both dry and liquids-rich natural gas. Estimated using a conversion ratio of one Bbl of oil per six Mcf of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(4)Excludes impact of derivative settlements.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(5)Excludes plant and other midstream services operating expenses, ad valorem taxes and oil and natural gas production taxes.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oil equivalent production of approximately 62.5 million BOE for the year ended December 31, 2024 increased 30% from our total oil equivalent production of approximately 48.1 million BOE for the year ended December 31, 2023. This increased production was primarily attributable to the Ameredev Acquisition and to our delineation and development operations in the Delaware Basin throughout 2024, which offset declining production in the Eagle Ford shale and Northwest Louisiana. Our average daily oil equivalent production for the year ended December 31, 2024 was 170,751 BOE per day, as compared to 131,813 BOE per day for the year ended December 31, 2023. Our average daily oil production for the year ended December 31, 2024 was 99,808 Bbl of oil per day, an increase of 32% from 75,457 Bbl of oil per day for the year ended December 31, 2023. Our average daily natural gas production for the year ended December 31, 2024 was 425.7 MMcf of natural gas per day, an increase of 26% from 338.1 MMcf of natural gas per day for the year ended December 31,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oil equivalent production of approximately 48.1 million BOE for the year ended December 31, 2023 increased 25% from our total oil equivalent production of approximately 38.5 million BOE for the year ended December 31, 2022. This increased production was primarily due to the Advance Acquisition and to our delineation and development operations in the Delaware Basin throughout 2023, which offset declining production in the Eagle Ford shale. Our average daily oil equivalent production for the year ended December 31, 2023 was 131,813 BOE per day, as compared to 105,465 BOE per day for the year ended December 31, 2022. Our average daily oil production for the year ended December 31, 2023 was 75,457 Bbl of oil per day, an increase of 26% from 60,119 Bbl of oil per day for the year ended December 31, 2022. Our average daily natural gas production for the year ended December 31, 2023 was 338.1 MMcf of natural gas per day, an increase of 24% from 272.1 MMcf of natural gas per day for the year ended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Producing Wells</w:t>
      </w:r>
    </w:p>
    <w:p>
      <w:pPr>
        <w:pStyle w:val="TextBody"/>
        <w:bidi w:val="0"/>
        <w:spacing w:lineRule="auto" w:line="288" w:before="120" w:after="120"/>
        <w:ind w:left="0" w:right="0" w:firstLine="495"/>
        <w:jc w:val="left"/>
        <w:rPr/>
      </w:pPr>
      <w:r>
        <w:rPr>
          <w:rFonts w:ascii="Times New Roman;sans-serif" w:hAnsi="Times New Roman;sans-serif"/>
          <w:b w:val="false"/>
          <w:color w:val="000000"/>
          <w:sz w:val="20"/>
        </w:rPr>
        <w:t>The following table sets forth information relating to producing wells at December 31, 2024. Wells are classified as oil wells or natural gas wells according to their predominant production stream. We had an approximate average working interest of 85% in all wells that we operated at December 31, 2024. For wells where we are not the operator, our working interests range from less than 1% to approximately 52% and average approximately 10%. In the table below, gross wells are the total number of producing wells in which we own a working interest and net wells represent the total of our fractional working interests owned in the gross wells.</w:t>
      </w:r>
      <w:r>
        <w:rPr>
          <w:color w:val="000000"/>
        </w:rPr>
        <w:t> </w:t>
      </w:r>
    </w:p>
    <w:tbl>
      <w:tblPr>
        <w:tblW w:w="9115" w:type="dxa"/>
        <w:jc w:val="left"/>
        <w:tblInd w:w="0" w:type="dxa"/>
        <w:tblLayout w:type="fixed"/>
        <w:tblCellMar>
          <w:top w:w="28" w:type="dxa"/>
          <w:left w:w="28" w:type="dxa"/>
          <w:bottom w:w="28" w:type="dxa"/>
          <w:right w:w="28" w:type="dxa"/>
        </w:tblCellMar>
      </w:tblPr>
      <w:tblGrid>
        <w:gridCol w:w="972"/>
        <w:gridCol w:w="855"/>
        <w:gridCol w:w="858"/>
        <w:gridCol w:w="109"/>
        <w:gridCol w:w="109"/>
        <w:gridCol w:w="109"/>
        <w:gridCol w:w="278"/>
        <w:gridCol w:w="278"/>
        <w:gridCol w:w="176"/>
        <w:gridCol w:w="109"/>
        <w:gridCol w:w="109"/>
        <w:gridCol w:w="109"/>
        <w:gridCol w:w="278"/>
        <w:gridCol w:w="278"/>
        <w:gridCol w:w="121"/>
        <w:gridCol w:w="109"/>
        <w:gridCol w:w="109"/>
        <w:gridCol w:w="109"/>
        <w:gridCol w:w="210"/>
        <w:gridCol w:w="211"/>
        <w:gridCol w:w="176"/>
        <w:gridCol w:w="160"/>
        <w:gridCol w:w="160"/>
        <w:gridCol w:w="160"/>
        <w:gridCol w:w="314"/>
        <w:gridCol w:w="242"/>
        <w:gridCol w:w="160"/>
        <w:gridCol w:w="109"/>
        <w:gridCol w:w="109"/>
        <w:gridCol w:w="109"/>
        <w:gridCol w:w="278"/>
        <w:gridCol w:w="278"/>
        <w:gridCol w:w="176"/>
        <w:gridCol w:w="109"/>
        <w:gridCol w:w="109"/>
        <w:gridCol w:w="109"/>
        <w:gridCol w:w="345"/>
        <w:gridCol w:w="346"/>
        <w:gridCol w:w="170"/>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Wells</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Southeast New Mexico/West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Delaware Basin</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Eagle Ford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Haynesville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Cotton Valley</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Area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226 gross (91.6 net) vertical wells that were primarily acquired in multiple transactions.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the Cotton Valley formation and shallower zones.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Estimated Proved Reserves</w:t>
      </w:r>
    </w:p>
    <w:p>
      <w:pPr>
        <w:pStyle w:val="TextBody"/>
        <w:bidi w:val="0"/>
        <w:spacing w:lineRule="auto" w:line="288" w:before="120" w:after="120"/>
        <w:ind w:left="0" w:right="0" w:firstLine="495"/>
        <w:jc w:val="left"/>
        <w:rPr/>
      </w:pPr>
      <w:r>
        <w:rPr>
          <w:rFonts w:ascii="Times New Roman;sans-serif" w:hAnsi="Times New Roman;sans-serif"/>
          <w:b w:val="false"/>
          <w:color w:val="000000"/>
          <w:sz w:val="20"/>
        </w:rPr>
        <w:t>The following table sets forth our estimated proved oil and natural gas reserves at December 31, 2024, 2023 and 2022. Our production and proved reserves are reported in two streams: oil and natural gas, including both dry and liquids-rich natural gas. Where we produce liquids-rich natural gas, such as in the Delaware Basin and the Eagle Ford shale, the economic value of the NGLs associated with the natural gas is included in the estimated wellhead natural gas price on those properties where the NGLs are extracted and sold. The reserves estimates were based on evaluations prepared by our engineering staff and have been audited for their reasonableness by Netherland, Sewell &amp; Associates, Inc., independent reservoir engineers. These reserves estimates were prepared in accordance with SEC rules for oil and natural gas reserves reporting. The estimated reserves shown are for proved reserves only and do not include any unproved reserves classified as probable or possible reserves that might exist for our properties, nor do they include any consideration that could be attributable to interests in unproved and unevaluated acreage beyond those tracts for which proved reserves have been estimated. Proved oil and natural gas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tbl>
      <w:tblPr>
        <w:tblW w:w="7334" w:type="dxa"/>
        <w:jc w:val="left"/>
        <w:tblInd w:w="0" w:type="dxa"/>
        <w:tblLayout w:type="fixed"/>
        <w:tblCellMar>
          <w:top w:w="28" w:type="dxa"/>
          <w:left w:w="28" w:type="dxa"/>
          <w:bottom w:w="28" w:type="dxa"/>
          <w:right w:w="28" w:type="dxa"/>
        </w:tblCellMar>
      </w:tblPr>
      <w:tblGrid>
        <w:gridCol w:w="1057"/>
        <w:gridCol w:w="932"/>
        <w:gridCol w:w="935"/>
        <w:gridCol w:w="109"/>
        <w:gridCol w:w="109"/>
        <w:gridCol w:w="109"/>
        <w:gridCol w:w="196"/>
        <w:gridCol w:w="691"/>
        <w:gridCol w:w="241"/>
        <w:gridCol w:w="109"/>
        <w:gridCol w:w="109"/>
        <w:gridCol w:w="109"/>
        <w:gridCol w:w="196"/>
        <w:gridCol w:w="691"/>
        <w:gridCol w:w="241"/>
        <w:gridCol w:w="109"/>
        <w:gridCol w:w="109"/>
        <w:gridCol w:w="109"/>
        <w:gridCol w:w="196"/>
        <w:gridCol w:w="691"/>
        <w:gridCol w:w="286"/>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At December 31,</w:t>
            </w:r>
            <w:r>
              <w:rPr>
                <w:rFonts w:ascii="Times New Roman;sans-serif" w:hAnsi="Times New Roman;sans-serif"/>
                <w:b/>
                <w:color w:val="000000"/>
                <w:sz w:val="10"/>
              </w:rPr>
              <w:t>(1)</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Estimated Proved Reserves Data:</w:t>
            </w:r>
            <w:r>
              <w:rPr>
                <w:rFonts w:ascii="Times New Roman;sans-serif" w:hAnsi="Times New Roman;sans-serif"/>
                <w:b/>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proved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361,842 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272,277 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356,722 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proved developed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161,642 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221,507 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 developed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proved undeveloped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(MBOE)</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244,740 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167,973 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135,215 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Standardized Measure</w:t>
            </w: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7,376.6 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6,113.5 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6,983.2 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PV-10</w:t>
            </w:r>
            <w:r>
              <w:rPr>
                <w:rFonts w:ascii="Times New Roman;sans-serif" w:hAnsi="Times New Roman;sans-serif"/>
                <w:b w:val="false"/>
                <w:color w:val="000000"/>
                <w:sz w:val="10"/>
              </w:rPr>
              <w:t>(5)</w:t>
            </w:r>
            <w:r>
              <w:rPr>
                <w:color w:val="000000"/>
              </w:rPr>
              <w:t xml:space="preserve"> </w:t>
            </w:r>
            <w:r>
              <w:rPr>
                <w:rFonts w:ascii="Times New Roman;sans-serif" w:hAnsi="Times New Roman;sans-serif"/>
                <w:b w:val="false"/>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(1)Numbers in table may not total due to rounding.</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(2)Our estimated proved reserves, Standardized Measure and PV-10 were determined using index prices for oil and natural gas, without giving effect to derivative transactions, and were held constant throughout the life of the properties. The unweighted arithmetic averages of the first-day-of-the-month prices for the 12 months ended December 31, 2024 were $71.96 per Bbl for oil and $2.13 per MMBtu for natural gas, for the 12 months ended December 31, 2023 were $74.70 per Bbl for oil and $2.64 per MMBtu for natural gas and for the 12 months ended December 31, 2022 were $90.15 per Bbl for oil and $6.36 per MMBtu for natural gas. These prices were adjusted by property for quality, energy content, regional price differentials, transportation fees, marketing deductions and other factors affecting the price received at the wellhead.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(3)Estimated using a conversion ratio of one Bbl of oil per six Mcf of natural gas.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(4)Standardized Measure represents the present value of estimated future net cash flows from proved reserves, less estimated future development, production, plugging and abandonment and income tax expenses, discounted at 10% to reflect the timing of future cash flows. Standardized Measure is not an estimate of the fair market value of our properties.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2024, 2023 and 2022 may be reconciled to our Standardized Measure of discounted future net cash flows at such dates by adding the discounted future income taxes associated with such reserves to the Standardized Measure. The discounted future income taxes at December 31, 2024, 2023 and 2022 were $1.86 billion, $1.59 billion and $2.15 billion, respectively.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estimated total proved oil and natural gas reserves increased 33% from 460.1 million BOE at December 31, 2023 to 611.5 million BOE at December 31, 2024. This increase in proved oil and natural gas reserves was primarily attributable to the Ameredev Acquisition and our delineation and development operations in the Delaware Basin during 2024. We increased our total proved oil and natural gas reserves by 119.9 million BOE as a result of acquisitions and trades during 2024. We also added 99.9 million BOE in proved oil and natural gas reserves through extensions and discoveries during 2024, of which 28.4 million BOE resulted from new well locations turned to sales during 2024 to establish proved developed reserves and 71.5 million BOE resulted primarily from new proved undeveloped locations identified as a result of drilling activities on our existing acreage in the Delaware Basin during 2024. These increases were partially offset by net downward revisions of prior estimates for proved oil and natural gas reserves, including the removal of 8.2 million BOE resulting from the 4% decrease in oil prices and the 19% decrease in natural gas prices used to estimate total proved reserves at December 31, 2024, as compared to December 31, 2023, and the removal of 15.3 million BOE in proved undeveloped reserves that were not developed or were no longer expected to be developed within five years of their initial booking resulting primarily from changes in development plans for certain of our properties in the Delaware Basin. As we continue to develop our Delaware Basin assets, we may reclassify some or all of the 15.3 million BOE to proved reserves at a future date. These downward revisions at December 31, 2024 were partially offset by positive forecast updates of 21.7 million BOE.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proved oil reserves grew 33% from approximately 272.3 million Bbl at December 31, 2023 to approximately 361.8 million Bbl at December 31, 2024. Our proved natural gas reserves increased 33% from 1.13 Tcf at December 31, 2023 to 1.50 Tcf at December 31, 2024. Our proved reserves to production ratio at December 31, 2024 was 9.8, an increase of 2% from 9.6 at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Standardized Measure of our total proved oil and natural gas reserves increased 21% from $6.11 billion at December 31, 2023 to $7.38 billion at December 31, 2024. The PV-10 of our total proved oil and natural gas reserves increased 20% from $7.70 billion at December 31, 2023 to $9.23 billion at December 31, 2024. The increases in our Standardized Measure and PV-10 are primarily a result of the 33% increase in our total proved oil and natural gas reserves at December 31, 2024, as compared to December 31, 2023, partially offset by the lower unweighted arithmetic average oil and natural gas prices used to estimate proved reserves at December 31, 2024, as compared to December 31, 2023. The unweighted arithmetic averages of first-day-of-the-month oil and natural gas prices used to estimate proved reserves at December 31, 2024 were $71.96 per Bbl and $2.13 per MMBtu, a decrease of 4% and 19%, respectively, as compared to average oil and natural gas prices of $74.70 per Bbl and $2.64 per MMBtu used to estimate proved reserves at December 31, 2023. Our total proved reserves were made up of 59% oil and 41% natural gas at both December 31, 2024 and 2023. PV-10 is a non-GAAP financial measure. For a reconciliation of PV-10 to Standardized Measure, see the preceding table.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our estimated proved developed reserves at December 31, 2024.</w:t>
      </w:r>
    </w:p>
    <w:tbl>
      <w:tblPr>
        <w:tblW w:w="6551" w:type="dxa"/>
        <w:jc w:val="left"/>
        <w:tblInd w:w="0" w:type="dxa"/>
        <w:tblLayout w:type="fixed"/>
        <w:tblCellMar>
          <w:top w:w="28" w:type="dxa"/>
          <w:left w:w="28" w:type="dxa"/>
          <w:bottom w:w="28" w:type="dxa"/>
          <w:right w:w="28" w:type="dxa"/>
        </w:tblCellMar>
      </w:tblPr>
      <w:tblGrid>
        <w:gridCol w:w="1474"/>
        <w:gridCol w:w="1299"/>
        <w:gridCol w:w="1307"/>
        <w:gridCol w:w="109"/>
        <w:gridCol w:w="109"/>
        <w:gridCol w:w="109"/>
        <w:gridCol w:w="628"/>
        <w:gridCol w:w="628"/>
        <w:gridCol w:w="888"/>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Proved Developed Reserves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(MBOE)</w:t>
            </w:r>
            <w:r>
              <w:rPr>
                <w:rFonts w:ascii="Times New Roman;sans-serif" w:hAnsi="Times New Roman;sans-serif"/>
                <w:b/>
                <w:color w:val="000000"/>
                <w:sz w:val="10"/>
              </w:rPr>
              <w:t>(1)</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292,097 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Extensions and discoveries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28,376 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acquisitions of minerals-in-place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59,293 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Revisions of prior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(5,072)</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(62,495)</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proved undeveloped to proved developed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54,598 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366,797 </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Estimated using a conversion ratio of one Bbl of oil per six Mcf of natural gas.</w:t>
      </w:r>
    </w:p>
    <w:p>
      <w:pPr>
        <w:pStyle w:val="TextBody"/>
        <w:bidi w:val="0"/>
        <w:spacing w:before="0" w:after="0"/>
        <w:ind w:left="0" w:right="0" w:firstLine="495"/>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proved developed oil and natural gas reserves increased 26% from 292.1 million BOE at December 31, 2023 to 366.8 million BOE at December 31, 2024. We added 28.4 million BOE in proved developed reserves through extensions and discoveries during 2024, which resulted from new well locations drilled during 2024 to establish proved reserves. In addition, during 2024, we converted 54.6 million BOE of our proved undeveloped reserves to proved developed reserves primarily through our development activities in the Delaware Basin. We also increased our proved developed reserves by 59.3 million BOE at December 31, 2024 as a result of property acquisitions, including the Ameredev Acquisition, and trades completed during 2024. Additionally, we realized approximately 5.1 million BOE in net downward revisions of prior estimates in 2024, most of which were attributable to the lower commodity prices used to estimate proved reserves at December 31, 2024, which resulted in shorter estimated economic lives for certain of our producing properties. These cumulative net increases of 137.2 million BOE to our proved developed reserves exceeded by 2.2 times our total oil and natural gas production of 62.5 million BOE in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proved developed oil reserves increased 28% from 161.6 million Bbl at December 31, 2023 to 206.3 million Bbl at December 31, 2024. Our proved developed natural gas reserves increased 23% from 782.7 Bcf at December 31, 2023 to 963.2 Bcf at December 31, 2024. Proved developed reserves constituted 60% of our total proved oil and natural gas reserves at December 31, 2024, as compared to 63% at December 31,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our estimated proved undeveloped reserves at December 31, 2024.</w:t>
      </w:r>
    </w:p>
    <w:tbl>
      <w:tblPr>
        <w:tblW w:w="6731" w:type="dxa"/>
        <w:jc w:val="left"/>
        <w:tblInd w:w="0" w:type="dxa"/>
        <w:tblLayout w:type="fixed"/>
        <w:tblCellMar>
          <w:top w:w="28" w:type="dxa"/>
          <w:left w:w="28" w:type="dxa"/>
          <w:bottom w:w="28" w:type="dxa"/>
          <w:right w:w="28" w:type="dxa"/>
        </w:tblCellMar>
      </w:tblPr>
      <w:tblGrid>
        <w:gridCol w:w="1474"/>
        <w:gridCol w:w="1299"/>
        <w:gridCol w:w="1307"/>
        <w:gridCol w:w="109"/>
        <w:gridCol w:w="109"/>
        <w:gridCol w:w="109"/>
        <w:gridCol w:w="679"/>
        <w:gridCol w:w="679"/>
        <w:gridCol w:w="966"/>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Proved Undeveloped Reserves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(MBOE)</w:t>
            </w:r>
            <w:r>
              <w:rPr>
                <w:rFonts w:ascii="Times New Roman;sans-serif" w:hAnsi="Times New Roman;sans-serif"/>
                <w:b/>
                <w:color w:val="000000"/>
                <w:sz w:val="10"/>
              </w:rPr>
              <w:t>(1)</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167,973 </w:t>
            </w:r>
          </w:p>
        </w:tc>
        <w:tc>
          <w:tcPr>
            <w:tcW w:w="9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Extensions and discoveries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71,534 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acquisitions of minerals-in-place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60,583 </w:t>
            </w:r>
          </w:p>
        </w:tc>
        <w:tc>
          <w:tcPr>
            <w:tcW w:w="9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Revisions of prior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proved undeveloped to proved developed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(54,598)</w:t>
            </w:r>
          </w:p>
        </w:tc>
        <w:tc>
          <w:tcPr>
            <w:tcW w:w="9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244,740 </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(1)Estimated using a conversion ratio of one Bbl of oil per six Mcf of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proved undeveloped oil and natural gas reserves increased 46% from 168.0 million BOE at December 31, 2023 to 244.7 million at December 31, 2024. We added 71.5 million BOE in proved undeveloped reserves through extensions and discoveries during 2024, which resulted primarily from new proved undeveloped locations identified as a result of drilling activities on our existing acreage in the Delaware Basin during 2024. In addition, we increased our proved undeveloped reserves by 60.6 million BOE at December 31, 2024 as a result of property acquisitions, including the Ameredev Acquisition, and trades completed during 2024. These increases were partially offset by net downward revisions of prior estimates for proved oil and natural gas reserves, including the removal of 15.3 million BOE in proved undeveloped reserves that were not developed or were no longer expected to be developed within five years of their initial booking resulting primarily from changes in development plans for certain of our properties in the Delaware Basin and the removal of 2.1 million BOE for certain expense and pricing updates. These downward revisions were largely offset by positive forecast updates of 16.2 million BOE. During 2024, we also converted 54.6 million BOE of our proved undeveloped reserves to proved developed reserves primarily through our development activities in the Delaware Basin.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no proved undeveloped reserves in our estimates that remained undeveloped for five years or more following their initial booking, and we currently have plans to use anticipated capital resources to develop the proved undeveloped reserves remaining as of December 31, 2024 within five years of booking these reserves. The following table sets forth, since 2021, proved undeveloped reserves converted to proved developed reserves during each year and the investments associated with these conversions (dollars in thousands).</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328"/>
        <w:gridCol w:w="318"/>
        <w:gridCol w:w="198"/>
        <w:gridCol w:w="144"/>
        <w:gridCol w:w="144"/>
        <w:gridCol w:w="144"/>
        <w:gridCol w:w="333"/>
        <w:gridCol w:w="308"/>
        <w:gridCol w:w="310"/>
        <w:gridCol w:w="144"/>
        <w:gridCol w:w="144"/>
        <w:gridCol w:w="144"/>
        <w:gridCol w:w="368"/>
        <w:gridCol w:w="368"/>
        <w:gridCol w:w="273"/>
        <w:gridCol w:w="109"/>
        <w:gridCol w:w="109"/>
        <w:gridCol w:w="109"/>
        <w:gridCol w:w="865"/>
        <w:gridCol w:w="3849"/>
        <w:gridCol w:w="68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in Conversion of Proved Undeveloped Reserves to Proved Developed Reserves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Proved Undeveloped Reserves </w:t>
              <w:br/>
              <w:t xml:space="preserve">Converted to </w:t>
              <w:br/>
              <w:t>Proved Developed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Oil </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(MBbl)</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(Bcf)</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(MBOE)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2"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2"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2"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2"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02"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23,965 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240,664 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22,515 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38,403 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434,336 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34,928 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441,671 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34,857 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54,598 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685,163 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99,829 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408.9 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168,000 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1,801,834 </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Estimated using a conversion ratio of one Bbl of oil per six Mcf of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before="120" w:after="283"/>
        <w:jc w:val="left"/>
        <w:rPr/>
      </w:pPr>
      <w:r>
        <w:rPr/>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additional summary information by operating area with respect to our estimated net proved reserves at December 31, 2024. </w:t>
      </w:r>
    </w:p>
    <w:tbl>
      <w:tblPr>
        <w:tblW w:w="10205" w:type="dxa"/>
        <w:jc w:val="left"/>
        <w:tblInd w:w="0" w:type="dxa"/>
        <w:tblLayout w:type="fixed"/>
        <w:tblCellMar>
          <w:top w:w="28" w:type="dxa"/>
          <w:left w:w="28" w:type="dxa"/>
          <w:bottom w:w="28" w:type="dxa"/>
          <w:right w:w="28" w:type="dxa"/>
        </w:tblCellMar>
      </w:tblPr>
      <w:tblGrid>
        <w:gridCol w:w="940"/>
        <w:gridCol w:w="822"/>
        <w:gridCol w:w="825"/>
        <w:gridCol w:w="109"/>
        <w:gridCol w:w="109"/>
        <w:gridCol w:w="109"/>
        <w:gridCol w:w="373"/>
        <w:gridCol w:w="363"/>
        <w:gridCol w:w="201"/>
        <w:gridCol w:w="114"/>
        <w:gridCol w:w="114"/>
        <w:gridCol w:w="114"/>
        <w:gridCol w:w="345"/>
        <w:gridCol w:w="346"/>
        <w:gridCol w:w="329"/>
        <w:gridCol w:w="114"/>
        <w:gridCol w:w="114"/>
        <w:gridCol w:w="114"/>
        <w:gridCol w:w="384"/>
        <w:gridCol w:w="382"/>
        <w:gridCol w:w="381"/>
        <w:gridCol w:w="109"/>
        <w:gridCol w:w="109"/>
        <w:gridCol w:w="109"/>
        <w:gridCol w:w="352"/>
        <w:gridCol w:w="1249"/>
        <w:gridCol w:w="199"/>
        <w:gridCol w:w="109"/>
        <w:gridCol w:w="109"/>
        <w:gridCol w:w="109"/>
        <w:gridCol w:w="196"/>
        <w:gridCol w:w="691"/>
        <w:gridCol w:w="162"/>
      </w:tblGrid>
      <w:tr>
        <w:trPr/>
        <w:tc>
          <w:tcPr>
            <w:tcW w:w="9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Net Proved Reserves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 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Standardized Measure</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PV-10</w:t>
            </w:r>
            <w:r>
              <w:rPr>
                <w:rFonts w:ascii="Times New Roman;sans-serif" w:hAnsi="Times New Roman;sans-serif"/>
                <w:b/>
                <w:color w:val="000000"/>
                <w:sz w:val="10"/>
              </w:rPr>
              <w:t>(3)</w:t>
            </w:r>
          </w:p>
        </w:tc>
      </w:tr>
      <w:tr>
        <w:trPr/>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(MBbl)</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(Bcf)</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(MBOE)</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Southeast New Mexico/West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 Basin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360,396 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606,196 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Eagle Ford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Haynesville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Cotton Valley</w:t>
            </w: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Area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3,673 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361,842 </w:t>
            </w:r>
          </w:p>
        </w:tc>
        <w:tc>
          <w:tcPr>
            <w:tcW w:w="2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1,498.2 </w:t>
            </w:r>
          </w:p>
        </w:tc>
        <w:tc>
          <w:tcPr>
            <w:tcW w:w="3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611,536 </w:t>
            </w:r>
          </w:p>
        </w:tc>
        <w:tc>
          <w:tcPr>
            <w:tcW w:w="3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7,376.6 </w:t>
            </w:r>
          </w:p>
        </w:tc>
        <w:tc>
          <w:tcPr>
            <w:tcW w:w="1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9,233.8 </w:t>
            </w:r>
          </w:p>
        </w:tc>
        <w:tc>
          <w:tcPr>
            <w:tcW w:w="1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(1)Numbers in table may not total due to rounding.</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(2)Standardized Measure represents the present value of estimated future net cash flows from proved reserves, less estimated future development, production, plugging and abandonment costs and income tax expenses, discounted at 10% to reflect the timing of future cash flows. Standardized Measure is not an estimate of the fair market value of our properties.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2024 may be reconciled to our Standardized Measure of discounted future net cash flows at such date by adding the discounted future income taxes associated with such reserves to the Standardized Measure. The discounted future income taxes at December 31, 2024 were approximately $1.86 billion.</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(4)Estimated using a conversion ratio of one Bbl of oil per six Mcf of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(5)Includes the Cotton Valley formation and shallower zones.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Used to Establish Reserves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current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term “reasonable certainty” means a high degree of confidence that the quantities of oil and/or natural gas will be recovered. Reasonable certainty can be established using techniques that have been proven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establish reasonable certainty with respect to our estimated proved reserves, we used technologies that have been demonstrated to yield results with consistency and repeatability. The technologies and technical data used in the estimation of our proved reserves include electric logs, radioactivity logs, core analyses, geologic maps and available pressure and production data, seismic data and well test data. Reserves for proved developed producing wells were estimated using production performance methods. Certain new producing properties with little production history were forecasted using a combination of production performance and analogy to offset production. Non-producing reserves estimates for both developed and undeveloped properties were forecasted using either analogy and/or volumetric methods.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Internal Control Over Reserves Estimation Process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an internal staff of petroleum engineers and geoscience professionals to ensure the integrity, accuracy and timeliness of the data used in our reserves estimation process. Individual asset teams are responsible for the day-to-day management of the oil and natural gas activities for each team’s asset area. These asset teams are staffed with reservoir engineers who prepare reserves estimates at the end of each calendar quarter for the assets they manage. Our Vice President of Reservoir Engineering and the Reserves Team was primarily responsible for overseeing the preparation of our reserves estimates in 2024. He received Bachelor of Science degrees in both Petroleum Engineering and Mechanical Engineering from Texas Tech University, is a licensed Professional Engineer in the state of Texas and has over ten years of industry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Vice President of Reservoir Engineering and the Reserves Team works under the direct supervision of our Executive Vice President of Reservoir Engineering and Senior Asset Manager, who received a Bachelor of Science degree in Petroleum Engineering from Texas A&amp;M University and has over 15 years of industry experience. The Company has established internal controls over its reserves estimation processes and procedures to support the accurate and timely preparation and disclosure of reserves estimates in accordance with SEC and GAAP requirements. These controls include oversight of the reserves estimation processes by our internal reserves group as well as accounting and finance personnel. Following the preparation of our reserves estimates, these estimates are audited for their reasonableness by Netherland, Sewell &amp; Associates, Inc., independent reservoir engineers. Members of our executive committee and members of the Operations and Engineering Committee of our Board of Directors (the “Board”) review the reserves report and our reserves estimation process, and the independent audit of our reserves is reviewed by other members of the Board as well.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Acreage Summary</w:t>
      </w:r>
    </w:p>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approximate acreage in which we held a leasehold, mineral or other interest at December 31, 2024.</w:t>
      </w:r>
    </w:p>
    <w:tbl>
      <w:tblPr>
        <w:tblW w:w="10205" w:type="dxa"/>
        <w:jc w:val="left"/>
        <w:tblInd w:w="0" w:type="dxa"/>
        <w:tblLayout w:type="fixed"/>
        <w:tblCellMar>
          <w:top w:w="28" w:type="dxa"/>
          <w:left w:w="28" w:type="dxa"/>
          <w:bottom w:w="28" w:type="dxa"/>
          <w:right w:w="28" w:type="dxa"/>
        </w:tblCellMar>
      </w:tblPr>
      <w:tblGrid>
        <w:gridCol w:w="935"/>
        <w:gridCol w:w="816"/>
        <w:gridCol w:w="819"/>
        <w:gridCol w:w="109"/>
        <w:gridCol w:w="109"/>
        <w:gridCol w:w="109"/>
        <w:gridCol w:w="368"/>
        <w:gridCol w:w="368"/>
        <w:gridCol w:w="196"/>
        <w:gridCol w:w="151"/>
        <w:gridCol w:w="151"/>
        <w:gridCol w:w="151"/>
        <w:gridCol w:w="368"/>
        <w:gridCol w:w="368"/>
        <w:gridCol w:w="158"/>
        <w:gridCol w:w="109"/>
        <w:gridCol w:w="109"/>
        <w:gridCol w:w="109"/>
        <w:gridCol w:w="323"/>
        <w:gridCol w:w="323"/>
        <w:gridCol w:w="196"/>
        <w:gridCol w:w="171"/>
        <w:gridCol w:w="171"/>
        <w:gridCol w:w="171"/>
        <w:gridCol w:w="323"/>
        <w:gridCol w:w="323"/>
        <w:gridCol w:w="178"/>
        <w:gridCol w:w="109"/>
        <w:gridCol w:w="109"/>
        <w:gridCol w:w="109"/>
        <w:gridCol w:w="368"/>
        <w:gridCol w:w="368"/>
        <w:gridCol w:w="196"/>
        <w:gridCol w:w="110"/>
        <w:gridCol w:w="110"/>
        <w:gridCol w:w="110"/>
        <w:gridCol w:w="368"/>
        <w:gridCol w:w="368"/>
        <w:gridCol w:w="198"/>
      </w:tblGrid>
      <w:tr>
        <w:trPr/>
        <w:tc>
          <w:tcPr>
            <w:tcW w:w="93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Developed 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Undeveloped 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Total Acres</w:t>
            </w:r>
          </w:p>
        </w:tc>
      </w:tr>
      <w:tr>
        <w:trPr/>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Gross</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Gross</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Gross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Net</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Southeast New Mexico/West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Delaware Basin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271,300 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Eagle Ford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Northwest 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Haynesville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Cotton Valley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Area Total</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292,700 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177,100 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218,900 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(1)Some of the same leases cover the gross and net acreage shown for both the Haynesville formation and the shallower Cotton Valley formation. Therefore, the sum of the gross and net acreage for both formations is not equal to the total gross and net acreage for Northwest Louisiana.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Undeveloped Acreage Expiration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approximate number of gross and net undeveloped acres at December 31, 2024 that will expire over the next five years by operating area unless production is established within the spacing units covering the acreage prior to the expiration dates, the existing leases are renewed prior to expiration or continued operations maintain the leases beyond the expiration of each respective primary term. Undeveloped acreage expiring in 2030 and beyond totals 2,400 net acres, all of which is in the Delaware Basin. All of our leasehold in the Eagle Ford shale in South Texas and in the Haynesville and Cotton Valley plays in Northwest Louisiana was held by existing production at December 31, 2024.</w:t>
      </w:r>
    </w:p>
    <w:tbl>
      <w:tblPr>
        <w:tblW w:w="11488"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323"/>
        <w:gridCol w:w="323"/>
        <w:gridCol w:w="176"/>
        <w:gridCol w:w="109"/>
        <w:gridCol w:w="109"/>
        <w:gridCol w:w="109"/>
        <w:gridCol w:w="278"/>
        <w:gridCol w:w="278"/>
        <w:gridCol w:w="109"/>
        <w:gridCol w:w="109"/>
        <w:gridCol w:w="109"/>
        <w:gridCol w:w="109"/>
        <w:gridCol w:w="323"/>
        <w:gridCol w:w="323"/>
        <w:gridCol w:w="176"/>
        <w:gridCol w:w="109"/>
        <w:gridCol w:w="109"/>
        <w:gridCol w:w="109"/>
        <w:gridCol w:w="278"/>
        <w:gridCol w:w="278"/>
        <w:gridCol w:w="109"/>
        <w:gridCol w:w="109"/>
        <w:gridCol w:w="109"/>
        <w:gridCol w:w="109"/>
        <w:gridCol w:w="323"/>
        <w:gridCol w:w="323"/>
        <w:gridCol w:w="176"/>
        <w:gridCol w:w="109"/>
        <w:gridCol w:w="109"/>
        <w:gridCol w:w="109"/>
        <w:gridCol w:w="323"/>
        <w:gridCol w:w="323"/>
        <w:gridCol w:w="109"/>
        <w:gridCol w:w="109"/>
        <w:gridCol w:w="109"/>
        <w:gridCol w:w="109"/>
        <w:gridCol w:w="278"/>
        <w:gridCol w:w="278"/>
        <w:gridCol w:w="176"/>
        <w:gridCol w:w="109"/>
        <w:gridCol w:w="109"/>
        <w:gridCol w:w="109"/>
        <w:gridCol w:w="278"/>
        <w:gridCol w:w="278"/>
        <w:gridCol w:w="109"/>
        <w:gridCol w:w="109"/>
        <w:gridCol w:w="109"/>
        <w:gridCol w:w="109"/>
        <w:gridCol w:w="278"/>
        <w:gridCol w:w="278"/>
        <w:gridCol w:w="176"/>
        <w:gridCol w:w="109"/>
        <w:gridCol w:w="109"/>
        <w:gridCol w:w="109"/>
        <w:gridCol w:w="278"/>
        <w:gridCol w:w="278"/>
        <w:gridCol w:w="15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Expiring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Expiring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Expiring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Expiring 2029</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Southeast New Mexico/West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Delaware Basin</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(1)Approximately 56% of the acreage expiring in the Delaware Basin in the next five years is associated with our Twin Lakes asset area in northern Lea County, New Mexico. We expect to hold or extend portions of certain expiring acreage in the Delaware Basin through our future drilling activities or by paying an additional lease bonus, where applicable.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leases comprising the acreage set forth in the table above will expire at the end of their respective primary terms unless operations are conducted to maintain the respective leases in effect beyond the expiration of the primary term or production from the acreage has been established prior to such date, in which event the lease will remain in effect in most cases until the cessation of production in commercial quantities. We also have options to extend some of our leases through additional lease bonus payments prior to the expiration of the primary term of such lease. In addition, we may attempt to secure a new lease upon the expiration of certain of our acreage; however, there may be third-party leases, or top leases, that become effective immediately if our leases expire at the end of their respective terms and production has not been established prior to such date or operations are not conducted to maintain the leases in effect beyond the primary term. As of December 31, 2024, our leases are primarily fee and state leases with primary terms of three to five years and federal leases with primary terms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 years. We believe that our lease terms are similar to our competitors’ lease terms as they relate to both primary term and royalty interests. At December 31, 2024, approximately 3% of our proved oil and natural gas reserves would be impacted by the expirations of this undeveloped acreage.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Drilling Results</w:t>
      </w:r>
    </w:p>
    <w:p>
      <w:pPr>
        <w:pStyle w:val="TextBody"/>
        <w:bidi w:val="0"/>
        <w:spacing w:lineRule="auto" w:line="288" w:before="120" w:after="120"/>
        <w:ind w:left="0" w:right="0" w:firstLine="495"/>
        <w:jc w:val="left"/>
        <w:rPr/>
      </w:pPr>
      <w:r>
        <w:rPr>
          <w:rFonts w:ascii="Times New Roman;sans-serif" w:hAnsi="Times New Roman;sans-serif"/>
          <w:b w:val="false"/>
          <w:color w:val="000000"/>
          <w:sz w:val="20"/>
        </w:rPr>
        <w:t>The following table summarizes our drilling activity for the years ended December 31, 2024, 2023 and 2022</w:t>
      </w:r>
      <w:r>
        <w:rPr>
          <w:rFonts w:ascii="Times New Roman;sans-serif" w:hAnsi="Times New Roman;sans-serif"/>
          <w:b w:val="false"/>
          <w:color w:val="000000"/>
          <w:sz w:val="18"/>
        </w:rPr>
        <w:t>. </w:t>
      </w:r>
    </w:p>
    <w:tbl>
      <w:tblPr>
        <w:tblW w:w="7243"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210"/>
        <w:gridCol w:w="211"/>
        <w:gridCol w:w="176"/>
        <w:gridCol w:w="109"/>
        <w:gridCol w:w="109"/>
        <w:gridCol w:w="109"/>
        <w:gridCol w:w="278"/>
        <w:gridCol w:w="278"/>
        <w:gridCol w:w="121"/>
        <w:gridCol w:w="109"/>
        <w:gridCol w:w="109"/>
        <w:gridCol w:w="109"/>
        <w:gridCol w:w="210"/>
        <w:gridCol w:w="211"/>
        <w:gridCol w:w="176"/>
        <w:gridCol w:w="109"/>
        <w:gridCol w:w="109"/>
        <w:gridCol w:w="109"/>
        <w:gridCol w:w="278"/>
        <w:gridCol w:w="278"/>
        <w:gridCol w:w="121"/>
        <w:gridCol w:w="109"/>
        <w:gridCol w:w="109"/>
        <w:gridCol w:w="109"/>
        <w:gridCol w:w="210"/>
        <w:gridCol w:w="211"/>
        <w:gridCol w:w="176"/>
        <w:gridCol w:w="109"/>
        <w:gridCol w:w="109"/>
        <w:gridCol w:w="109"/>
        <w:gridCol w:w="233"/>
        <w:gridCol w:w="233"/>
        <w:gridCol w:w="170"/>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50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Development Wells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Exploration Wells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Productive</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Wells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Productive</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(1)All of these wells are extension wells.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three gross (1.5 net) vertical wells in 2024, one gross (0.5 net) vertical well in 2023 and three gross (1.6 net) vertical wells in 2022.</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a total of 65 gross (45.5 net) development wells and ten gross (7.9 net) exploration wells that were in the process of being drilled, being completed or awaiting completion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Marketing and Customers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is sold under both long-term and short-term oil purchase agreements with unaffiliated purchasers based on published price bulletins reflecting an established field posting price. As a consequence, the prices we receive for crude oil and our heavier liquid products move up and down in direct correlation with the oil market as it reacts to supply and demand factors. The prices of our lighter liquid products move up and down independently of any relationship between the crude oil and natural gas markets. Transportation costs related to moving crude oil and liquids are also generally deducted from the price received for crude oil and liquids.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natural gas is sold under both long-term and short-term natural gas purchase agreements. Natural gas produced by us is sold at various delivery points to both unaffiliated independent marketing companies and unaffiliated midstream companies. The prices we receive are calculated based on various pipeline indices. When there is an opportunity to do so, we may have our natural gas processed at San Mateo’s or third parties’ processing facilities to extract liquid hydrocarbons from the natural gas. We are then paid for the extracted NGLs based on either a negotiated percentage of the proceeds that are generated from the sale of NGLs or other negotiated pricing arrangements using then-current market pricing less fixed rate processing, transportation and fractionation fees.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prices we receive for our oil, natural gas and NGL production fluctuate widely. Factors that, directly or indirectly, cause price fluctuations include: the domestic and foreign supply of, and demand for, oil, natural gas and NGLs; the actions of the Organization of Petroleum Exporting Countries, Russia and certain other oil-exporting countries (“OPEC+”) and state-controlled oil companies; the prices and availability of competitors’ supplies of oil and natural gas; the price and quantity of foreign imports; the impact of U.S. dollar exchange rates; domestic and foreign governmental regulations and taxes; speculative trading of oil and natural gas futures contracts; the availability, proximity and capacity of gathering, processing and transportation systems for oil, natural gas and NGLs and gathering and disposal systems for produced water; the availability of refining capacity; the prices and availability of alternative fuel and energy sources; weather conditions and natural disasters, including hurricanes and tropical storms in the Gulf Coast region and severe cold weather in the Delaware Basin; political conditions or conflicts in or affecting oil and natural gas producing regions or countries, including the United States, the Middle East, South America, Russia, Ukraine and China; the ongoing military conflicts between Russia and Ukraine and in the Middle East, as well as the related actions of U.S. and other governments and governmental organizations relating to oil, natural gas and NGLs, including through sanctions, embargoes, import restrictions and commodity price caps; domestic or global health concerns, including the outbreak or resurgence of contagious or pandemic diseases; the threat of terrorism and the impact of military action and civil unrest; public pressure on, and legislative and regulatory interest within, federal, state and local governments to stop, significantly limit or regulate oil and natural gas operations, including hydraulic fracturing activities; the level of global oil and natural gas inventories and exploration and production activity; the impact of energy conservation efforts; technological advances affecting energy consumption; tariffs and trade restrictions; and overall worldwide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conditions. Decreases in these commodity prices adversely affect the carrying value of our proved reserves and our revenues, profitability and cash flows. Short-term disruptions of our oil and natural gas production occur from time to time due to downstream pipeline system failure, capacity issues and scheduled or unscheduled maintenance, as well as maintenance and repairs involving our own well operations. These situations, if they occur, curtail our production capabilities and ability to maintain a steady source of revenue.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our oil and natural gas production often reflect a discount to the relevant benchmark prices, such as the NYMEX West Texas Intermediate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 See “Risk Factors—Risks Related to our Financial Condition—A change in the differential between the NYMEX or other benchmark prices of oil and natural gas and the wellhead price we receive for our production could adversely affect our business, financial condition,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we had three significant purchasers that accounted for approximately 79%, 76% and 70%, respectively, of our total oil, natural gas and NGL revenues. If we lost one or more of these significant purchasers and were unable to sell our production to other purchasers on terms we consider acceptable, it could materially and adversely affect our business, financial condition, results of operations and cash flows. For further details regarding these purchasers, see Note 2 to the consolidated financial statements in this Annual Report. Such information is incorporated herein by reference.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Title to Properties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endeavor to ensure that title to our properties is in accordance with standards generally accepted in the oil and natural gas industry. While we rely upon the judgment of oil and natural gas lease brokers and landmen in ascertaining title for certain leasehold and mineral interest acquisitions, we typically obtain detailed title opinions prior to drilling an oil and natural gas well. Some of our acreage is subject to agreements that require the drilling of wells or the undertaking of other exploratory or development activities in order to retain our interests in the acreage. Our title to these contractual interests may be contingent upon our satisfactory fulfillment of such obligations. Some of our properties are also subject to customary royalty interests, liens incident to financing arrangements, operating agreements, taxes and other similar burdens that we believe will not materially interfere with the use and operation of these properties or affect the value thereof. Generally, we intend to conduct operations, make lease rental payments or produce oil and natural gas from wells in paying quantities, where required, prior to expiration of various time periods in order to avoid lease termination. See “Risk Factors—Risks Related to our Financial Condition—We may incur losses or costs as a result of title deficiencies in the properties in which we invest.”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satisfactory title to all of our material assets. Although title to these properties is subject to customary encumbrances, such as customary interests generally retained in connection with the acquisition of real property, customary royalty interests and contract terms and restrictions, liens for current taxes and other burdens, easements, restrictions and minor encumbrances customary in the oil and natural gas industry, we believe that none of these liens, restrictions, easements, burdens or encumbrances will materially interfere with the use and operation of these properties in the conduct of our business. In addition, we believe that we have obtained sufficient right-of-way grants and permits from public authorities and private parties for us to operate our business.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Generally, but not always, the demand and price levels for natural gas increase during winter and decrease during summer. To lessen seasonal demand fluctuations, pipelines, utilities, local distribution companies and industrial users utilize natural gas storage facilities and forward purchase some of their anticipated winter requirements during the summer. However, increased summertime demand for electricity can place increased demand on storage volumes. Demand for oil and heating oil is also generally higher in the winter and the summer driving season, although oil prices are affected more significantly by global supply and demand. Seasonal anomalies, such as mild winters, sometimes lessen these fluctuations. Certain of our drilling, completion and other operations are also subject to seasonal limitations where equipment may not be available during periods of peak demand or where weather conditions and events result in delayed operations. See “Risk Factors—Risks Related to our Operations—Because our reserves and production are concentrated in a few core areas, problems with production in and markets for a particular area could have a material impact on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oil and natural gas industry is highly competitive. We compete with major and independent oil and natural gas companies for exploration and development opportunities and acreage acquisitions as well as drilling rigs and other equipment and labor required to drill, complete, operate and develop our properties. We also compete with public and private midstream companies for natural gas gathering and processing opportunities, as well as produced water gathering and disposal and oil gathering and transportation activities in the areas in which we operate. In addition, competition in the midstream industry is based on the geographic location of facilities, business reputation, reliability and pricing arrangements for the services offered. San Mateo competes with other midstream companies that provide similar services in their areas of operations, and such companies may have legacy relationships with producers in those areas and may have a longer history of efficiency and reliability.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competitors have substantially greater financial resources, staffs, facilities and other resources. In addition, larger competitors may be able to absorb the burden of any changes in federal, state and local laws and regulations more easily than we can, which could adversely affect our competitive position. These competitors may be willing and able to pay more for drilling rigs, leasehold and mineral acreage, productive oil and natural gas properties or midstream facilities and may be able to identify, evaluate, bid for and purchase a greater number of properties and prospects than we can. Our competitors may also be able to afford to purchase and operate their own drilling rigs and hydraulic fracturing equipment.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drill and explore for oil and natural gas, acquire properties and provide competitive midstream services will depend upon our ability to conduct operations, evaluate and select suitable properties and consummate transactions in this highly competitive environment. In addition, many of our competitors may have a longer history of operations.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also competes with other energy-related industries in supplying the energy and fuel requirements of industrial, commercial and individual consumers. See “Risk Factors—Risks Related to Third Parties—Competition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Environmental </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Emissions Mitigation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work to maximize the percentage of natural gas we capture from the production of each of our wells. Newly drilled wells are connected to natural gas pipelines that we expect to have sufficient reliability and capacity to support our production operations. We connect many of our wells to San Mateo’s natural gas gathering systems. This greatly reduces the need to flare natural gas. We design our production facilities and use advanced natural gas capture and control equipment during production, including the use of vapor recovery units (“VRU”), to maximize natural gas capture. VRUs enable us to collect and compress natural gas from lower pressure sources that might otherwise be flared. This reduces emissions and increases the volumes of natural gas that we can sell. When possible, we use centralized tank batteries and commingle production from multiple wells to take advantage of economies of scale to use these VRUs and other specialized equipment in our production facilities.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field employees monitor our facilities and inspect for any necessary repairs or maintenance. In addition, we have implemented a leak detection and repair program that involves scheduled inspections for natural gas capture. These inspections are bolstered by our use of optical gas imaging cameras, which help to identify potential emissions that may not be visible to the naked eye. We have also implemented real-time remote monitoring of vapor control systems through Supervisory Control and Data Acquisition (“SCADA”) equipment at a number of our larger production facilities. These inspections are being conducted regularly, both by our staff and by third-party contractors, more frequently and at more locations than federal and state regulations require.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connect many of our production facilities to electric grid power. Connecting to grid power allows us to forego using internal combustion-powered generators on-site, which further reduces emissions.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Water Management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Using improving technologies, where feasible, we are able to take produced water from our existing wells and from third-party systems, treat the water and then reuse that water in our completions operations on new wells. Use of recycled water saves significant amounts of fresh water that would otherwise have been used for hydraulic fracturing operations. As well as conserving fresh water, our use of recycled water in our completions operations reduces the amount of produced water that must be disposed. It also results in significant cost savings and efficiencies. In addition to using recycled water where feasible, we also use other sources of non-fresh water, which reduces the volume of fresh water used for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Land Stewardship</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When feasible, we attempt to reduce our surface footprint by batch drilling wells and drilling longer laterals, both of which result in fewer required drilling pads, and by working with the various regulatory agencies, including the New Mexico Oil Conservation Division (the “NMOCD”) and the U.S. Department of Interior Bureau of Land Management (“BLM”), to obtain approval to commingle production from different wells into centralized tank batteries. We also take steps to ensure we conduct our operations in locations that minimize any potential disturbance to the habitats around which we operate. As part of that effort, we have entered into voluntary agreements with the U.S. Fish and Wildlife Service (the “USFWS”) and the Center of Excellence for Hazardous Materials Management to observe operational restrictions designed to protect certain wildlife, including the habitats of the lesser prairie-chicken, dunes sagebrush lizard and Texas hornshell mussel. Additionally, for our federal locations and as otherwise warranted, we conduct wildlife, biology and archeology surveys and undertake reviews for caves, karsts and potential hydrology considerations.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96% of our gross operated oil production and 99% of our gross operated water production were connected to pipelines. In addition to the financial benefits to us and our stakeholders of connecting oil and produced water to pipelines, these pipeline connections have many other benefits, including the reduction in the number of trucks needed to transport the oil and produced water.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Oil and Natural Gas Regulation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promulgated, we are unable to predict the future cost or impact of complying with the laws, rules and regulations to which we are, or will become, subject. Our competitors in the oil and natural gas industry are generally subject to the same regulatory requirements and restrictions that affect our operations.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Texas, New Mexico, Louisiana and many other states require permits for drilling operations, drilling bonds and reports concerning operations and impose other requirements relating to the exploration, development and production of oil and natural gas. Many states also have laws, rules and regulations addressing conservation of oil and natural gas and other matters, including provisions for the unitization or pooling of oil and natural gas properties, the establishment of maximum rates of production from wells, the regulation of well spacing and setbacks, the surface use and restoration of properties upon which wells are drilled, the prohibition, restriction or limitation of emissions, venting or flaring natural gas, the sourcing and disposal of water used and produced in the drilling and completion process, the seismicity that may be related to salt water disposal wells and the plugging and abandonment of wells. While not presently the case in the states in which we operate, some states restrict production to the market demand for oil and natural gas or prescribe ceiling prices for natural gas sold within their boundaries. Additionally, some regulatory agencies have, from time to time, imposed price controls and limitations on production by restricting the rate of flow of oil and natural gas wells below natural production capacity in order to conserve supplies of oil and natural gas. Moreover, each state generally imposes a production or severance tax with respect to the production and sale of oil, natural gas and NGLs within its jurisdiction.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oil and natural gas leases are issued by agencies of the federal government, as well as agencies of the states in which we operate. These leases contain various restrictions on access and development and other requirements that may impede our ability to conduct operations on the acreage represented by these leases. BLM leases contain relatively standardized terms and require compliance with detailed regulations and orders, which are subject to change. These operations are also subject to BLM rules regarding engineering and construction specifications for production facilities, ability to commingle production,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 material adverse effect on our business and results of operations. Under certain circumstances, the BLM may require our operations on federal leases to be suspended or terminated. Permitting for oil and natural gas activities on federal lands can take significantly longer than the permitting process for oil and natural gas activities not located on federal lands. In addition, government disruptions, such as a shutdown of the U.S. federal government resulting from the failure to pass budget appropriations, adopt continuing funding resolutions or raise the debt ceiling, could delay or halt the granting and renewal of such permits or other licenses, approvals or certificates required to conduct our operations. Delays in obtaining necessary permits or other approvals can disrupt our operations and have a material adverse effect on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exploration and production activities on federal lands are also subject to the National Environmental Policy Act (“NEPA”). NEPA requires federal agencies, including the Department of Interior, to evaluate major agency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having the potential to significantly impact the environment. In the course of such evaluations, an agency will prepare an environmental assessment that assesses impacts that are “reasonably foreseeable” and have a “reasonably close causal relationship” to the agency action under review and, if necessary, will prepare a more detailed environmental impact statement that may be made available for public review and comment. The NEPA evaluation process at the Department of the Interior has followed regulations issued by the Council on Environmental Quality (“CEQ”) for many years. However, recent court rulings, including a 2024 decision by the United States Court of Appeals for the District of Columbia, have held that CEQ lacks legal authority to issue binding regulations governing the NEPA process. In addition, following an executive order from the Trump administration, CEQ has announced that it is rescinding its NEPA regulations, and as a result, each government agency impacted by NEPA may be required to establish its own processes and procedures. This process, including any additional requirements or procedures that may be included in the process or litigation over the sufficiency of the process, has the potential to delay or even halt development of future oil and natural gas projects with NEPA applicability.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the Biden administration issued executive orders limiting and delaying the issuance of new leases and drilling permits on federal lands (the “Biden Administration Federal Lease Orders”). The pause in issuing new leases was challenged in court, and the BLM ultimately continued to issue leases during the Biden administration. Furthermore, in January 2025, the Trump administration revoked the executive order from President Biden pausing new oil and gas leases on public lands.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2020 and 2021, an environmental group filed multiple lawsuits in federal district courts in New Mexico and the District of Columbia challenging certain BLM lease sales, including lease sales in which we purchased leases in New Mexico (the “Lease Sale Litigation”). The Lease Sale Litigation challenges the BLM’s decision to hold the lease sales based on alleged defects in the environmental reviews conducted under NEPA in conjunction with those sales. In 2020, the New Mexico federal district court dismissed the case pending there. That decision was appealed to the Tenth Circuit Court of Appeals, but the appeal was voluntarily dismissed in 2021. The lawsuits in the District of Columbia were also dismissed in 2022. In connection with these dismissals, in February 2022, the BLM announced an internal policy of delaying approval of drilling permits associated with the leases subject to the Lease Sale Litigation, including the dismissed New Mexico case, while the BLM conducted additional NEPA analyses. BLM later announced that drilling permit approvals could be considered for the subject leases, provided that the process included additional time for public comments and objections. In November 2022, the BLM published a supplemental environmental assessment of the greenhouse gas emissions related to the leases that evaluated a proposal to affirm its previous decisions to offer and approve the leases. Public comment on the supplemental environmental assessment closed on December 27, 2022. The outcome of the supplemental environmental assessment, including the BLM’s response to public comments and any future litigation regarding the leases at issue and any related drilling permits, is uncertain.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“Social Cost of Carbon Litigation”). Among the decisions impacted by the executive order were NEPA reviews conducted in connection with oil and natural gas leasing and permitting decisions by the BLM. After Louisiana and Missouri-led litigation in the federal district courts and the Fifth and Eighth Circuit Courts of Appeals, in May 2022, the U.S. Supreme Court let the challenged interim social cost of greenhouse gases go into effect. In November 2022, the Environmental Protection Agency (the “EPA”) suggested increasing the value of the social cost of greenhouse gases from $51 per metric ton to $190 per metric ton, and in December 2023, the EPA used $190 per metric ton as the social cost of greenhouse gases in its final rule revising New Source Performance Standards (“NSPS”) and Emission Guidelines for greenhouse gas and volatile organic compound emissions in the oil and gas sector. As part of this final rulemaking, the EPA published a peer-reviewed report on the updated social cost of greenhouse gases estimates. However, in January 2025, the Trump administration revoked the Biden administration’s executive order regarding the social cost of greenhouse gases, withdrew the social cost of greenhouse gases estimates and directed the EPA administrator to consider issuing guidance eliminating the social cost of carbon calculation from any Federal permitting or regulatory decision. Future EPA rulemakings may reestablish the previous social cost of greenhouse gases estimates or incorporate new estimates developed in the future and potentially result in more stringent rules and regulations affecting the oil and gas sector.</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environmental groups filed a lawsuit alleging that the BLM failed to conduct adequate NEPA reviews prior to issuing drilling permits in 2021 and 2022 for wells on federal acreage in New Mexico and Wyoming, including some drilling permits issued to the Company. In November 2023, the federal district court for the District of Columbia dismissed the case, holding that the environmental groups lacked standing. The environmental groups have appealed the district court’s ruling, and their appeal remains pending. In February 2023, in a separate lawsuit, the Tenth Circuit Court of Appeals ruled that certain BLM drilling permits for wells in the Chaco region of New Mexico were issued without adequate NEPA review (collectively with the 2022 lawsuit, the “Drilling Permit Litigation”). The outcome of the Drilling Permit Litigation, as well as any process changes that the BLM may implement in response to such lawsuits, is uncertain. The BLM indicated that the Lease Sale Litigation, the Social Cost of Carbon Litigation and the Drilling Permit Litigation could delay lease sales and the approval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drilling permits, though the ultimate impact is uncertain given the Trump administration’s revocations of related executive orders.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2024, the BLM finalized a new rule designed to reduce natural gas waste through limitation of certain oil and natural gas production activities and the imposition of more stringent royalty obligations on natural gas that is “avoidably lost” during operations. Furthermore, following an executive order by the Trump administration, the Department of the Interior has announced it is evaluating whether to suspend, revise, or rescind the 2024 waste rule. The ultimate outcome of this process, including possible financial costs and any adverse impacts on our oil and natural gas operations, is uncertain.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some of the restrictions in the Biden Administration Federal Lease Orders have lapsed or been revoked, the impact of these and similar federal actions related to the oil and natural gas industry, including those in response to the Lease Sale Litigation, Social Cost of Carbon Litigation and Drilling Permit Litigation, remains unclear, and should limitations or prohibitions be imposed or continue to be applied, our oil and natural gas operations on federal lands could be adversely impacted. See “Risk Factors—Risks Related to Laws and Regulations—Approximately 33%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Pipeline Regulation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of natural gas, as well as the revenues we receive from our sales, are affected by the availability, terms and costs of transportation. The rates, terms and conditions applicable to the interstate transportation of natural gas by pipelines are regulated by the Federal Energy Regulatory Commission (“FERC”) under the Natural Gas Act of 1938 (the “NGA”), as well as under Section 311 of the Natural Gas Policy Act of 1978 (the “NGPA”). Natural gas gathering facilities are exempt from the jurisdiction of FERC under section 1(b) of the NGA, and intrastate crude oil pipeline facilities are not subject to FERC’s jurisdiction under the Interstate Commerce Act (the “ICA”). State regulation of natural gas gathering facilities and intrastate crude oil pipeline facilities generally includes various safety, environmental and, in some circumstances, nondiscriminatory take requirements or complaint-based rate regulation. We believe that the natural gas pipelines in our gathering systems meet the traditional tests FERC has used to establish a pipeline’s status as a gatherer not subject to FERC jurisdiction. In December 2018, San Mateo placed into service its crude oil gathering and transportation system in the Rustler Breaks asset area in Eddy County, New Mexico (the “Rustler Breaks Oil Pipeline System”) following an open season to gauge shipper interest in committed crude oil interstate transportation service on the Rustler Breaks Oil Pipeline System earlier in 2018. The Rustler Breaks Oil Pipeline System was expanded to the Greater Stebbins Area following another open season in the third quarter of 2020. The Rustler Breaks Oil Pipeline System, including the expansion to the Greater Stebbins Area, is subject to FERC jurisdiction and includes approximately 70 miles of various diameter crude oil pipelines from origin points in Eddy County, New Mexico to an interconnect with Plains. As part of the Ameredev Acquisition, we acquired crude oil gathering and transportation pipelines with origin points from Lea County, New Mexico to various interconnections with third parties (the “Trophy Pipeline System”). The Trophy Pipeline System is also subject to FERC jurisdiction. We believe that the other crude oil pipelines in our gathering systems meet the traditional tests FERC has used to establish a pipeline’s status as an intrastate facility not subject to FERC jurisdiction.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2005, Congress enacted the Energy Policy Act of 2005 (the “Energy Policy Act”). The Energy Policy Act, among other things, amended the NGA to prohibit market manipulation in connection with the purchase or sale of natural gas or the purchase or sale of natural gas transportation services subject to FERC jurisdiction by any entity and to direct FERC to facilitate transparency in the market for the sale or transportation of natural gas in interstate commerce. The Energy Policy Act also significantly increased the penalties for violations of, among other things, the NGA, the NGPA or FERC rules, regulations or orders thereunder. FERC has promulgated regulations to implement the Energy Policy Act. Should we violate the anti-market manipulation laws and related regulations, in addition to FERC-imposed penalties and disgorgement, we may also be subject to third-party damage claims.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Intrastate natural gas transportation is subject to regulation by state regulatory agencies (and to a limited extent by FERC, as noted above). The basis for intrastate regulation of natural gas transportation and the degree of regulatory oversight and scrutiny given to intrastate natural gas pipeline rates and services varies from state to state. Because these regulations will apply to all intrastate natural gas shippers within the same state on a comparable basis, we believe that regulation in any states in which we operate will not affect our operations in any way that is materially different from our competitors that are similarly situated.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Rustler Breaks Oil Pipeline System and the Trophy Pipeline System are subject to regulation by FERC under the ICA and the Energy Policy Act of 1992 (the “EP Act”). The ICA and its implementing regulations give FERC authority to regulate the rates charged for service on interstate common carrier pipelines and generally require the rates and practices of interstate crude oil pipelines to be just, reasonable, not unduly discriminatory and not unduly preferential. The ICA also requires tariffs that set forth the rates an interstate crude oil pipeline company charges for providing transportation services on its FERC-jurisdictional pipelines, as well as the rules and regulations governing these services, to be maintained on file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FERC and posted publicly. The EP Act and its implementing regulations also generally allow interstate crude oil pipelines to annually index their rates up to a prescribed ceiling level and require that such pipelines index their rates down to the prescribed ceiling level if the index is negative.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 we receive from the sale of oil and NGLs will be affected by the availability, terms and cost of transportation of such products to market. As noted above, under rules adopted by FERC, interstate oil pipelines can change rates based on an inflation index, though other rate mechanisms may be used in specific circumstances. Intrastate oil pipeline transportation rates are subject to regulations promulgated by state regulatory commissions, which vary from state to state. We are not able to predict with certainty the effects, if any, of these regulations on our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2007, the Energy Independence &amp; Security Act of 2007 (the “EISA”) went into effect. The EISA, among other things, prohibits market manipulation by any person in connection with the purchase or sale of crude oil, gasoline or petroleum distillates at wholesale in contravention of such rules and regulations that the Federal Trade Commission may prescribe, directs the Federal Trade Commission to enforce the regulations and establishes penalties for violations thereunder.</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Pipeline and Hazardous Materials Safety Administration (the “PHMSA”) imposes pipeline safety requirements on regulated pipelines and gathering lines pursuant to its authority under the Natural Gas Pipeline Safety Act and the Hazardous Liquid Pipeline Safety Act, each as amended. The Rustler Breaks Oil Pipeline System and the Trophy Pipeline System are subject to PHMSA oversight. The Department of Transportation, through PHMSA, has established rules regarding integrity management programs for interstate oil pipelines, including the Rustler Breaks Oil Pipeline System and the Trophy Pipeline System. In recent years, pursuant to these laws and the Pipeline Safety, Regulatory Certainty, and Job Creation Act of 2011 and PIPES Act of 2016, PHMSA has expanded its regulation of gathering lines, subjecting previously unregulated pipelines to requirements regarding damage prevention, corrosion control, public education programs, maximum allowable operating pressure limits and other requirements. Certain of our natural gas gathering lines are federally “regulated gathering lines” subject to PHMSA requirements. On April 8, 2016, PHMSA published a notice of proposed rulemaking that would amend existing integrity management requirements, expand assessment and repair requirements in areas with medium population densities and extend regulatory requirements to onshore natural gas gathering lines that are currently exempt. To enact the changes outlined in the notice of proposed rulemaking, PHMSA enacted three separate rules (together known as the “Mega Rule”). The first part of the Mega Rule was finalized in October 2019 and requires operators of gas transmission pipelines constructed before 1970 to determine the material strength of their lines by reconfirming the maximum allowable operating pressure. In addition, the rule updates reporting and records retention standards for gas transmission pipelines. PHMSA issued the second part of the Mega Rule in November 2021, extending the federal safety requirements to onshore gas gathering pipelines with large diameters and high operating pressures.</w:t>
      </w:r>
      <w:r>
        <w:rPr>
          <w:color w:val="000000"/>
        </w:rPr>
        <w:t xml:space="preserve"> </w:t>
      </w:r>
      <w:r>
        <w:rPr>
          <w:rFonts w:ascii="Times New Roman;sans-serif" w:hAnsi="Times New Roman;sans-serif"/>
          <w:b w:val="false"/>
          <w:color w:val="000000"/>
          <w:sz w:val="20"/>
        </w:rPr>
        <w:t xml:space="preserve">PHMSA issued the third part of the Mega Rule in August 2022, which is applicable to onshore gas transmission pipelines and clarifies integrity management regulations, expands corrosion control requirements, mandates inspections after extreme weather events and updates existing repair criteria for both High Consequence Areas (“HCA”) and non-HCA pipelines. In September 2023, PHMSA issued a proposed rule applicable to gas transmission and distribution and gathering pipelines, which would require updates to emergency response plans and other safety practices. In addition, states have adopted regulations, similar to existing PHMSA regulations, for intrastate gathering and transmission lines. See “Risk Factors—Risks Related to Laws and Regulations—We may incur significant costs and liabilities resulting from compliance with pipeline safety regulations.”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 expansion of pipeline safety requirements or our operations could subject us to more stringent or costly safety standards, which could result in increased operating costs or operational delays.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 Federal and State Taxation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 addition, from time to time there has been a significant amount of discussion by legislators and presidential administrations concerning a variety of energy tax proposals at the federal level. Periodically, legislation is introduced to eliminate certain key U.S. federal income tax preferences currently available to oil and natural gas exploration and production companies. Such changes include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w:t>
      </w:r>
      <w:r>
        <w:rPr>
          <w:color w:val="000000"/>
        </w:rPr>
        <w:t xml:space="preserve"> </w:t>
      </w:r>
      <w:r>
        <w:rPr>
          <w:rFonts w:ascii="Times New Roman;sans-serif" w:hAnsi="Times New Roman;sans-serif"/>
          <w:b w:val="false"/>
          <w:color w:val="000000"/>
          <w:sz w:val="20"/>
        </w:rPr>
        <w:t xml:space="preserve">Any such changes in federal income tax law could eliminate or defer certain tax deductions within the industry that are currently available with respect to oil and natural gas exploration and development, and any such changes could negatively affect our financial condition, results of operations,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Changes to state or federal tax laws could adversely affect our business and our financial results. See “Risk Factors—Risks Related to Laws and Regulations—We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Underground Injection and Hydraulic Fracturing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own and operate underground injection wells throughout our areas of operation. Underground injection is the subsurface placement of fluid through a well, such as the reinjection of brine produced and separated from oil and natural gas production. Underground injection allows us to safely and economically dispose of produced water. The Safe Drinking Water Act (the “SDWA”) establishes a regulatory framework for underground injection, the primary objective of which is to ensure the mechanical integrity of the injection apparatus and to prevent migration of fluids from the injection zone into underground sources of drinking water. In addition, the Railroad Commission of Texas (the “RRC”) and the NMOCD require injected fluids to be confined to a permitted injection interval to aid in the protection of potentially productive intervals. The disposal of hazardous waste by underground injection is subject to stricter requirements than the disposal of produced water. Failure to obtain, or abide by the requirements for the issuance of, necessary permits could subject us to civil and/or criminal enforcement actions and penalties. In addition, in some instances, the operation of underground injection wells has been alleged to cause earthquakes (induced seismicity) as a result of flawed well design or operation. This has resulted in stricter regulatory requirements in some jurisdictions relating to the location and operation of underground injection wells. 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have imposed additional requirements, including requirements regarding the permitting of salt water disposal wells or otherwise, to assess the relationship between seismicity and the use of such wells. In October 2014, the RRC adopted disposal well rule amendments designed, among other things, to require applicants for new disposal wells that will receive non-hazardous produced water or other oil and natural gas waste to conduct seismic activity searches utilizing the U.S. Geological Survey. The searches are intended to determine the potential for earthquakes within a circular area of 100 square miles around a proposed new disposal well. If the permittee or an applicant for a disposal well permit fails to demonstrate that the produced water or other fluids are confined to the disposal zone, or if scientific data indicates such a disposal well is likely to be, or determined to be, contributing to seismic activity, then the RRC may deny, modify, suspend or terminate the permit application or existing operating permit for that disposal well. The RRC has used this authority to deny permits for waste disposal wells and to restrict the volumes authorized to be injected by permitted wells. In addition,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The protocols also require enhanced reporting and varying levels of curtailment of injection rates for salt water disposal wells, including potentially shutting in such wells, in the area of seismic events based on the magnitude, timing and proximity of the seismic event. For example, the salt water disposal well we acquired in the Advance Acquisition is restricted due to these protocols. The potential adoption of federal, state and local legislation and regulations intended to address induced seismicity in the areas in which we operate could restrict our drilling and production activities and our midstream operations, as well as our ability to dispose of produced water gathered from such activities, which could result in increased costs and additional operating restrictions or delays that could, in turn, materially impact our production volumes, revenues, reserves, cash flows and availability under our Credit Agreement.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hydraulic fracturing as a means to maximize the recovery of oil and natural gas in almost every well that we drill and complete. Although average drilling and completion costs for each area will vary, as will the cost of each well within a given area, on average approximately half of the total well costs for our horizontal wells are attributable to overall completion activities, which are primarily focused on hydraulic fracture treatment operations. A change to any federal and state laws and regulations governing hydraulic fracturing could impact these costs and adversely affect our business and financial results. See “Risk Factors—Risks Related to Laws and Regulations—Federal and state legislation and regulatory initiatives relating to hydraulic fracturing could result in increased costs and additional operating restrictions or delays.”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of hydraulic fracturing is typically regulated by state oil and natural gas commissions. Various policy makers, regulatory agencies and political candidates at the federal, state and local levels have proposed restrictions on hydraulic fracturing, including its outright prohibition. Restrictions on hydraulic fracturing could reduce the amount of oil and natural gas that we are ultimately able to produce. Some states and localities have placed additional regulatory burdens upon hydraulic fracturing activities and, in some areas, severely restricted or prohibited those activities. In recent years, various bills have been introduced in the New Mexico legislature to place a moratorium on, ban or otherwise restrict hydraulic fracturing, including prohibiting the injection of fresh water in such operations. In addition, separate and apart from the referenced potential connection between injection wells and seismicity, concerns have been raised that hydraulic fracturing activities may be correlated to induced seismicity. The scientific community and regulatory agencies at all levels are studying the possible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linkage between oil and natural gas activity and induced seismicity, and some state regulatory agencies have modified their regulations or guidance to mitigate potential causes of induced seismicity. Hydraulic fracturing is generally exempted from federal regulation as underground injection (unless diesel is a component of the fracturing fluid) under the SDWA. If the exemption for hydraulic fracturing is removed from the SDWA, or if other legislation is enacted at the federal, state or local level imposing any restrictions on the use of hydraulic fracturing, this could have a material adverse impact on our financial condition, results of operations and cash flows. Additional burdens upon hydraulic fracturing, such as reporting or permitting requirements, would result in additional expense and delay in our operations. See</w:t>
      </w:r>
      <w:r>
        <w:rPr>
          <w:color w:val="000000"/>
        </w:rPr>
        <w:t xml:space="preserve"> “</w:t>
      </w:r>
      <w:r>
        <w:rPr>
          <w:rFonts w:ascii="Times New Roman;sans-serif" w:hAnsi="Times New Roman;sans-serif"/>
          <w:b w:val="false"/>
          <w:color w:val="000000"/>
          <w:sz w:val="20"/>
        </w:rPr>
        <w:t>Risk Factors—Risks Related to Laws and Regulations—Federal and state legislation and regulatory initiatives relating to hydraulic fracturing could result in increased costs and additional operating restrictions or delays” and “Risk Factors—Risks Related to Laws and Regulations—Approximately 33%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Environmental, Health and Safety Regulation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exploration, development, production, gathering and processing of oil and natural gas are subject to various federal, state and local environmental laws and regulations. These laws and regulations can increase the costs of planning, designing, drilling, completing and operating oil and natural gas wells, midstream facilities and produced water injection and disposal wells. Our activities are subject to a variety of environmental laws and regulations, including: the Oil Pollution Act of 1990 (the “OPA 90”), the Clean Water Act (the “CWA”), the Comprehensive Environmental Response, Compensation, and Liability Act (“CERCLA”), the Resource Conservation and Recovery Act (“RCRA”), the Clean Air Act (the “CAA”) and the Occupational Safety and Health Act (“OSHA”), as well as comparable state statutes and regulations. We are also subject to regulations governing the handling, transportation, storage and disposal of wastes generated by our activities and naturally occurring radioactive materials (“NORM”) that may result from our oil and natural gas operations. Administrative, civil and criminal fines and penalties may be imposed for noncompliance with these environmental laws and regulations, and violations and liability with respect to these laws and regulations could also result in remedial clean-ups, natural resource damages, permit modifications or revocations, operational interruptions or shutdowns and other liabilities. Additionally, these laws and regulations require the acquisition of permits or other governmental authorizations before undertaking some activities, may require notice to stakeholders of proposed and ongoing operations, limit or prohibit other activities because of protected wetlands, areas or species and require investigation and cleanup of pollution. These laws, rules and regulations may also restrict the production rate of oil and natural gas or limit the injection of produced water into disposal wells below the rates that would otherwise be possible. We expect to remain in compliance in all material respects with currently applicable environmental laws and regulations and do not expect that these laws and regulations will have a material adverse impact on us.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OPA 90 and its regulations impose requirements on “responsible parties” related to the prevention of crude oil spills and liability for damages resulting from oil spills into or upon navigable waters, adjoining shorelines or in the exclusive economic zone of the United States. A “responsible party” under the OPA 90 may include the owner or operator of an onshore facility. The OPA 90 subjects responsible parties to strict, joint and several financial liability for removal and remediation costs and other damages, including natural resource damages, caused by an oil spill that is covered by the statute. Failure to comply with the OPA 90 may subject a responsible party to civil or criminal enforcement action.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CWA and comparable state laws impose restrictions and strict controls regarding the discharge of produced waters, fill materials and other materials into navigable waters. These controls have become more stringent over the years, and it is possible that additional restrictions will be imposed in the future. Permits are required to discharge pollutants into certain state and federal waters and to conduct construction activities in those waters and wetlands. The CWA and comparable state statutes provide for civil, criminal and administrative penalties for any unauthorized discharges of oil and other pollutants and impose liability for the costs of removal or remediation of contamination resulting from such discharges. In September 2015, a rule issued by the EPA and U.S. Army Corps of Engineers (the “Corps”) to revise the definition of “waters of the United States” (“WOTUS”) for all CWA programs, thereby defining the scope of the EPA’s and the Corps’ jurisdiction, became effective. The EPA rescinded this rule in 2019 and promulgated the Navigable Waters Protection Rule (the “NWPR”) in 2020. The NWPR was viewed as narrowing the scope of WOTUS as compared to the 2015 rule. In August 2021, the U.S. District Court for the District of Arizona vacated and remanded the NWPR. On January 18, 2023, the EPA and the Corps jointly issued a final rule revising the definition of WOTUS that largely returned to the pre-2015 regulatory regime. On September 8, 2023, the U.S. Supreme Court issued a decision limiting the scope of federal jurisdiction over wetlands only to those that have a continuous surface connection to water bodies. On August 29, 2023, the EPA and the Corps jointly issued a final rule, which took effect immediately, aligning the regulatory definition of WOTUS with the Supreme Court’s ruling.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CERCLA, also known as the “Superfund” law, imposes liability, without regard to fault or the legality of the original conduct, on various classes of persons that are considered to have contributed to the release of a “hazardous substance” into the environment. These persons include the owner or operator of the site where the release occurred and companies that disposed of, or arranged for the disposal of, the hazardous substances found at the site. Persons who are responsible for releases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hazardous substances under CERCLA may be subject to joint and several liability for the costs of cleaning up the hazardous substances and for damages to natural resources. In addition, it is not uncommon for neighboring landowners and other third parties to file claims for personal injury and property damage allegedly caused by hazardous substances released into the environment. Although CERCLA generally exempts petroleum from the definition of hazardous substances, our operations may, and in all likelihood will, involve the use or handling of materials that are classified as hazardous substances under CERCLA. Each state also has environmental cleanup laws analogous to CERCLA.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RCRA and comparable state and local statutes govern the management, including treatment, storage and disposal, of both hazardous and nonhazardous solid wastes. We generate hazardous and nonhazardous solid waste in connection with our routine operations. RCRA includes a statutory exemption that allows many wastes associated with crude oil and natural gas exploration and production to be classified as nonhazardous waste. A similar exemption is contained in many of the state counterparts to RCRA. Not all of the wastes we generate fall within these exemptions. At various times in the past, proposals have been made to amend RCRA to eliminate the exemption applicable to crude oil and natural gas exploration and production wastes. Repeal or modifications of this exemption by administrative, legislative or judicial process, or through changes in applicable state statutes, would increase the volume of hazardous waste we are required to manage and dispose of and would cause us, as well as our competitors, to incur increased operating expenses. Hazardous wastes are subject to more stringent and costly disposal requirements than nonhazardous wastes.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CAA, as amended, restricts the emission of air pollutants from many sources, including oil and natural gas production. In addition, certain states have comparable legislation, which may be more restrictive than the CAA. These laws and any implementing regulations impose stringent air permit requirements and require us to obtain pre-approval for the construction or modification of certain projects or facilities expected to produce air emissions, or to use specific equipment or technologies to control emissions. Federal and state regulatory agencies can impose administrative, civil and criminal penalties for non-compliance with air permits or other requirements of the CAA and associated state laws and regulations. On August 16, 2022, the Inflation Reduction Act created the Methane Emissions Reduction Program to incentivize methane emission reductions and impose a fee on greenhouse gas emissions from certain facilities that exceed specified emissions levels. See “Risk Factors—Risks Related to Laws and Regulations—New regulations on all emissions from our operations could cause us to incur significant costs.”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nationally determined contributions (“NDC”), which set greenhouse gas emission reduction goals, every five years beginning in 2020. The United States exited the Paris Agreement in November 2020, but rejoined the agreement effective February 19, 2021. In April 2021, the United States made its NDC submittal, setting an emissions reduction goal of a 50 to 52% reduction from 2005 levels in economy-wide net greenhouse gas pollution in 2030. Further, in November 2021, the United States and other countries entered into the Glasgow Climate Pact, which included a range of measures designed to address climate change, including the phase-out of fossil fuel subsidies, reducing methane emissions 30% by 2030 and cooperating toward the advancement of the development of alternative sources of energy. However, the Trump administration has announced a change in course. In January 2025, the Trump administration issued an executive order directing the U.S. Ambassador to the United Nations to immediately submit formal written notification of the U.S.’s withdrawal from the Paris Agreement and any agreement, pact, accord or similar commitment made under the United Nations Framework Convention on Climate Change, which would include the Glasgow Climate Pact.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NMOCD implemented rules regarding the reduction of natural gas waste and the control of emissions that, among other items, prohibit flaring in certain circumstances and require upstream and midstream operators to reduce natural gas waste by a fixed amount each year and achieve a 98% natural gas capture rate by the end of 2026. The New Mexico Environment Department (the “NMED”) adopted rules and regulations in April 2022 to address the formation of ground-level ozone, including from existing oil and natural gas operations. In August 2022, the NMED issued a final rule imposing additional controls on oil and natural gas operations to reduce ozone-precursor emissions. In November 2024, the New Mexico Court of Appeals upheld the ozone precursor rule, though this decision may be appealed.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2025, the NMED announced that, due to budget constraints, the NMED Cabinet Secretary will issue a temporary emergency rule to suspend deadlines to issue air permits. Air permits are required for the construction of new oil and gas production facilities or the modification of existing facilities in New Mexico. Whether this announcement will result in meaningful delays or cancelation of our permit applications is uncertain. Any interruption in our ability to timely obtain air permits could result in delays in or an inability to proceed with our development plans for our oil and natural gas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environmental laws and regulations occur frequently, and any changes that result in more stringent and costly waste handling, storage, transport, disposal, cleanup or operating requirements could materially adversely affect our operations and financial condition, as well as those of the oil and natural gas industry in general. The Biden administration started a number of climate and environmental justice initiatives at the federal level. For instance, in January 2021, President Biden issued Executive Order 14088, which directed a government-wide effort to address climate change by reducing greenhouse gas emissions and achieving net-zero global carbon emissions by 2050 or before. That effort was designed to infuse climate policy in all aspects of federal decision-making, including specific directives that touch on foreign policy, national security, financial regulation, federal procurement, infrastructure, and environmental justice among other things. Based on this Executive Order and other findings, the EPA began implementing a comprehensive suite of regulations to restrict emissions of greenhouse gases under existing provisions of the CAA. It is expected that policies relating to environmental matters will change under the Trump administration, but it is too soon to predict what the ultimate impact of the change in administration will be.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8, 2024, the EPA issued a final rule to regulate emissions from oil and natural gas sources that includes NSPS to limit greenhouse gas and volatile organic compound emissions for new, modified or reconstructed sources, as well as emissions guidelines for states to follow when establishing plans to limit methane emissions from existing sources. Additionally, on November 17, 2023, the EPA issued a final rule that enables states to implement more stringent methane emissions standards than the federal guidelines require. As another example, in April 2024, the EPA issued a final consent decree that established a December 10, 2024 deadline for the EPA to review and propose revisions to the National Emission Standards for Hazardous Air Pollutants (“NESHAP”) for oil and natural gas production facilities and natural gas transmission and storage facilities, which may require us to make additional changes to our operations. The EPA has not yet proposed any such revisions.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 See “Risk Factors—Risks Related to Laws and Regulations—Legislation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 and “Risk Factors—Risks Related to Laws and Regulations—New regulations on all emissions from our operations could cause us to incur significant costs.”</w:t>
      </w:r>
    </w:p>
    <w:p>
      <w:pPr>
        <w:pStyle w:val="TextBody"/>
        <w:bidi w:val="0"/>
        <w:spacing w:lineRule="auto" w:line="276"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course of our routine oil and natural gas operations, surface spills and leaks, including casing leaks, of oil, produced water or other materials may occur, and we may incur costs for waste handling and environmental compliance. It is also possible that our oil and natural gas operations may require us to manage NORM. NORM is present in varying concentrations in sub-surface formations, including hydrocarbon reservoirs, and may become concentrated in scale, film and sludge in equipment that comes in contact with crude oil and natural gas production and processing streams. Some states, including Texas, New Mexico and Louisiana, have enacted regulations governing the handling, treatment, storage and disposal of NORM.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requirements of OSHA and comparable state statutes. The OSHA Hazard Communication Standard, the “community right-to-know” regulations under Title III of the federal Superfund Amendments and Reauthorization Act and similar state statutes require us to organize information about hazardous materials used, released or produced in our operations. Certain of this information must be provided to employees, state and local governmental authorities and local citizens. We are also subject to the requirements and reporting set forth in OSHA workplace standards.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Endangered Species Act (“ESA”) was established to protect endangered and threatened species. Pursuant to the ESA, if a species is listed as threatened or endangered, restrictions may be imposed on activities adversely affecting that species’ habitat. On March 27, 2023, a final rule became effective that, among other things, lists the lesser prairie-chicken as endangered under the ESA in certain portions of Southeast New Mexico where we operate. On May 20, 2024, the USFWS issued a final rule listing the dunes sagebrush lizard as endangered. Similar protections are offered to migratory birds under the Migratory Bird Treaty Act and to bald and golden eagles under the Bald and Golden Eagle Protection Act. The USFWS must also designate the species’ critical habitat and suitable habitat as part of the effort to ensure survival of the species. A critical habitat or suitable habitat designation could result in material restrictions on land use and may materially impact oil and natural gas development. Our oil and natural gas operations in certain of our operating areas could also be adversely affected by seasonal or permanent restrictions on drilling activity designed to protect certain wildlife in the Delaware Basin and other areas in which we operate and our ability to maximize production from our leases may be adversely impacted by these restrictions. See “Risk Factors—Risks Related to Laws and Regulations—We are subject to government regulation and liability, including complex environmental laws, which could require significant expenditures.”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in the past been, and do not anticipate in the near future to be, required to expend amounts that are material in relation to our total capital expenditures as a result of environmental laws and regulations, but since these laws and regulations are periodically amended, we are unable to predict the ultimate cost of compliance. We have no assurance that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stringent environmental laws and regulations will not be adopted or that we will not otherwise incur material expenses in connection with environmental laws and regulations in the future. The overall trend in environmental regulation is to place more restrictions and limitations on activities that may affect the environment. Any changes in environmental laws and regulations or re-interpretation of enforcement policies that result in more stringent and costly permitting, emissions control, waste handling, storage, transport, disposal or remediation requirements could have a material adverse effect on our operations and financial condition. We may be unable or unwilling to pass on such increased compliance costs to our customers. Moreover, accidental releases or spills may occur in the course of our operations, and we have no assurance that we will not incur significant costs and liabilities as a result of such releases or spills, including any third-party claims for damage to property, natural resources or persons. See “Risk Factors—Risks Related to Laws and Regulations—We are subject to government regulation and liability, including complex environmental laws, which could require significant expenditures.”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exploration and production operations and other activities have been conducted on some of our properties by previous owners and operators. Operations by previous owners and operators may not have been conducted in compliance with applicable rules and regulations, and materials from these operations may remain on some of the properties, and, in some instances, require remediation. In addition, we occasionally must agree to indemnify sellers and buyers, respectively, of producing properties against some of the liability for environmental claims or violations associated with the properties we purchase or sell, respectively. Moreover, we will be able to control directly the operations of only those wells we operate. Despite our lack of control over wells owned partly by us but operated by others, the failure of the operator to comply with the applicable environmental regulations may, in certain circumstances, be attributable to us. While we do not believe that costs we incur for compliance with environmental regulations and remediating previously or currently owned or operated properties will be material, we cannot provide any assurances that these costs will not result in material expenditures that adversely affect our profitability.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insurance against some, but not all, potential risks and losses associated with our industry and operations. We generally do not carry business interruption insurance other than with respect to our midstream business. For some risks, we may not obtain insurance if we believe the cost of available insurance is excessive relative to the risks presented. In addition, pollution and environmental risks generally are not fully insurable. If a significant accident or other event occurs and is not fully covered by insurance, it could materially adversely affect our financial condition, results of operations and cash flows. See “Risk Factors—Risks Related to our Operations—Insurance against all operational risks is not available to 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Office Location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are located at One Lincoln Centre, 5400 LBJ Freeway, Suite 1500, Dallas, Texas 75240.</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452 full-time employees. We believe that our relationships with our employees are satisfactory. No employee is covered by a collective bargaining agreement. From time to time, we use the services of independent consultants and contractors to perform various professional services, including in the areas of geology and geophysics, land, production and midstream operations, construction, design, well site surveillance and supervision, permitting and environmental assessment, legal and income tax preparation and accounting services. Independent contractors, at our request, drill and complete all of our wells and usually perform field and on-site production operation services for us, including midstream services, facilities construction, pumping, maintenance, dispatching, inspection and testing. If significant opportunities for company growth arise and require additional management and professional expertise, we will seek to employ qualified individuals to fill positions where that expertise is necessary to develop those opportunities.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Recruiting, Retention and Professional Development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are our most important asset. We have invested the time, attention and resources necessary to recruit, retain and develop an extraordinary team. We offer a comprehensive compensation package with base pay, discretionary bonus and equity incentive opportunities, paid time off, 401(k) matching contributions, an employee stock purchase plan and an affordable and comprehensive health insurance program, among other benefits. We also provide employees the opportunity to have significant responsibility and daily interaction with our executive management and team leaders.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encourage continuing education and study, requiring every employee to complete at least 40 hours of professional training annually. In 2024, for example, our employees completed approximately 22,500 hours of continuing education and study, equating to approximately 50 hours per employee. We also have a leadership program that fosters the development and growth of many of our staff with meetings and opportunities to enhance their leadership skills.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respect cultural diversity and do not tolerate harassment or discrimination of any kind, including discrimination based on race, color, ethnicity, religion, gender, sexual orientation, gender identity, age, national origin, disability and veteran or marital status.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Proactive Safety Culture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proud to have a company culture that emphasizes safety throughout our operations. Our Health, Safety and Environmental (“HSE”) group and our experienced field and office staff involved in our drilling, completion, production and midstream operations proactively work to minimize safety risks and address any potential areas of concern.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emphasize the importance of recruiting and maintaining a quality HSE group, and we believe it is important that our HSE group has actual hands-on experience in the field to understand the challenges and issues that can arise. Our HSE group’s experience allows us to understand the technical issues faced by our field employees and contractors, as well as maintain an open dialogue with community leaders in the areas we operate about potential safety issues and mitigation efforts.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Our Internet website address is </w:t>
      </w:r>
      <w:r>
        <w:rPr>
          <w:rFonts w:ascii="Times New Roman;sans-serif" w:hAnsi="Times New Roman;sans-serif"/>
          <w:b w:val="false"/>
          <w:i/>
          <w:color w:val="000000"/>
          <w:sz w:val="20"/>
        </w:rPr>
        <w:t>www.matadorresources.com</w:t>
      </w:r>
      <w:r>
        <w:rPr>
          <w:rFonts w:ascii="Times New Roman;sans-serif" w:hAnsi="Times New Roman;sans-serif"/>
          <w:b w:val="false"/>
          <w:color w:val="000000"/>
          <w:sz w:val="20"/>
        </w:rPr>
        <w:t>. We make available, free of charge, through our website, our Annual Reports on Form 10-K, Quarterly Reports on Form 10-Q, Current Reports on Form 8-K and amendments to those reports, as soon as reasonably practicable after providing such reports to the SEC. Also, the charters of our Audit Committee, Environmental, Social and Corporate Governance Committee, Executive Committee, Nominating Committee and Strategic Planning and Compensation Committee, our Code of Ethics and Business Conduct for Officers, Directors and Employees and information regarding certain of our ESG initiatives, investor presentations, press releases and shareholder communications are available through our website, and we also intend to disclose any amendments to our Code of Ethics and Business Conduct, or waivers to such code on behalf of our Chief Executive Officer, Chief Financial Officer or Chief Accounting Officer, on our website. All of these corporate governance materials are available free of charge and in print to any shareholder who provides a written request to the Corporate Secretary at One Lincoln Centre, 5400 LBJ Freeway, Suite 1500, Dallas, Texas 75240. The contents of our website are not intended to be incorporated by reference into this Annual Report or any other report or document we file and any reference to our website is intended to be an inactive textual reference only.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some of the risks and uncertainties that could materially adversely affect our business, financial condition, results of operations and cash flows. You should read this summary together with the more detailed risk factors contained below.</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Financial Condition</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 xml:space="preserve">Our success is dependent on the prices of oil, natural gas and NGLs, the volatility of which may adversely affect our financial condition.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Our industry and the broader U.S. economy have experienced higher than expected inflationary pressures in recent years.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cannot predict the impact of the ongoing military conflicts between Russia and Ukraine and in the Middle East.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business requires substantial capital expenditures that may exceed our cash flows from operations and potential borrowings.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oil and natural gas reserves are estimated, and significant inaccuracies in our oil and natural gas reserves estimates or underlying assumptions will materially affect the quantities and present value of our reserves.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calculated present value of future net revenues from our proved oil and natural gas reserves will not necessarily be the same as the current market value of our estimated oil and natural gas reserves.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Approximately 41% of our total proved reserves at December 31, 2024 consisted of undeveloped and developed non-producing reserves, and those reserves may not ultimately be developed or produced.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Unless we replace our oil and natural gas reserves, our reserves and production will decline.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may be required to write down the carrying value of our proved properties under accounting rules.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Hedging transactions, or the lack thereof, may limit our potential gains and could result in financial losses.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Changes in price differentials between benchmark prices of oil and natural gas and the wellhead price we receive for our production could adversely affect us.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Our failure to identify, complete or integrate future acquisitions successfully could reduce our earnings and hamper our growth.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may purchase properties or midstream assets with liabilities or risks that we did not know about or assess correctly.</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may incur losses or costs as a result of title deficiencies in the properties in which we invest.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complete dispositions of assets, or interests in assets, may be subject to factors beyond our control, and in certain cases we may be required to retain liabilities for certain matters.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Liquidity</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We may not be able to generate sufficient cash to fund our capital expenditures, service all of our indebtedness and pay dividends to our shareholders, and we may incur additional indebtedness, which could reduce our financial flexibility.</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The borrowing base under our Credit Agreement is subject to periodic redetermination, and we are subject to interest rate risk under our Credit Agreement and the San Mateo Credit Facility.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terms of the agreements governing our outstanding indebtedness may restrict our current and future operations.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credit rating may be downgraded, which could reduce our financial flexibility.</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Dividend payments are at the discretion of our Board of Directors and subject to numerous factors.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Operations</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Drilling for and producing oil, natural gas and NGLs is highly speculative and involves a high degree of operational and financial risk.</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operations are subject to operational hazards and risks, and insurance against all such risks is not available to us.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reserves and production are concentrated in a few core areas.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There is no guarantee that we will be successful in optimizing our spacing, drilling and completions techniques.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Certain of our properties are in areas that may have been partially depleted or drained by offset wells, and certain of our wells may be adversely affected by actions of other operators.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Multi-well pad drilling may result in volatility in our operating results.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unavailability or high cost of drilling rigs, completion equipment and services, supplies and personnel could adversely affect our ability to establish and execute exploration and development plans within budget and on a timely basis.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may be unable to acquire adequate supplies of water for our drilling and hydraulic fracturing operations or dispose of the water we use at a reasonable cost and pursuant to applicable environmental rules.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Midstream projects are subject to risks of construction delays and cost over-runs.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identified drilling locations are scheduled over several years, making them susceptible to uncertainties and lease expirations that could materially alter the occurrence or timing of their drilling.</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seismic data and other technologies we use cannot eliminate exploration risk.</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Related to Third Parties</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Financial difficulties encountered by purchasers, operators or other third parties could decrease our cash flows from operations and adversely affect the exploration and development of our prospects and assets.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marketability of our production is dependent upon gathering, processing and transportation facilities.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conduct a portion of our operations through joint ventures, including San Mateo, which subjects us to certain risks.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San Mateo’s long-term success depends on its ability to obtain new sources of products, which depends on certain factors beyond its control.</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Certain of our long-term contracts require us to pay fees to our service providers based on minimum volumes regardless of actual volume throughput and may limit our ability to use other service providers.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do not own all of the land on which our midstream assets are located, which could disrupt our operations.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Competition in our industry is intense, and our competitors may use superior technology and data resources.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Strategic relationships upon which we may rely are subject to change.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have limited control over activities on properties we do not operate.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Risks Related to Laws and Regulations </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Approximately 33% of our leasehold and mineral acres in the Delaware Basin is located on federal lands, which are subject to various requirements and regulations.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are subject to government regulation, including complex environmental laws, which could require significant expenditures.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are subject to tax laws and may become subject to new taxes, or tax deductions currently available to us may be eliminated or reduced.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Legislation and regulatory initiatives relating to hydraulic fracturing, induced seismicity, emissions and climate change could result in increased costs and additional operating restrictions or delays, and the physical effects of climate change could disrupt our production and cause us to incur significant costs.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New climate disclosure rules proposed by the SEC or states in which we have operations or do business could increase our costs of compliance.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 may incur significant costs and liabilities resulting from compliance with emissions or pipeline safety regulations.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 change in the jurisdictional characterization of some of our assets by FERC or a change in policy by FERC may result in increased regulation of our assets.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rates of our regulated assets are subject to review and reporting by federal regulators.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Should we fail to comply with FERC-administered statutes, rules, regulations and orders, we could be subject to substantial penalties and fines.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Derivatives legislation adopted by Congress could limit our ability to hedge risks associated with our business.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Changes in U.S. foreign trade policies may materially and adversely affect our business, operations and financial condition.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Risks Related to Our Common Stock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price of our common stock has fluctuated substantially and may fluctuate substantially in the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Attention to ESG and conservation matters and a negative shift in market perception towards the oil and natural gas industry could adversely affect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Future sales and offerings of our common stock could depress the price of our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directors and executive officers own a significant percentage of our equity, which could give them influence in corporate transactions and other matters, and their interests could differ from other shareholders.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issuance of preferred stock could diminish the rights of holders of our common stock.</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Risk Factors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have difficulty managing growth in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loss of any key personnel or Board member could disrupt our business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 cyber incident could occur and result in information theft, data corruption, operational disruption or financial loss.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governing documents and Texas law may have anti-takeover effects that could prevent a change in control.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operate in a litigious environment and may be involved in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Condition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the oil, natural gas and NGLs we produce heavily influence our revenue, profitability, cash flow available for capital expenditures, the repayment of debt and the payment of cash dividends, if any, access to capital, borrowing capacity under our Credit Agreement and future rate of growth. Oil, natural gas and NGLs are commodities and, therefore, their prices are subject to wide fluctuations in response to relatively minor changes in supply and demand. Historically, the markets for oil, natural gas and NGLs have been volatile and will likely continue to be volatile in the future. For the year ended December 31, 2024, oil prices averaged $75.76 per Bbl, as compared to $77.60 per Bbl in 2023, ranging from a high of $86.91 per Bbl in early April to a low of $65.75 per Bbl in mid-September, based upon the WTI oil futures contract price for the earliest delivery date. For the year ended December 31, 2024, natural gas prices averaged $2.40 per MMBtu, as compared to $2.66 per MMBtu in 2023, based upon the NYMEX Henry Hub natural gas futures contract price for the earliest delivery date. During 2024, natural gas prices ranged from a low of $1.58 per MMBtu in late March to a high of $3.95 per MMBtu in late December.</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our production, and the levels of our production, depend on numerous factors. These factors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domestic and foreign supply of, and demand for, oil, natural gas and NGLs;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actions of OPEC+ and state-controlled oil companies;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prices and availability of competitors’ supplies of oil, natural gas and NGLs;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price and quantity of foreign imports;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U.S. dollar exchange rates;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domestic and foreign governmental regulations and taxes;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speculative trading of oil and natural gas futures contracts;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availability, proximity and capacity of gathering, processing and transportation systems for oil, natural gas and NGLs and gathering and disposal systems for produced water;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availability of refining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prices and availability of alternative fuel and energy sources;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weather conditions and natural disasters, including hurricanes and tropical storms in the Gulf Coast region and severe cold weather in the Delaware Basin;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political conditions or conflicts in or affecting oil, natural gas and NGL producing regions or countries, including the United States, the Middle East, South America, Russia, Ukraine and China;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ongoing military conflicts between Russia and Ukraine and in the Middle East, as well as the related actions of U.S. and other governments and governmental organizations relating to oil, natural gas and NGLs, including through sanctions, embargoes, import restrictions and commodity price caps;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domestic or global health concerns, including the outbreak or resurgence of contagious or pandemic diseases;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threat of terrorism and the impact of military action and civil unrest;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public pressure on, and legislative and regulatory interest within, federal, state and local governments to stop, significantly limit or regulate oil, natural gas and NGL operations, including hydraulic fracturing activities;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global oil, natural gas and NGL inventories and exploration and production activity;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energy conservation efforts;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technological advances affecting energy consumption;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tariffs and trade restrictions;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overall worldwide economic conditions.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factors make it difficult to predict future commodity price movements with any certainty. Substantially all of our oil, natural gas and NGL sales are made in the spot market or pursuant to contracts based on spot market prices and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long-term fixed price contracts. Further, oil, natural gas and NGL prices do not necessarily fluctuate in direct relation to each other.</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Declines in oil, natural gas or NGL prices not only reduce our revenue, but could also reduce the amount of oil, natural gas and NGLs that we can produce economically and, as a result, could have a material adverse effect on our financial condition, results of operations, cash flows and reserves and our ability to comply with the financial covenants under our Credit Agreement. Should oil, natural gas or NGL prices decrease to economically unattractive levels and remain there for an extended period of time, we may elect to delay some of our exploration and development plans for our prospects, cease exploration or development activities on certain prospects due to the anticipated unfavorable economics from such activities or cease or delay further expansion of our midstream projects, each of which could have a material adverse effect on our business, financial condition, results of operations and reserves. In addition, such declines in commodity prices could cause a reduction in our borrowing base. If the borrowing base were to be less than the outstanding borrowings under our Credit Agreement at any time, we would be required to provide additional collateral satisfactory in nature and value to the lenders to increase the borrowing base to an amount sufficient to cover such excess or repay the deficit in equal installments over a period of six months.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industry and the broader U.S. economy have experienced higher than expected inflationary pressures in recent years. Should these conditions persist, it may impact our ability to procure services, materials and equipment on a cost-effective basis, or at all, and, as a result, our business, financial condition, results of operations and cash flows could be materially and adversely affected.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Inflation in the U.S. has become much more significant in recent years. Since 2022, we have experienced significant increases in the costs of certain oilfield services, materials and equipment, including diesel, steel, labor, trucking, sand, personnel and completion costs, among others. Supply and demand fundamentals have been aggravated by disruptions in global energy supply caused by multiple geopolitical events, including the ongoing military conflicts between Russia and Ukraine and in the Middle East, as well as related actions of the U.S. and other governments and governmental organizations relating to oil, natural gas and NGLs, including through sanctions, embargoes, import restrictions and commodity price caps. Should oil and natural gas prices remain at their current levels or increase, we expect to be subject to additional supply chain constraints and service cost inflation in future periods, which may increase our costs to drill, complete, equip and operate wells. In addition, supply chain disruptions and other inflationary pressures being experienced throughout the U.S.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have a material adverse effect on our business, financial condition, results of operations and cash flows.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cannot predict the impact of the ongoing military conflicts between Russia and Ukraine and in the Middle East and the related humanitarian crises on the global economy, energy markets, geopolitical stability and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leasehold acreage is located primarily in the Delaware Basin, the broader consequences of the conflicts between Russia and Ukraine and in the Middle East, which may include further sanctions, embargoes, supply chain disruptions, regional instability and geopolitical shifts, may have adverse effects on global macroeconomic conditions, increase volatility in the price and demand for oil and natural gas, increase exposure to cyberattacks, cause disruptions in global supply chains, increase foreign currency fluctuations, cause constraints or disruption in the capital markets and limit sources of liquidity. We cannot predict the extent of either conflict’s effect on our business and results of operations as well as on the global economy and energy markets.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exploration, development, exploitation and midstream activities are capital intensive. Our cash, operating cash flows, contributions from our joint venture partners and potential future borrowings under our Credit Agreement, the San Mateo Credit Facility or otherwise may not be sufficient to fund all of our future capital expenditures or future acquisitions. The rate of our future growth is dependent, at least in part, on our ability to access capital at rates and on terms we determine to be acceptable.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operations and access to capital are subject to a number of variables,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estimated proved oil and natural gas reserves;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amount of oil and natural gas we produce;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prices at which we sell our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costs of developing and producing our oil and natural gas reserves;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costs of constructing, operating and maintaining our midstream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attract third-party customers for our midstream services;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acquire, locate and produce new reserves;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ability and willingness of banks or other financial institutions to lend to us;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access the equity and debt capital markets.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possible occurrence of future events, such as decreases in the prices of oil and natural gas, or extended periods of such decreased prices, terrorist attacks, wars or combat peace-keeping missions, the outbreak or resurgence of contagious or pandemic diseases, financial market disruptions, failures of banks, general economic recessions, oil and natural gas industry recessions, oil and natural gas company bankruptcies, accounting scandals, overstated reserves estimates by public oil companies and disruptions in the financial and capital markets, has caused financial institutions, credit rating agencies and the public to more closely review the financial statements, capital structures and spending and earnings of public companies, including energy companies. Such events have constrained the capital available to the energy industry in the past, and such events or similar events could adversely affect our access to funding for our operations in the future.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our revenues decrease as a result of lower oil and natural gas prices, operating difficulties, declines in reserves or the value thereof or for any other reason, we may have limited ability to obtain the capital necessary to sustain our operations at current levels, further develop and exploit our current properties or invest in certain opportunities. Alternatively, to develop our properties, pay for higher service costs, fund acquisitions, increase our rate of growth, or expand our midstream operations, we may decide to alter or increase our capitalization substantially through the issuance of debt or equity securities, the sale of production payments, the sale or joint venture of midstream assets, oil and natural gas producing assets or leasehold interests, the sale or joint venture of oil and natural gas mineral interests, the borrowing of funds or otherwise to meet any increase in capital spending. If we succeed in selling additional equity securities or securities convertible into equity securities to raise funds or make acquisitions, the ownership of our existing shareholders would be diluted, and new investors may demand rights, preferences or privileges senior to those of existing shareholders. If we raise additional capital through the issuance of new debt securities or additional indebtedness, we may become subject to additional covenants that restrict our business activities. If we are unable to raise additional capital from available sources at acceptable terms,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estimating accumulations of oil and natural gas is complex and inexact due to numerous inherent uncertainties. This process relies on interpretations of available geological, geophysical, petrophysical, engineering and production data. The extent, quality and reliability of this technical data and the associated interpretations can vary. This process also requires certain economic assumptions related to, among other things, oil and natural gas prices, drilling and operating expenses, capital expenditures, taxes and availability of funds. The accuracy of a reserves estimate is a function of:</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quality and quantity of available data;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interpretation of that data;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judgment of the persons preparing the estimate;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accuracy of the assumptions used.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accuracy of any estimates of proved oil and natural gas reserves generally increases with the length of production history. Due to the limited production history of certain of our properties, the estimates of future production associated with these properties may be subject to greater variance to actual production than would be the case with properties having a longer production history. As our wells produce over time and more data becomes available, the estimated proved reserves will be redetermined on at least an annual basis and may be adjusted to reflect new information based upon our actual production history, results of exploration and development, prevailing oil and natural gas prices and other factors.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Actual future production, oil and natural gas prices, revenues, taxes, development expenditures, operating expenses and quantities of recoverable oil and natural gas most likely will vary from our estimates. It is possible that future production declines in our wells may be greater than we have estimated. Any significant variance from our estimates could materially affect the quantities and present value of our reserves.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calculated present value of future net revenues from our proved oil and natural gas reserves will not necessarily be the same as the current market value of our estimated oil and natural gas reserves.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should not be assumed that the present value of future net cash flows included in this Annual Report is the current market value of our estimated proved oil and natural gas reserves. As required by SEC rules and regulations,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discounted future net cash flows from proved oil and natural gas reserves are based on current costs held constant over time without escalation and on commodity prices using an unweighted arithmetic average of first-day-of-the-month index prices, appropriately adjusted, for the 12-month period immediately preceding the date of the estimate. Actual future prices and costs may be materially higher or lower than the prices and costs used for these estimates and will be affected by factors such as: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prices we receive for oil and natural gas;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costs and timing of development and production expenditures;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amount and timing of actual production;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governmental regulations or taxation.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10% discount factor that is required to be used to calculate discounted future net revenues for reporting purposes under GAAP is not necessarily the most appropriate discount factor based on the cost of capital in effect from time to time and risks associated with our business and the oil and natural gas industry in general.</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Approximately 41% of our total proved reserves at December 31, 2024 consisted of undeveloped and developed non-producing reserves, and those reserves may not ultimately be developed or produced.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approximately 40% of our total proved reserves were undeveloped and approximately 1% of our total proved reserves were developed non-producing. Our undeveloped and/or developed non-producing reserves may never be developed or produced, or such reserves may not be developed or produced within the time periods we have projected or at the costs we have estimated. SEC rules require that, subject to limited exceptions, proved undeveloped reserves may only be booked if they are related to wells scheduled to be drilled within five years after the date of booking. Delays in the development of our reserves or increases in costs to drill and develop such reserves would reduce the present value of our estimated proved undeveloped reserves and future net revenues estimated for such reserves, resulting in some projects becoming uneconomical and reducing our total proved reserves. In addition, delays in the development of reserves or declines in the oil and/or natural gas prices used to estimate proved reserves in the future could cause us to have to reclassify a portion of our proved reserves as unproved reserves. Any reduction in our proved reserves caused by the reclassification of undeveloped or developed non-producing reserves could materially affect our business,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we replace our oil and natural gas reserves, our reserves and production will decline, which would adversely affect our business, financial condition,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rate of production from our oil and natural gas properties declines as our reserves are depleted. Our future oil and natural gas reserves and production and, therefore, our income and cash flow are highly dependent on our success in efficiently developing and exploiting our current reserves and economically finding or acquiring additional oil and natural gas producing properties. We are currently focusing on developing our assets in the Delaware Basin, an area with intense competition and industry activity. As a result of this activity, we may have difficulty growing our current production or acquiring new properties in this area and may experience such difficulty in other areas in the future. During periods of low oil and/or natural gas prices, existing reserves may no longer be economic, and it will become more difficult to raise the capital necessary to finance expansion activities. If we are unable to replace our current and future production, our reserves will decrease, and our business, financial condition, results of operations and cash flows would be adversely affected.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be required to write down the carrying value of our proved properties under accounting rules, and these write-downs could adversely affect our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is a risk that we will be required to write down the carrying value of our oil and natural gas properties when oil or natural gas prices are low or are declining, as occurred in 2020. In addition, non-cash write-downs may occur if we have: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downward adjustments to our estimated proved reserves;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increases in our estimates of development costs;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deterioration in our exploration and development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review the carrying value of our oil and natural gas properties under full-cost accounting rules. Under these rules, the net capitalized costs of oil and natural gas properties less related deferred income taxes may not exceed a cost center ceiling that is calculated by determining the present value, based on constant prices and costs projected forward from a single point in time, of estimated future after-tax net cash flows from proved reserves, discounted at 10%. If the net capitalized costs of our oil and natural gas properties less related deferred income taxes exceed the cost center ceiling, we must charge the amount of this excess to operations in the period in which the excess occurs. We may not reverse write-downs even if prices increase in subsequent periods. A write-down does not affect net cash flows from operating activities, liquidity or capital resources, but it does reduce the book value of our net tangible assets, retained earnings and shareholders’ equity, and could lower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Hedging transactions, or the lack thereof, may limit our potential gains and could result in financial losses.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manage our exposure to price risk, including price differential risk, we, from time to time, enter into hedging arrangements, using primarily “costless collars” or “swaps” with respect to a portion of our future production. Costless collars provide us with downside price protection through the purchase of a put option, which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the specified period, providing downside price protection. The goal of these and other hedges is to lock in a range of prices in the case of collars or a fixed price in the case of swaps so as to mitigate price volatility and increase the predictability of cash flows. These transactions limit our potential gains if oil, natural gas or NGL prices rise above the maximum price established by the call option or swap, as applicable, and may offer protection if prices fall below the minimum price established by the put option or swap, as applicable, only to the extent of the volumes then hedged.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hedging transactions may expose us to the risk of financial loss in certain other circumstances, including instances in which our production is less than expected or the counterparties to our put and call option or swap contracts fail to perform under the contracts. Disruptions in the financial markets could lead to sudden changes in a counterparty’s liquidity, which could impair its ability to perform under the terms of the contracts. We are unable to predict sudden changes in a counterparty’s creditworthiness or ability to perform under contracts with us. Even if we do accurately predict sudden changes, our ability to mitigate that risk may be limited depending upon market conditions.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there may be times when we have not hedged our production when, in retrospect, it would have been advisable to do so. Decisions as to whether, at what price and what production volumes to hedge are difficult and depend on market conditions and our forecast of future production and oil, natural gas and NGL prices, and we may not always employ the optimal hedging strategy. We may employ hedging strategies in the future that differ from those that we have used in the past, and neither the continued application of our current strategies nor our use of different hedging strategies may be successful. See Note 12 to the consolidated financial statements in this Annual Report for a summary of our open derivative financial instruments at December 31, 2024.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 change in the differential between the NYMEX or other benchmark prices of oil and natural gas and the wellhead price we receive for our production could adversely affect our business, financial condition,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prices we receive for our oil and natural gas production often reflect a discount to the relevant benchmark prices, such as the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these oil and natural gas basis differentials were volatile and widened at various times. See “Management’s Discussion and Analysis of Financial Condition and Results of Operations—General Outlook and Trends” for additional information regarding the differentials. These wider oil and natural gas basis differentials were largely attributable to industry concerns regarding the near-term sufficiency of pipeline takeaway capacity for oil, natural gas and NGL production in the Delaware Basin. If we do experience any interruptions with takeaway capacity or NGL fractionation, our oil and natural gas revenues, business, financial condition, results of operations and cash flows could be adversely affected.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completion of additional oil and natural gas pipeline capacity from West Texas to the Texas Gulf Coast and other end markets improved these price differentials in the latter part of 2024 and early in 2025, these price differentials for natural gas remain wide and could widen further in future periods. Should we experience future periods of negative pricing for natural gas as we have experienced historically, including in 2024, we may temporarily shut in certain high gas-oil ratio wells and take other actions to mitigate the impact on our realized natural gas prices and results.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 component of our growth may come through acquisitions, and our failure to identify, complete or integrate future acquisitions successfully could reduce our earnings and hamper our growth.</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identify properties for acquisition or to make acquisitions on terms that we consider economically acceptable. There is intense competition for acquisition opportunities in our industry. Competition for acquisitions may increase the cost of, or cause us to refrain from, completing acquisitions. The pursuit and completion of acquisitions may be dependent upon, among other things, our ability to obtain debt and equity financing and, in some cases, regulatory approvals. Our ability to grow through acquisitions will require us to continue to invest in operations and financial and management information systems and to attract, retain, motivate and effectively manage our employees. In addition, if we are not successful in identifying and acquiring properties, our earnings could be reduced and our growth could be restricted.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success of our acquisitions will depend, in part, on our ability to realize the anticipated benefits and cost savings from integrating the acquired assets and operations into our business, and there can be no assurance that we will be able to successfully integrate or otherwise realize the anticipated benefits of our acquisitions. The inability to manage the integration of acquisitions effectively could reduce our focus on subsequent acquisitions and current operations and could negatively impact our results of operations and growth potential. Members of our management team may be required to devote considerable amounts of time to the integration process, which will decrease the time they will have to manage our business. Difficulties in integrating our acquisitions into our company may result in us performing differently than expected, in operational challenges or in the delay or failure to realize anticipated expense-related efficiencies, and could have a material adverse effect on our business, financial condition, results of operations and cash flows. Potential difficulties that may be encountered in the integration process include,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inability to successfully integrate our acquisitions operationally, in a manner that permits us to achieve the full revenue, expected cash flows and cost savings anticipated from such acquisitions;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not realizing anticipated operating synergies;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potential unknown liabilities and unforeseen expenses, delays or regulatory conditions associated with such acquisitions.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our decision to acquire properties that are substantially different in operating or geologic characteristics or geographic locations from areas with which our staff is familiar may impact our productivity in such areas. Our financial condition, results of operations and cash flows may fluctuate significantly from period to period as a result of the completion of significant acquisitions during particular periods.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engage in bidding and negotiation to complete successful acquisitions. We may be required to alter or increase substantially our capitalization to finance these acquisitions through the use of cash on hand, the borrowing of funds, the issuance of debt or equity securities, the sale of production payments, the sale or joint venture of midstream assets or oil and natural gas producing assets or acreage or otherwise. Our Credit Agreement, the San Mateo Credit Facility and the indentures governing our outstanding senior notes include covenants limiting our ability to incur additional debt. If we were to proceed with one or more acquisitions involving the issuance of our common stock, our shareholders would suffer dilution of their interests.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purchase oil and natural gas properties or midstream assets with liabilities or risks that we did not know about or that we did not assess correctly, and, as a result, we could be subject to liabilities that could adversely affect our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Before acquiring oil and natural gas properties or midstream assets, we assess the potential reserves, future oil and natural gas prices, operating costs, potential environmental liabilities, condition of the assets, customer contracts and other factors relating to the properties or assets, as applicable. However, our review process is complex and involves many assumptions and estimates, and their accuracy is inherently uncertain. As a result, we may not discover all existing or potential problems associated with the properties or assets we buy. We may not become sufficiently familiar with the properties or assets to assess fully their deficiencies and capabilities. We may not perform inspections on every well, property or asset, and we may not be able to observe mechanical and environmental problems even when we conduct an inspection. Even when problems with a property or asset are identified, the seller may not be willing or financially able to give us contractual protection against any identified problems, and we may decide to assume environmental and other risks and liabilities in connection with properties or assets we acquire. If we acquire properties or assets with risks or liabilities we did not know about or that we did not assess correctly, our financial condition, results of operations and cash flows could be adversely affected as we settle claims and incur cleanup costs related to these liabilities.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incur losses or costs as a result of title deficiencies in the properties in which we invest.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an examination of the title history of a property that we have purchased reveals oil and natural gas leases or mineral interests have been purchased in error from a person who is not the owner of such interests or if the property has other title deficiencies, our interest would likely be worth less than what we paid or may be worthless. In such an instance, all or part of the amount paid for such oil and natural gas lease or mineral interest, as well as all or part of any royalties paid pursuant to the terms of the lease prior to the discovery of the title defect, would be lost.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It is not our practice in all acquisitions of oil and natural gas leases or mineral interests, or undivided interests in such interests, to undergo the expense of retaining lawyers to examine the title to the interest. Rather, in certain acquisitions we rely upon the judgment of oil and natural gas brokers and landmen who perform the field work by examining records in the appropriate governmental office before attempting to acquire a lease or mineral interest.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drilling of an oil and natural gas well, however, it is standard industry practice for the operator of the well to obtain a preliminary title review of the spacing unit within which the proposed well is to be drilled to ensure there are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obvious deficiencies in title to the well. Frequently, as a result of such examinations, certain curative work must be done to correct deficiencies in the marketability of the title, and such title review and curative work entails expense, which may be significant and difficult to accurately predict. A failure to cure any title defects may delay or prevent us from utilizing the associated leasehold right or mineral interest, which may adversely impact our ability to increase production and reserves. In the future, we may suffer a monetary loss from title defects or title failure. Additionally, unproved and unevaluated acreage has greater risk of title defects than developed acreage. If there are any title defects or defects in assignment of leasehold rights or mineral interests in properties in which we hold an interest, we will suffer a financial loss that could adversely affect our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ability to complete dispositions of assets, or interests in assets, may be subject to factors beyond our control, and in certain cases we may be required to retain liabilities for certain matters.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sell a portion of an interest in a strategic asset for the purpose of assisting or accelerating the asset’s development. In addition, we regularly review our property base for the purpose of identifying nonstrategic assets, the disposition of which would increase capital resources available for other activities and create organizational and operational efficiencies. Various factors could materially affect our ability to dispose of such interests or nonstrategic assets or complete announced dispositions, including the receipt of approvals of governmental agencies or third parties and the identification of purchasers willing to acquire the interests or purchase the nonstrategic assets on terms and at prices acceptable to us.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Sellers typically retain certain liabilities or indemnify buyers for certain pre-closing matters, such as matters of litigation, environmental contingencies, royalty obligations and income taxes. The magnitude of any such retained liability or 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divestiture, we may remain secondarily liable for the obligations guaranteed or supported to the extent that the buyer of the assets fails to perform these obligations.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Liquidity</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may not be able to generate sufficient cash to fund our capital expenditures, service all of our indebtedness and pay dividends to our shareholders, and we may be forced to take other actions to satisfy our obligations under applicable debt instruments, which may not be successful.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or to refinance our indebtedness obligations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cash flows and capital resources are insufficient to fund debt service obligations, we may be forced to reduce or delay investments and capital expenditures, sell assets, cease the payment of any dividends to our shareholders, seek additional capital or restructure or refinance indebtedness. Our ability to restructure or refinance indebtedness will depend on the condition of the capital markets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 In addition, any failure to make payments of interest and principal on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debt service and other obligations. Our Credit Agreement, the San Mateo Credit Facility and the indentures governing our outstanding senior notes currently restrict our ability to dispose of assets and our use of the proceeds from such disposition. We may not be able to consummate those dispositions, and the proceeds of any such disposition may not be adequate to meet any debt service obligations then due. These alternative measures may not be successful and may not permit us to meet scheduled debt service obligations, which could have a material adverse effect on our financial condition and results of operations.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incur additional indebtedness, which could reduce our financial flexibility, increase interest expense and adversely impact our operations and our unit costs.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18, 2025, the maximum facility amount under the Credit Agreement was $3.50 billion, the borrowing base was $3.25 billion and our elected borrowing commitment was $2.25 billion. Borrowings under the Credit Agreement are limited to the lowest of the borrowing base, the maximum facility amount and the elected borrowing commitment (subject to compliance with the covenants noted below). At February 18, 2025, we had available borrowing capacity of approximately $1.55 billion under our Credit Agreement (after giving effect to outstanding letters of credit and subject to our compliance with the covenants noted below).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18, 2025, the facility amount under the San Mateo Credit Facility was $800.0 million, and San Mateo had available borrowing capacity of approximately $244.0 million (after giving effect to outstanding letters of credit and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Mateo’s compliance with the covenants noted below). The San Mateo Credit Facility includes an accordion feature, which provides for potential increases in the commitments of the lenders to up to $1.05 billion.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subject to the restrictions in the indentures governing our outstanding senior notes and in other instruments governing our other outstanding indebtedness (including our Credit Agreement and the San Mateo Credit Facility), we may incur significant amounts of additional indebtedness, including under our Credit Agreement and the San Mateo Credit Facility, through the issuance of additional notes or otherwise, in order to develop our properties, fund acquisitions or invest in certain opportunities. Interest rates on such future indebtedness may be higher than current levels, causing our financing costs to increase accordingly.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high level of indebtedness could affect our operations in several ways,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requiring a significant portion of our cash flows to be used for servicing our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increasing our vulnerability to general adverse economic and industry conditions;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placing us at a competitive disadvantage compared to our competitors that are less leveraged and, therefore, may be able to take advantage of opportunities that our level of indebtedness may prevent us from pursuing;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restricting our ability to obtain additional financing in the future for working capital, capital expenditures, acquisitions and general corporate or other purposes;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increasing the risk that we may default on our debt obligations.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borrowing base under our Credit Agreement is subject to periodic redetermination.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 base under the Credit Agreement is determined semi-annually as of May 1 and November 1 by the lenders based primarily on the estimated value of our proved oil and natural gas reserves at December 31 and June 30 of each year, respectively. We and the lenders may each request an unscheduled redetermination of the borrowing base once between scheduled redetermination dates. In addition, our lenders have the flexibility to reduce our borrowing base due to a variety of factors, some of which may be beyond our control. Since the borrowing base is subject to periodic redeterminations, if a redetermination resulted in a borrowing base that was less than our borrowings under the Credit Agreement, we could be required to provide additional collateral satisfactory in nature and value to the lenders to increase the borrowing base to an amount sufficient to cover such excess or repay the deficit in equal installments over a period of six months. If we are required to do so, we may not have sufficient funds to fully make such repayments, which could result in a default under the terms of the Credit Agreement and an acceleration of the loans thereunder, requiring us to negotiate renewals, arrange new financing or sell significant assets, all of which could have a material adverse effect on our business and financial results.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subject to interest rate risk under our Credit Agreement and the San Mateo Credit Facility.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earnings are exposed to interest rate risk associated with borrowings under our Credit Agreement and the San Mateo Credit Facility. Borrowings under the Credit Agreement may be in the form of a base rate loan or a loan based on the secured overnight financing rate administered by the Federal Reserve Bank of New York (“SOFR”). If we borrow funds as a base rate loan, such borrowings will bear interest at a rate equal to the greatest of (i) the prime rate for such day, (ii) the Overnight Bank Funding Rate (as defined in the Credit Agreement) on such day, plus 0.50%, and (iii) the Daily Simple SOFR (as defined in the Credit Agreement) on such day, plus 1.00%, plus, in each case, an amount ranging from 0.75% to 1.75% depending on the level of borrowings under the Credit Agreement. If we borrow funds as a SOFR loan, such borrowings will bear interest at a rate equal to (x) the Adjusted Term SOFR Rate (as defined in the Credit Agreement) for the chosen interest period plus (y) an amount ranging from 1.75% to 2.75% depending on the level of borrowings under the Credit Agreement. If we have outstanding borrowings under our Credit Agreement and interest rates increase, so will our interest costs, which may have a material adverse effect on our results of operations and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Similarly, borrowings under the San Mateo Credit Facility may be in the form of a base rate loan or a SOFR loan. If San Mateo borrows funds as a base rate loan, such borrowings will bear interest at a rate equal to the greatest of (i) the prime rate for such day, (ii) the Federal Funds Effective Rate (as defined in the San Mateo Credit Facility) on such day, plus 0.50% and (iii) the Adjusted Term SOFR Rate (as defined in the San Mateo Credit Facility) for a one month tenor, plus 1.00% plus, in each case, an amount ranging from 1.00% to 2.00% depending on San Mateo’s Consolidated Total Leverage Ratio (as defined in the San Mateo Credit Facility). If San Mateo borrows funds as a SOFR loan, such borrowings will bear interest at a rate equal to (x) the Adjusted Term SOFR Rate for the chosen interest period plus (y) an amount ranging from 2.00% to 3.00%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rates rose significantly during 2022 and remained elevated throughout 2023 and 2024 as the Federal Reserve sought to control inflation. Interest rates may remain high during 2025. Our Credit Agreement and the San Mateo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have floating rates tied to SOFR or other interest rate benchmarks that generally increase or decrease alongside changes in the federal funds rates. As a result, interest expense on our existing floating rate debt rose during 2022 and 2023, remained high during 2024 and may remain high during 2025. In addition, interest rates on future credit facilities and debt offerings could be higher than current levels, causing our financing costs to increase accordingly.</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terms of the agreements governing our outstanding indebtedness may restrict our current and future operations, particularly our ability to respond to changes in business or to take certain actions.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Credit Agreement, the San Mateo Credit Facility and the indentures governing our senior notes contain, and any future indebtedness we or San Mateo incur will likely contain, a number of restrictive covenants that impose significant operating and financial restrictions, including restrictions on our and San Mateo’s ability to engage in acts that may be in our best long-term interest. One or more of these agreements include covenants that restrict our or San Mateo’s ability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incur or guarantee additional debt or issue certain types of preferred stock;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declare or pay dividends or distributions or redeem, repurchase or retire our capital stock or subordinated indebtedness;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transfer or sell assets;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make certain investments;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create certain liens;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enter into agreements that restrict dividends or other payments from our Restricted Subsidiaries (as defined in the indentures governing our outstanding senior notes) to us;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consolidate, merge or transfer all or substantially all of our assets;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engage in transactions with affiliates;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create unrestricted subsidiaries.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of any of these covenants could result in an event of default under our Credit Agreement, the San Mateo Credit Facility and the indentures governing our outstanding senior notes. For example, our Credit Agreement requires us to comply with certain financial covenants, including maintaining a specified debt to EBITDA ratio and current ratio. Low oil and natural gas prices or a decline in our oil or natural gas production may adversely impact our EBITDA, cash flows and debt levels, and therefore our ability to comply with these covenants.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Similarly, the San Mateo Credit Facility requires San Mateo to comply with certain financial covenants, including maintaining a specified debt to EBITDA ratio and interest coverage ratio. Lower revenues as a result of less volumes than anticipated, or otherwise, or an increase in interest rates may adversely impact San Mateo’s EBITDA and interest expense, and therefore San Mateo’s ability to comply with these covenants. For a summary of these financial restrictions and other covenants in our Credit Agreement, the San Mateo Credit Facility and the indentures governing our senior notes, see Note 7 to the consolidated financial statements in this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Upon the occurrence of an event of default, all amounts outstanding under the applicable debt agreements could be declared to be immediately due and payable and all applicable commitments to extend further credit could be terminated. If indebtedness under our Credit Agreement, the San Mateo Credit Facility or the indentures governing our outstanding senior notes is accelerated, there can be no assurance that we will have sufficient assets to repay such indebtedness. The operating and financial restrictions and covenants in these debt agreements and any future financing agreements could materially adversely affect our ability to finance future operations or capital needs or to engage in other business activities.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credit rating may be downgraded, which could reduce our financial flexibility, increase interest expense and adversely impact our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2020, our corporate credit ratings from S&amp;P Global Ratings and Moody’s Investors Service were downgraded in significant part due to the sudden decline in oil prices in early 2020. These corporate credit ratings were subsequently upgraded, and as of February 18, 2025, our corporate credit ratings from S&amp;P Global Ratings, Moody’s Investors Service and Fitch Ratings remained “BB-,” “Ba3” and “BB-,” respectively. We cannot guarantee you that our credit ratings will remain in effect for any given period of time or that a rating will not be lowered or withdrawn entirely by a rating agency if, in its judgment, circumstances so warrant. Any future downgrade could increase the cost of any indebtedness incurred in the future.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Any increase in our financing costs resulting from a credit rating downgrade could adversely affect our ability to obtain additional financing in the future for working capital, capital expenditures, additional letters of credit or other credit support we may be required to provide to counterparties, acquisitions and general corporate or other purposes. If a credit rating downgrade were to occur at a time when we were experiencing significant working capital requirements or otherwise lacked liquidity, our results of operations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payment of dividends will be at the discretion of our Board of Directors and subject to numerous factors, and we do not presently intend to repurchase any shares of our common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each of the first, second and third quarters of 2024, our Board declared quarterly cash dividends of $0.20 per share of common stock. In October 2024, the Board amended our dividend policy to increase the quarterly dividend to $0.25 per share of common stock and also declared a quarterly cash dividend of $0.25 per share of common stock. In February 2025, the Board amended our dividend policy to increase the quarterly dividend to $0.3125 per share of common stock and also declared a quarterly cash dividend of $0.3125 per share of common stock payable on March 14, 2025 to shareholders of record as of February 28, 2025. We intend to continue to pay a quarterly dividend in the future pursuant to the dividend policy adopted by our Board. However, the payment and amount of future dividend payments, if any, are subject to declaration by our Board. Such payments will depend on, among other things, our available cash, earnings, financial condition, capital requirements, level of indebtedness, stock price, statutory and contractual restrictions applicable to the payment of dividends and other considerations that our Board deems relevant. Cash dividend payments in the future may only be made out of legally available funds, and, if we experience substantial losses, such funds may not be available.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presently intend to repurchase any shares of our common stock. Certain covenants in our Credit Agreement and the indentures governing our outstanding senior notes may limit our ability to pay dividends or repurchase shares of our common stock. Accordingly, you may have to sell some or all of your common stock in order to generate cash flow from your investment, and there is no guarantee that the price of our common stock will exceed the price you paid. We are under no obligation to make dividend payments on our common stock and may cease such payments at any time in the future. Any elimination of or downward revision in our dividend payout could have a material adverse effect on our stock price.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Operations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Drilling for and producing oil, natural gas and NGLs is highly speculative and involves a high degree of operational and financial risk, with many uncertainties that could adversely affect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Exploring for and developing hydrocarbon reserves involves a high degree of operational and financial risk, which precludes us from definitively predicting the costs involved and time required to reach certain objectives. Our drilling locations are in various stages of evaluation, ranging from locations that are ready to drill to locations that will require substantial additional interpretation and approvals before they can be drilled. The budgeted costs of planning, drilling, completing and operating wells may be exceeded and such costs can increase significantly due to various complications that may arise during drilling, completion and operation. Before a well is spud, we may incur significant geological, geophysical and land costs, including seismic acquisition costs, which are incurred whether or not a well eventually produces commercial quantities of hydrocarbons, or is drilled at all. Exploration wells could bear a much greater risk of loss than development wells. The analogies we draw from available data from other wells, more fully explored locations or producing fields may not be applicable to our drilling locations. If our actual drilling and development costs are significantly more than our estimated costs, we may not be able to continue our operations as proposed and could be forced to modify our drilling plans accordingly.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we decide to drill a certain location, there is a risk that no commercially productive oil or natural gas reservoirs will be found or produced. We may drill or participate in new wells that are not productive. We may drill or participate in wells that are productive, but that do not produce sufficient net revenues to return a profit after drilling, operating and other costs. There is no way to affirmatively determine in advance of drilling and testing whether any particular location will yield oil or natural gas in sufficient quantities to recover exploration, drilling and completion costs or to be economically viable. Even if sufficient amounts of oil or natural gas exist, we may damage the potentially productive hydrocarbon-bearing formation or experience mechanical difficulties while drilling or completing the well, resulting in a reduction in production and reserves from, or abandonment of, the well. The productivity and profitability of a well may be negatively affected by a number of additional factors,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and industry conditions, including the prices received for oil and natural gas;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shortages of, or delays in, obtaining equipment, including hydraulic fracturing equipment, and qualified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limited access to electrical power sources or other infrastructure used in our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potential drainage of oil and natural gas from our properties by operations on adjacent properties;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existence or magnitude of faults or unanticipated geological features;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loss of or damage to oilfield development and service tools;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accidents, equipment failures or mechanical problems;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title defects of the underlying properties;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increases in severance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adverse weather conditions that delay drilling activities or cause producing wells to be shut 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inflation in exploration, drilling, completion and production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domestic and foreign governmental regulations;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proximity to and capacity of gathering, processing, transportation and disposal facilities.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exploration and production operations involve using some of the latest drilling and completion techniques developed by us, other operators and service providers. Risks that we face while drilling and completing horizontal wells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landing our wellbore in the desired drilling zone;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staying in the desired drilling zone while drilling horizontally through the 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running our casing the entire length of the wellbore;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fracture stimulating the planned number of stages;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drilling out the plugs between stages following hydraulic fracturing operations;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being able to run tools and other equipment consistently through the horizontal wellbore.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Each of these risks is magnified in wells with longer laterals. In 2024, the average completed lateral length for operated wells turned to sales was approximately 9,300 feet. If we do not drill productive and profitable wells in the future, our business, financial condition, results of operations, cash flows and reserves could be materially and adversely affected.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operations are subject to operational hazards and risks, which could result in significant damages and the loss of revenue.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are numerous operational hazards inherent in oil and natural gas exploration, development, production, gathering, transportation and processing,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natural disasters;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adverse weather conditions, including hurricanes and tropical storms in the Gulf Coast region and severe cold weather in the Delaware Basin;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domestic or global health concerns, including the outbreak or resurgence of contagious or pandemic diseases;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loss of drilling fluid circulation;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blowouts where oil or natural gas flows uncontrolled at a wellhead;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cratering or collapse of the 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pipe or cement leaks, failures or casing collapses;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damage to pipelines, processing plants and disposal wells and associated facilities;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fires or explosions;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releases of hazardous substances, toxic gases such as hydrogen sulfide or other waste materials;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pressures or irregularities in formations;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equipment failures or accidents.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is an inherent risk of incurring significant environmental costs and liabilities in the performance of our operations and services, some of which may be material, due to our handling of petroleum hydrocarbons and wastes, our emissions to air and water, the underground injection or other disposal of wastes, the use of hydraulic fracturing fluids and historical industry operations and waste disposal practices. Any of these or other similar occurrences could result in the disruption or impairment of our operations, substantial repair costs, personal injury or loss of human life, significant damage to property, environmental pollution and substantial revenue losses. The location of our wells, gathering systems, pipelines and other facilities near populated areas, including residential areas, commercial business centers and industrial sites, could significantly increase the level of damages resulting from these risks.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our operations may be subject to curtailment due to seismic events. In 2021, the NMOCD implemented new rules establishing protocols in response to seismic events in New Mexico. The protocols require enhanced reporting and varying levels of curtailment of injection rates for salt water disposal wells, including potentially shutting in wells, in the area of seismic events based on the magnitude, timing and proximity to the seismic event. If a seismic event were to occur in the area of our operations, the salt water disposal wells that we deliver to or operate may be shut in or curtailed, which may result in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or the curtailment of our oil and natural gas production. In addition, if such a seismic event occurred in the area of the Company’s or San Mateo’s operations, the Company or San Mateo may be required to shut in or curtail the volumes disposed in its salt water disposal wells. For example, the salt water disposal well we acquired in the Advance Acquisition is restricted due to these protocols. Any such further events could adversely impact our and San Mateo’s revenues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are also significant risks associated with the operation of cryogenic natural gas processing plants such as the Marlan Processing Plant and the Black River Processing Plant. Natural gas and NGLs are volatile and explosive and may include carcinogens. Damage to or improper operation of the Black River Processing Plant or the Marlan Processing Plant could result in an explosion or the discharge of toxic gases, which could result in significant damage claims, interrupt a revenue source and prevent us from processing some or all of the natural gas produced from our wells or third-party wells located in nearby asset areas. Furthermore, if we were unable to process such natural gas, we may be forced to flare natural gas from, or shut in, the affected wells for an indefinite period of time.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San Mateo’s gathering, processing and transportation assets connect to other pipelines or facilities owned and operated by unaffiliated third parties. The continuing operation of, and our continuing access to, such third-party pipelines, processing facilities and other midstream facilities is not within our control. These pipelines, plants, salt water disposal wells and other midstream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 In addition, if San Mateo’s costs to access and transport on these third-party pipelines significantly increase, its profitability could be reduced. If any such increase in costs occurs, if any of these pipelines or other midstream facilities become unable to receive, transport, process or dispose of product, or if the volumes San Mateo gathers, processes or transports do not meet the product quality requirements of such pipelines or facilities, our and San Mateo’s revenues and cash flows could be adversely affected.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Insurance against all operational risks is not available to us.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Insurance against all operational risks is not available to us. We are not fully insured against all risks, including development and completion risks that are generally not recoverable from third parties or insurance. Pollution and environmental risks generally are not fully insurable. In addition, we may elect not to obtain insurance if we believe that the cost of available insurance is excessive relative to the perceived risks presented. Losses could, therefore, occur for uninsurable or uninsured risks or in amounts in excess of existing insurance coverage. Moreover, insurance may not be available in the future at commercially reasonable prices or on commercially reasonable terms. Changes in the insurance markets due to various factors may make it more difficult for us to obtain certain types of coverage in the future. As a result, we may not be able to obtain the levels or types of insurance we would have otherwise obtained prior to these market changes, and the insurance coverage we do obtain may not cover certain hazards or all potential losses that are currently covered, and may be subject to large deductibles. Losses and liabilities from uninsured and underinsured events and delays in the payment of insurance proceeds could have a material adverse effect on our business,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Because our reserves and production are concentrated in a few core areas, problems with production in and markets for a particular area could have a material impact on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Almost all of our current oil and natural gas production and our proved reserves are attributable to our properties in the Delaware Basin in Southeast New Mexico and West Texas, the Eagle Ford shale in South Texas and the Haynesville shale in Northwest Louisiana. In recent years, the Delaware Basin has become an area of increasing focus for us, and approximately 97% of our total oil and natural gas production for 2024 was attributable to our properties in the Delaware Basin. Since 2016, the vast majority of our capital expenditures have been allocated to the Delaware Basin. We expect that substantially all of our capital expenditures in 2025 will continue to be in the Delaware Basin, with the exception of amounts allocated to limited operations and certain non-operated well opportunities in our South Texas and Haynesville shale positions.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industry focus on the Delaware Basin may adversely impact our ability to gather, transport and process our oil and natural gas production due to significant competition for access to gathering systems, pipelines, processing and refinery facilities and oil, condensate and produced water trucking operations. Due to the concentration of our operations, we may be disproportionately exposed to the impact of delays or interruptions of production from our wells in our operating areas caused by transportation capacity constraints or interruptions, curtailment of production, availability of equipment, facilities, personnel or services, significant governmental regulation, natural disasters, adverse weather conditions or plant closures for scheduled or unscheduled maintenance. Due to our concentration of properties in the Delaware Basin, we are also particularly exposed to any differential between benchmark prices of oil and natural gas and the wellhead price we receive for our production. See “—Risks Related to our Financial Condition—A change in the differential between the NYMEX or other benchmark prices of oil and natural gas and the wellhead price we receive for our production could adversely affect our business, financial condition,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may also be adversely affected by weather conditions and events such as hurricanes, tropical storms, floods and inclement winter weather, resulting in delays in drilling and completions, damage to facilities and equipment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inability to receive equipment or access personnel and products at affected job sites in a timely manner. For example, in recent years, the Delaware Basin has experienced periods of severe winter weather that impacted many operators. In particular, weather conditions and freezing temperatures have resulted in shut-ins of producing wells, power outages, curtailments in trucking, delays in drilling and completion of wells and other production constraints. Certain areas of the Delaware Basin have also experienced periods of severe flooding that impacted our operations as well as many other operators in the area, resulting in delays in drilling, completing and initiating production on certain wells. As we continue to focus our operations on the Delaware Basin, we may increasingly face these and other challenges posed by severe weather.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For example, our operations in the Delaware Basin are subject to particular restrictions on drilling activities based on environmental sensitivities and requirements and potash mining operations. Such delays, interruptions or restrictions could have a material adverse effect on our business,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There is no guarantee that we will be successful in optimizing our spacing, drilling and completions techniques in order to maximize our rate of return, cash flow from operations and shareholder value.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we accumulate and process geological and production data, we attempt to create a development plan, including well spacing and completion design, that maximizes our rate of return, cash flow from operations and shareholder value. Due to many factors, however, including some beyond our control, there is no guarantee that we will be able to find the optimal plan. Future drilling and completion efforts may impact production from existing wells, and parent-child well effects may impact future well productivity as a result of timing, spacing proximity or other factors. If we are unable to design and implement an effective spacing, drilling and completions strategy, it may have a material adverse effect on our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Certain of our properties are in areas that may have been partially depleted or drained by offset wells, and certain of our wells may be adversely affected by actions other operators may take when drilling, completing or operating wells that they own.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properties are in areas that may have already been partially depleted or drained by earlier offset drilling. The owners of leasehold interests adjoining any of our properties could take actions, such as drilling and completing additional wells, which could adversely affect our operations. When a new well is completed and produced, the pressure differential in the vicinity of the well causes the migration of reservoir fluids toward the new wellbore (and potentially away from existing wellbores). As a result, the drilling and production of these potential locations could cause a depletion of our proved reserves and may inhibit our ability to further develop our proved reserves. In addition, completion operations and other activities conducted on adjacent or nearby wells could cause production from our wells to be shut in for indefinite periods of time, could result in increased lease operating expenses and could adversely affect the production and reserves from our wells after they re-commence production. We have no control over the operations or activities of offsetting operators.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Multi-well pad drilling may result in volatility in our operating results.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utilize multi-well pad drilling where practical. Because wells drilled on a pad are not produced until other wells being drilled on the pad at the same time are drilled and completed, multi-well pad drilling delays the commencement of production from wells drilled on a given pad, which may cause volatility in our operating results. In addition, problems affecting one well could adversely affect production from other wells on the same pad. As a result, multi-well pad drilling can cause delays in the scheduled commencement of production or interruptions in ongoing production. Additionally, infrastructure expansion, including more complex facilities and takeaway capacity, could become challenging in project development areas. Managing capital expenditures for infrastructure expansion could cause economic constraints when considering design capacity.</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business, financial condition,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Shortages or the high cost of drilling rigs, completion equipment and services, drill pipe, casing and other tubular goods, personnel or supplies, including sand and other proppants, could delay or adversely affect our operations. When drilling activity in the United States or a particular operating area increases, associated costs typically also increase, including those costs related to drilling rigs, equipment, supplies, drill pipe, casing and other tubular goods, including sand and other proppants, and personnel and the services and products of other industry vendors. These costs may increase, and necessary equipment, supplies and services may become unavailable to us at economical prices. Should this increase in costs occur, we may delay drilling or completion activities, which may limit our ability to establish and replace reserves, or we may incur these higher costs, which may negatively affect our business, financial condition, results of operations and cash flows. In addition, should oil and natural gas prices decline, third-party service providers may face financial difficulties and be unable to provide services. A reduction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service providers available to us may negatively impact our ability to retain qualified service providers, or obtain such services at costs acceptable to us. Further, supply chain disruptions, tariffs and trade restrictions and other inflationary pressures being experienced throughout the United States and global economy may limit our ability to procure the necessary products and services for drilling and completing wells in a timely and cost effective manner, which could result in reduced margins and delays in our drilling and completion activities which, in turn, could adversely affect our business, financial condition,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demand for hydraulic fracturing services from time to time exceeds the availability of fracturing equipment and crews across the industry and in certain operating areas in particular. The accelerated wear and tear of hydraulic fracturing equipment due to its deployment in unconventional oil and natural gas fields characterized by longer lateral lengths and larger numbers of fracturing stages could further amplify such an equipment and crew shortage. If demand for fracturing services were to increase or the supply of fracturing equipment and crews were to decrease, higher costs or delays in procuring these services could result, which could adversely affect our business, financial condition, results of operations and cash flows.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a substantial amount of water in our drilling and hydraulic fracturing operations. Our inability to obtain sufficient amounts of water at reasonable prices, or treat and dispose of water after drilling and hydraulic fracturing, could adversely impact our operations. In recent years, Southeast New Mexico and West Texas have experienced severe drought. As a result, we may experience difficulty in securing the necessary volumes of water for our operations. Moreover, the imposition of new environmental initiatives and regulations could include restrictions on our ability to conduct certain operations such as (i) hydraulic fracturing, including the use of fresh water in such operations, or (ii) disposal of waste, including the disposal of produced water, drilling fluids and other wastes associated with the exploration, development and production of oil and natural gas. Furthermore, future environmental regulations and permitting requirements governing the withdrawal, storage and use of surface water or groundwater necessary for hydraulic fracturing of wells could increase operating costs and cause delays, interruptions or termination of operations, the extent of which cannot be predicted, and all of which could have a material adverse effect on our business, financial condition, results of operations and cash flows.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Construction of midstream projects subjects us to risks of construction delays, cost over-runs, limitations on our growth and negative effects on our financial condition, results of operations, cash flows and liquidity.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time-to-time, we, through San Mateo or otherwise, plan and construct midstream projects, some of which may take a number of months before commercial operation, such as construction of oil, natural gas and produced water gathering or transportation systems, construction of natural gas processing plants, drilling of commercial salt water disposal wells and construction of related facilities. These projects are complex and subject to a number of factors beyond our control, including delays from third-party landowners, the permitting process, government and regulatory approval, compliance with laws, unavailability of materials, labor disruptions, environmental hazards, financing, accidents, weather and other factors. Any delay in the completion of these projects could have a material adverse effect on our business, results of operations, liquidity, financial condition and the ability of San Mateo to attract third-party customers. The construction of produced water disposal facilities, pipelines and gathering and processing facilities requires the expenditure of significant amounts of capital, which may exceed our estimated costs. Estimating the timing and expenditures related to these development projects is very complex and subject to variables that can significantly increase expected costs. Should the actual costs of these projects exceed our estimates, our liquidity and financial condition could be adversely affected. This level of development activity requires significant effort from our management and technical personnel and places additional requirements on our financial resources and internal financial controls. We may not have the ability to attract and/or retain the necessary number of personnel with the skills required to bring complicated projects to successful conclusions.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identified drilling locations are scheduled over several years, making them susceptible to uncertainties that could materially alter the occurrence or timing of their drilling.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team has identified and scheduled drilling locations in our operating areas over a multi-year period. Our ability to drill and develop these locations depends on a number of factors, including oil and natural gas prices, assessment of risks, costs, drilling results, reservoir heterogeneities, the availability of equipment and capital, approval by regulators, lease terms, seasonal conditions and the actions of other operators. Additionally, as lateral lengths greater than one mile have become increasingly common in the Delaware Basin, we may have to cooperate with other operators to ensure that our acreage is included in drilling units or otherwise developed. The final determination on whether to drill any of the identified locations will be dependent upon the factors described elsewhere in this Annual Report as well as, to some degree, the results of our drilling activities with respect to our established drilling locations. Because of these uncertainties, we do not know if the drilling locations we have identified will be drilled within our expected timeframe, or at all, or if we will be able to economically produce hydrocarbons from these or any other potential drilling locations. Our actual drilling activities may be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different from our current expectations, which could adversely affect our business,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of our unproved and unevaluated acreage is subject to leases that will expire over the next several years unless production is established on units containing the acreage.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leasehold interests in approximately 39,400 net acres across all of our areas of interest that are not currently held by production and are subject to leases with primary or renewed terms that expire prior to 2030. Unless we establish and maintain production, generally in paying quantities, on units containing these leases during their terms or we renew such leases, these leases will expire. The cost to renew such leases may increase significantly, and we may not be able to renew such leases on commercially reasonable terms or at all. In addition, on certain portions of our acreage, third-party leases, or top leases, may have been taken and could become immediately effective if our leases expire. If our leases expire or we are unable to renew such leases, we will lose our right to develop the related properties. As such, our actual drilling activities may materially differ from our current expectations, which could adversely affect our business,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2-D and 3-D seismic data and other advanced technologies we use cannot eliminate exploration risk, which could limit our ability to replace and grow our reserves and materially and adversely affect our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employ visualization and 2-D and 3-D seismic images to assist us in exploration and development activities where applicable. These techniques only assist geoscientists in identifying subsurface structures and hydrocarbon indicators and do not allow the interpreter to know conclusively if hydrocarbons are present or economically producible. We could incur losses by drilling unproductive wells based on these technologies. Furthermore, the acquisition of seismic and geological data can be expensive and require the incurrence of various risks and liabilities, and we may not be able to license or obtain such data at an acceptable cost. Poor results from our exploration and development activities could limit our ability to replace and grow reserves and adversely affect our business, financial condition, results of operations and cash flows.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Third Parties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difficulties encountered by our oil, natural gas and NGL purchasers, third-party operators, third-party customers or other third parties could decrease our cash flows from operations and adversely affect the exploration and development of our prospects and assets.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derive most of our revenues from the sale of our oil, natural gas and NGLs to unaffiliated third-party purchasers, independent marketing companies and midstream companies. We are also subject to credit risk due to the concentration of our oil and natural gas receivables with several significant customers. For each of the years ended December 31, 2024, 2023 and 2022, we had three significant purchasers that collectively accounted for approximately 79%, 76% and 70%, respectively, of our total oil, natural gas and NGL revenues. We cannot ensure that we will continue to have ready access to suitable markets for our future production. If we lost one or more of these customers and were unable to sell our production to other customers on terms we consider acceptable, it could materially and adversely affect our business, financial condition, results of operations and cash flows. Furthermore, we cannot predict the extent to which counterparties’ businesses would be impacted if oil and natural gas prices decline, such prices remain depressed for a sustained period of time or other conditions in our industry were to deteriorate. Any delays in payments from our purchasers caused by financial problems encountered by them could have an immediate negative effect on our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credit risk related to purchasers of our production, we also face credit risk through receivables from joint interest owners on properties we operate and from San Mateo’s customers. Joint interest receivables arise from billing entities that own partial interests in the wells we operate. These entities participate in our wells primarily based on their ownership in leases on which we drill. We are generally unable to control which co-owners participate in our wells. Liquidity and cash flow problems encountered by our joint interest owners or the third-party operators of our non-operated properties may prevent or delay the drilling of a well or the development of a project. Our joint interest owners may be unwilling or unable to pay their share of the costs of projects as they become due. In the case of a farmout party, we would have to find a new farmout party or obtain alternative funding in order to complete the exploration and development of the prospects subject to a farmout agreement. In the case of a working interest owner, we could be required to pay the working interest owner’s share of the project costs. If we are not able to obtain the capital necessary to fund either of these contingencies or find a new farmout party, our results of operations and cash flows could be adversely affected.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marketability of our production is dependent upon oil, natural gas and NGL gathering, processing and transportation facilities, and the unavailability of satisfactory oil, natural gas and NGL gathering, processing and transportation arrangements could have a material adverse effect on our revenue.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unavailability of satisfactory oil, natural gas and NGL gathering, processing and transportation arrangements may hinder our access to oil, natural gas and NGL markets or delay production from our wells. The availability of a ready market for our oil, natural gas and NGL production depends on a number of factors, including the demand for, and supply of, oil, natural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and NGLs and the proximity of reserves to pipelines and terminal facilities. Our ability to market our production depends in substantial part on the availability and capacity of gathering systems, pipelines, processing facilities and oil and condensate trucking operations. Such systems and operations include those of San Mateo, as well as other systems and operations owned and operated by third parties. The continuing operation of, and our continuing access to, third-party systems and operations is outside our control. Regardless of who operates the midstream systems or operations upon which we rely, our failure to obtain these services on acceptable terms could materially harm our business. In addition, certain of these gathering systems, pipelines and processing facilities, particularly in the Delaware Basin, may be outdated or in need of repair and subject to higher rates of line loss, failure and breakdown. Furthermore, such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required to shut in wells for lack of a market or because of inadequate or unavailable pipelines, gathering systems, treating, compression or processing facilities or trucking capacity. If that were to occur, we would be unable to realize revenue from those wells until production arrangements were made to deliver our production to market. Furthermore, if we were required to shut in wells, we might also be obligated to pay shut-in royalties to certain mineral interest owners in order to maintain our leases.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disruption of our own or third-party facilities due to maintenance, weather or other factors could negatively impact our ability to market and deliver our oil, natural gas and NGLs. If our costs to access and transport on these pipelines significantly increase, our profitability could be reduced. Third parties control when or if their facilities are restored and what prices will be charged. In the past, we have experienced pipeline and natural gas processing interruptions and capacity and infrastructure constraints associated with natural gas production. While we have entered into natural gas processing, treating, compression and transportation agreements covering the anticipated natural gas production from a significant portion of our Delaware Basin acreage in Southeast New Mexico and West Texas, no assurance can be given that these agreements will alleviate these issues completely, and we may be required to pay deficiency payments under such agreements if we do not meet the gathering or processing commitments, as applicable. For example, in the fourth quarter of 2024, we experienced temporary natural gas pipeline and processing interruptions due to maintenance and constraints that are estimated to have resulted in approximately 3,000 BOE per day of less production. We may experience similar interruptions and processing capacity constraints as we continue to explore and develop our Wolfcamp, Bone Spring and other liquids-rich plays in the Delaware Basin in 2025. If we were required to shut in our production for long periods of time due to pipeline interruptions or lack of processing facilities or capacity of these facilities, it could have a material adverse effect on our business, financial condition, results of operations and cash flows.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conduct a portion of our operations through joint ventures, which subjects us to additional risks that could have a material adverse effect on the success of these operations, our financial position, results of operations or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own and operate substantially all of our midstream assets in Eddy County, New Mexico and Loving County, Texas and a significant proportion of our midstream assets in Lea County, New Mexico through San Mateo, and we have and may continue to enter into other joint venture arrangements in the future. The nature of a joint venture requires us to share a portion of control with unaffiliated third parties. Moreover, joint venture arrangements involve various risks and uncertainties, such as committing us to fund operating and/or capital expenditures, the timing and amount of which we may not control. In addition, if our joint venture partners do not fulfill their contractual, financial and other obligations, the affected joint venture may be unable to operate according to its business plan, and we may be required to increase our level of financial commitment or seek third-party capital, which could dilute our ownership in the applicable joint venture. If we do not timely meet our financial commitments or otherwise comply with our joint venture agreements, our ownership of and rights with respect to the applicable joint venture may be reduced or otherwise adversely affected. Furthermore, there can be no assurance that any joint venture will be successful or generate cash flows at the level we have anticipated, or at all. Differences in views among joint venture participants could also result in delays in business decisions or otherwise, failures to agree on major issues, operational inefficiencies and impasses, litigation or other issues. We provide management functions for certain joint ventures and may provide such services for future joint venture arrangements, which may require additional time and attention of management or require us to hire or contract additional personnel. Third parties may also seek to hold us liable for a joint venture’s liabilities. These issues or any other difficulties that cause a joint venture to deviate from its original business plan could have a material adverse effect on our business,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Because of the natural decline in production in the regions of San Mateo’s midstream operations, San Mateo’s long-term success depend on its ability to obtain new sources of products, which depends on certain factors beyond San Mateo’s control. Any decrease in supplies to their midstream facilities could adversely affect San Mateo’s business and operating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Mateo’s midstream facilities are, or will be, connected to oil and natural gas wells operated by us or by third parties from which production will naturally decline over time, which means that the cash flows associated with these sources of oil, natural gas, NGLs and produced water will also decline over time. Some of these third parties are not subject to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commitments. To maintain or increase throughput levels on San Mateo’s gathering systems and the utilization rate at its other midstream facilities, San Mateo must continually obtain new sources of products. San Mateo’s ability to obtain additional sources of oil, natural gas, NGLs and produced water depends, in part, on the level of successful drilling and production activity near its gathering and transportation systems and other midstream facilities. San Mateo has no control over the level of activity in the areas of its operations, the amount of reserves associated with the wells or the rate at which production from a well will decline. In addition, San Mateo has no control over producers or their drilling or production decisions, which are affected by, among other things, prevailing and projected energy prices, demand for hydrocarbons, the level of reserves, geological considerations, governmental regulations, the availability of drilling rigs, other production and development costs and the availability and cost of capital.</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have entered into certain long-term contracts that require us to pay fees to our service providers based on minimum volumes regardless of actual volume throughput and that may limit our ability to use other service providers.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entered into and may in the future enter into certain oil, natural gas or produced water gathering, treating, compression or transportation agreements, natural gas processing agreements, NGL transportation agreements, produced water disposal agreements or similar commercial arrangements with midstream companies, including San Mateo and its subsidiaries, including Pronto. Certain of these agreements require us to meet minimum volume commitments, often regardless of actual throughput. Reductions in our drilling activity could result in insufficient production to fulfill our obligations under these agreements. As of December 31, 2024, our long-term contractual obligations under agreements with minimum volume commitments totaled approximately $1.50 billion over the terms of the agreements. If we have insufficient production to meet the minimum volume commitments under any of these agreements, our cash flow from operations will be reduced, which may require us to reduce or delay our planned investments and capital expenditures or seek alternative means of financing, all of which may have a material adverse effect on our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certain of our agreements with midstream companies, we have dedicated our current and future leasehold interests in certain of our asset areas to counterparties. As a result, we will be limited in our ability to use other gathering, processing, disposal and transportation service providers, including our midstream business, even if such service providers are able to offer us more favorable pricing or more efficient service.</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do not own all of the land on which our midstream assets are located, which could disrupt our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do not own all of the land on which our midstream assets are located, and we are therefore subject to the possibility of more onerous terms and/or increased costs or royalties to retain necessary land access if we do not have valid rights-of-way or leases or if such rights-of-way or leases lapse or terminate. We sometimes obtain the rights to land owned by third parties and governmental agencies for a specific period of time. Our loss of these rights, through our inability to renew right-of-way contracts, leases or otherwise, could cause us to cease operations on the affected land or find alternative locations for our operations at increased costs, each of which could have a material adverse effect on our business,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is intense in virtually all facets of our business. Our ability to acquire additional prospects and to find and develop reserves in the future will depend in part on our ability to evaluate and select suitable properties and to consummate transactions in a highly competitive environment for acquiring properties, to market oil and natural gas and to secure trained personnel. Similarly, our midstream business, and particularly the success of San Mateo, depends in part on our ability to compete with other midstream service companies to attract third-party customers to our midstream facilities. San Mateo competes with other midstream companies that provide similar services in their areas of operations, and such companies may have legacy relationships with producers in those areas and may have a longer history of efficiency and reliability. Also, there is substantial competition for capital available for investment in the oil and natural gas industry. Many of our competitors possess and employ financial, technical, technological and personnel resources substantially greater than ours. Those companies may be able to pay more for productive oil and natural gas properties and exploratory prospects and to evaluate, bid for and purchase a greater number of properties and prospects than our financial, technical, technological or personnel resources permit. As our competitors use or develop new technologies, we may be placed at a competitive disadvantage, and competitive pressures may force us to implement new technologies at a substantial cost. We cannot be certain that we will be able to implement technologies on a timely basis or at a cost that is acceptable to us. One or more of the technologies that we use or that we may implement in the future may become obsolete, and our operations may be adversely affected.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other companies may be able to offer better compensation packages to attract and retain qualified personnel than we are able to offer. The cost to attract and retain qualified personnel has increased in recent years due to a competitive labor market, inflation and other factors, and may increase substantially in the future. We may not be able to compete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successfully in the future in acquiring prospective reserves, developing reserves, developing midstream assets, marketing hydrocarbons, attracting and retaining quality personnel and raising additional capital, which could have a material adverse effect on our business,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relationships upon which we may rely are subject to change, which may diminish our ability to conduct our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explore, develop and produce oil and natural gas resources successfully, acquire oil and natural gas interests and acreage and conduct our midstream activities depends on our developing and maintaining close working relationships with industry participants and on our ability to select and evaluate suitable acquisition opportunities in a highly competitive environment. These relationships are subject to change and, if they do, our ability to grow may be impaired.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To develop our business, we endeavor to use the business relationships of our management and Board to enter into strategic relationships, which may take the form of contractual arrangements with other oil and natural gas companies and service companies, including those that supply equipment and other resources that we expect to use in our business, as well as midstream companies and certain financial institutions. We may not be able to establish these strategic relationships, or if established, we may not be able to maintain them. In addition, the dynamics of our relationships with strategic partners may require us to incur expenses or undertake activities we would not otherwise be inclined to incur or undertake in order to fulfill our obligations to these partners or maintain our relationships. If our strategic relationships are not established or maintained, our business prospects may be limited, which could diminish our ability to conduct our operations.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have limited control over activities on properties we do not operate.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not the operator on some of our properties in Northwest Louisiana, particularly in the Haynesville shale. We also have other non-operated acreage positions in Southeast New Mexico, West Texas and South Texas. Because we are not the operator for these properties, our ability to exercise influence over the operations of these properties or their associated costs is limited. Our dependence on the operators and other working interest owners of these projects and our limited ability to influence operations and associated costs, or control the risks, could materially and adversely affect the drilling results, reserves and future cash flows from these properties. The success and timing of our drilling and development activities on properties operated by others therefore depends upon a number of factors,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timing and amount of capital expenditures;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operator’s expertise and financial resources;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rate of production of reserves, if any;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approval of other participants in drilling wells;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selection and implementation or execution of technology.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areas where we do not have the right to propose the drilling of wells, we may have limited influence on when, how and at what pace our properties in those areas are developed. Further, the operators of those properties may experience financial problems in the future or may sell their rights to another operator not of our choosing, both of which could limit our ability to develop and monetize the underlying oil or natural gas reserves. In addition, the operators of these properties may elect to curtail the oil or natural gas production or to shut in the wells on these properties during periods of low oil or natural gas prices, and we may receive less than anticipated or no production and associated revenues from these properties until the operator elects to return them to production.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Laws and Regulations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Approximately 33%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Matador held approximately 198,700 net leasehold and mineral acres in the Delaware Basin, primarily in Eddy and Lea Counties, New Mexico and in Loving, Ward and Winkler Counties, Texas, of which approximately 65,500 net acres, or about 33%, was on federal lands administered by the BLM. In addition to permits issued by state and local authorities, oil and natural gas activities on federal lands also require permits from the BLM. Permitting for oil and natural gas activities on federal lands can take significantly longer than the permitting process for oil and natural gas activities not located on federal lands. In addition, government disruptions, such as a shutdown of the U.S. federal government resulting from the failure to pass budget appropriations, adopt continuing funding resolutions or raise the debt ceiling, could delay or halt the granting and renewal of such permits or other licenses, approvals or certificates required to conduct our operations. Delays in obtaining necessary permits or other approvals can disrupt our operations and have a material adverse effect on our business. BLM leases contain relatively standardized terms and require compliance with detailed regulations and orders,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change. For example, on August 16, 2022, H.R. 5376, commonly known as the Inflation Reduction Act of 2022 (the “IRA”), was enacted. Pursuant to the IRA, the royalty rate for federal leases issued on or after August 16, 2022 was increased to 16.67 percent. On April 23, 2024, the BLM issued a final rule that revised the BLM’s oil and gas leasing regulations, including aligning royalty rates, rentals and minimum bids with the IRA, and updated the bonding requirements for leasing, development and production. These operations are also subject to BLM rules regarding engineering and construction specifications for production facilities, ability to commingle production,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 material adverse effect on our business and results of operations. Under certain circumstances, the BLM may require our operations on federal leases to be suspended or terminated. In addition, litigation related to leasing and permitting of federal lands could also restrict, delay or limit our ability to conduct operations on our federal leasehold or acquire additional federal leasehold. In January 2021, the Biden administration issued the Biden Administration Federal Lease Orders limiting the issuance of federal drilling permits and other necessary federal approvals. The BLM indicated that the Lease Sale Litigation and the Social Cost of Carbon Litigation could delay lease sales and the approval of drilling permits, though the ultimate impact is uncertain given the Trump administration’s revocations of related executive orders. Should these or other limitations or prohibitions be imposed or continue to be applied, our oil and natural gas operations on federal lands could be adversely impacted. At the federal level, various policy makers, regulatory agencies and political candidates have also proposed restrictions on hydraulic fracturing, including its outright prohibition. It is possible that any such restrictions on hydraulic fracturing may particularly target activity on federal lands. Any federal legislation, regulations or orders intended to limit or restrict oil and natural gas operations on federal lands, if enacted, could have a material adverse impact on our business, financial condition,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exploration and production activities on federal lands are also subject to NEPA, which requires federal agencies, including the Department of Interior, to evaluate major agency actions having the potential to significantly impact the environment. This process, including any additional requirements that may be implemented or litigation regarding the process, has the potential to delay or even halt development of future oil and natural gas projects with NEPA applicability. See “Business—Regulation—Oil and Natural Gas Regulation.”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subject to government regulation and liability, including complex environmental laws, which could require significant expenditures.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exploration, development, production, gathering, processing, transportation and sale of oil and natural gas in the United States are subject to many federal, state and local laws, rules and regulations, including complex environmental laws and regulations. A change in the presidential administration, as well as a closely divided Congress, may also increase the uncertainty with regard to potential changes in these laws, rules and regulations and the enforcement of any new legislation or directives by governmental authorities. Matters subject to regulation include discharge permits, drilling bonds, reports concerning operations, the spacing of wells, unitization and pooling of properties, taxation, gathering and transportation of oil, natural gas and NGLs, gathering and disposal of produced water, environmental matters and health and safety criteria addressing worker protection. Under these laws and regulations, we may be required to make large expenditures that could materially adversely affect our financial condition, results of operations and cash flows. If existing laws and regulations are revised or reinterpreted, or if new laws and regulations become applicable to our operations or those of our service providers, such changes may affect the costs that we pay for such services or the results of business. In addition to expenditures required in order for us to comply with such laws and regulations, expenditures required by such laws and regulations could also include payments and fines for: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personal injuries;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property damage;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containment and clean-up of oil, produced water and other spills;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venting, flaring or other emissions;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management and disposal of hazardous materials;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remediation, clean-up costs and natural resource damages;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environmental damages.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full insurance coverage for all potential damages is available at a reasonable cost. Failure to comply with these laws and regulations may also result in the suspension or termination of our operations and subject us to administrative, civil and criminal penalties, injunctive relief and/or the imposition of investigatory or other remedial obligations. The costs of remedying noncompliance may be significant, and remediation obligations could adversely affect our financial condition, results of operations and leasehold acreage. Laws, rules and regulations related to the environment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changed frequently and the changes often include increasingly stringent requirements. These laws, rules and regulations may impose liability on us for environmental damage and disposal of hazardous and non-hazardous materials even if we were not negligent or at fault. We may also be found to be liable for the conduct of others or for acts that complied with applicable laws, rules or regulations at the time we performed those acts. These laws, rules and regulations are interpreted and enforced by numerous federal and state agencies. In addition, private parties, including the owners of properties upon which our wells are drilled or our facilities are located, the owners of properties adjacent to or in close proximity to those properties or non-governmental organizations such as environmental groups, may also pursue legal actions against us based on alleged non-compliance with certain of these laws, rules and regulations. For example, a number of lawsuits have been filed in some states against others in our industry alleging that fluid injection or oil and natural gas extraction have caused damage to neighboring properties or otherwise violated state and federal rules regulating waste disposal. Private parties may also pursue legal actions challenging permitting programs that authorize certain of our operations. For example, it is possible that courts could vacate relevant Nationwide Permits (“NWPs”) as such potential permit coverage relates to activities in the oil and natural gas sector, or the federal government could choose to suspend the availability of NWPs in the future, thereby forcing our relevant operations to seek coverage under individual permits under CWA Section 404 (which is a longer and more administratively complex process that is subject to NEPA).</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Part of the regulatory environment in which we operate includes, in some cases, federal requirements for obtaining environmental assessments, environmental impact statements and/or plans of development before commencing exploration and production or midstream activities. Oil and natural gas operations in certain of our operating areas can be adversely affected by seasonal or permanent restrictions on drilling activities designed to protect various wildlife. For example, on March 27, 2023, a final rule became effective that, among other things, lists the lesser prairie-chicken as endangered under the ESA in certain portions of southeastern New Mexico where we operate. On May 20, 2024, the USFWS issued a final rule listing the dunes sagebrush lizard as endangered. We participate in candidate conservation agreements for the lesser prairie-chicken, as well as the dunes sagebrush lizard and the Texas hornshell mussel, pursuant to which we are restricted from operating in certain sensitive locations or at certain times. The listing of the dunes sagebrush lizard as endangered, participation in such candidate conservation agreements or the designation of previously unprotected species as threatened or endangered species could prohibit drilling or other operations in certain of our operating areas, cause us to incur increased costs arising from species protection measures or result in limitations on our exploration and production and midstream activities, each of which could have a material adverse impact on our business, financial condition, results of operations and cash flows. See “Business—Regulation.”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generated and carried forward net operating losses (“NOL”) in amounts sufficient to offset substantially all of our taxable income and, thus, have not incurred material federal or state income tax liabilities. As of December 31, 2022, we had utilized all of our federal NOL carryovers. Our federal and state income tax liabilities in 2025 and subsequent years will be dependent upon a variety of factors that will impact our taxable income, including oil and natural gas prices, allowable deductions and any legislative changes thereon, in addition to any tax credits generated that would offset tax liabilities in future periods.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IRA contains a number of revisions to the Internal Revenue Code, including a 15% corporate minimum income tax for certain corporations with more than $1 billion in average adjusted financial statement income for the three-year tax period ending before the corporation’s current tax year. The impact of the 15% corporate minimum tax will depend on our results of operations each year. While we do not expect such minimum tax to have any immediate material impact, we will continue to evaluate its future impact as further information becomes available.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from time to time there has been a significant amount of discussion by legislators and presidential administrations concerning a variety of energy tax proposals at the U.S. federal level. Periodically, legislation is introduced to eliminate certain key U.S. federal income tax preferences currently available to oil and natural gas exploration and production companies. Such changes include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The passage of any such legislation or any other similar change in U.S. federal income or state tax law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affect certain tax deductions that are currently available with respect to oil and natural gas exploration and production activities and could negatively impact our financial condition, results of operations and cash flows.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and state legislation and regulatory initiatives relating to hydraulic fracturing could result in increased costs and additional operating restrictions or delays.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Hydraulic fracturing involves the injection of water, sand or other proppants and chemicals under pressure into rock formations to stimulate oil and natural gas production. We routinely use hydraulic fracturing to complete wells in order to produce oil, natural gas and NGLs from formations where we focus our operations. Hydraulic fracturing has been regulated at the state and local level through permitting and compliance requirements. Federal, state and local laws or regulations targeting various aspects of the hydraulic fracturing process are being considered, or have been proposed or implemented. In past sessions, Congress has considered, but has not passed, legislation to amend the SDWA, to remove the SDWA’s exemption granted to most hydraulic fracturing operations (other than operations using fluids containing diesel) and to require reporting and disclosure of chemicals used by oil and natural gas companies in the hydraulic fracturing process. Also at the federal level, in March 2015, the BLM issued final rules, including new requirements relating to public disclosure, wellbore integrity and handling of flowback water, to regulate hydraulic fracturing on federal and Indian lands, but these rules never became effective. These rules were rescinded by rule in December 2017. The rescission was challenged, and the challenge remains pending before the Ninth Circuit Court of Appeals.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Various policymakers, regulatory agencies and political candidates at the federal, state and local levels have proposed restrictions on hydraulic fracturing, including its outright prohibition. Any such restrictions on hydraulic fracturing on federal lands could adversely impact our operations in the Delaware Basin, and an outright prohibition would adversely impact essentially all of our operations. In addition, a number of states and local regulatory authorities are considering or have implemented more stringent regulatory requirements applicable to hydraulic fracturing, including bans or moratoria on drilling that effectively prohibit further production of oil and natural gas through the use of hydraulic fracturing or similar operations. For example, Texas and New Mexico have adopted regulations that require the disclosure of information regarding the substances used in the hydraulic fracturing process. Bills have been introduced in the New Mexico legislature to place a moratorium on, ban or otherwise restrict hydraulic fracturing activities, including prohibiting the injection of fresh water in such operations. Although such bills have not passed, similar laws, rules, regulations or orders, if passed at the local, state or federal level could limit our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adoption of new laws or regulations imposing reporting or operational obligations on, or otherwise limiting or prohibiting, the hydraulic fracturing process could make it more difficult to complete oil and natural gas wells in unconventional plays. In addition, if hydraulic fracturing becomes regulated at the federal level as a result of federal legislation or regulatory initiatives by the EPA or BLM, hydraulic fracturing activities could become subject to additional permitting requirements, and also to attendant permitting delays and potential increases in cost, which could adversely affect our business and results of operations.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potential adoption of federal, state and local legislation and regulations intended to address potential induced seismicity in the areas in which we operate could restrict our drilling and production activities and our midstream operations, as well as our ability to dispose of produced water gathered from such activities, which could decrease our and San Mateo’s revenues and result in increased costs and additional operating restrictions or delays.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State and federal regulatory agencies recently have focused on a possible connection between the operation of injection wells used for produced water disposal and the increased occurrence of seismic activity. When caused by human activity, such events are called “induced seismicity.” Regulatory agencies at all levels are continuing to study the possible link between oil and natural gas activity and induced seismicity. 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have imposed additional requirements, including requirements regarding the permitting of salt water disposal wells or otherwise, to assess the relationship between seismicity and the use of such wells. See “Business—Regulation—Underground Injection and Hydraulic Fracturing.”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scientific community and regulatory agencies at all levels are continuing to study the possible link between oil and natural gas activity and induced seismicity, some state regulatory agencies, including in Texas and New Mexico, have modified their regulations or guidance to mitigate potential causes of induced seismicity.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wells, in the area of seismic events based on the magnitude, timing and proximity of the seismic event. See “Business—Regulation—Environmental, Health and Safety Regulation.”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Increased seismicity in areas in which we operate could result in additional regulation and restrictions on the use of injection wells by us or by third parties whom we may contract with to dispose of produced water. Additional regulation and attention given to induced seismicity could also lead to greater opposition, including litigation, to oil and natural gas activities. Any one or more of these developments may result in operational delays, increase our operating and compliance costs or otherwise adversely affect our operations. We and San Mateo dispose of large volumes of produced water gathered from our and third parties’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dispose of produced water gathered from drilling and production activities could adversely impact our business, cash flows and results of operations and could decrease our and San Mateo’s revenues and result in increased costs and additional operating restrictions or delays.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it is likely that scientific and political attention to issues concerning the extent, causes of and responsibility for climate change will continue, with the potential for further regulations and litigation that could affect our operations. Our operations result in greenhouse gas emissions. The EPA has published its final findings that emissions of carbon dioxide, methane and other greenhouse gases present an endangerment to public health and welfare because emissions of such gases are, according to the EPA, contributing to the warming of the earth’s atmosphere and other climatic changes. However, in January 2025, the Trump administration issued an executive order directing the EPA to re-evaluate the legality and continuing applicability of the endangerment finding. There were attempts at comprehensive federal legislation establishing a cap and trade program, but that legislation did not pass. Further, various states have considered or adopted legislation that seeks to control or reduce emissions of greenhouse gases from a wide range of sources. In addition, the United States has at times been a party to certain international agreements, pacts and other commitments designed to address climate change and reduce greenhouse gas emissions, including the Paris Agreement and the Glasgow Climate Pact. For further discussion of these international commitments, see “Business—Regulation—Environmental, Health and Safety Regulation.”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IRA created the Methane Emissions Reduction Program to incentivize methane emission reductions and, for the first time ever, impose a fee on greenhouse gas emissions from certain facilities that exceed specified emissions levels. Further, on November 11, 2022, the EPA issued a supplemental notice of proposed rulemaking on methane and greenhouse gas emissions from new and existing sources in the oil and natural gas industry. On March 8, 2024, the EPA issued a final rule to reduce methane and volatile organic chemicals emissions from the oil and natural gas sector, which strengthens and expands the EPA’s November 1, 2021 proposed revisions to the New Source Performance Standards program established under Section 111 of the CAA and requires state-level environmental regulators to create new emissions restrictions for existing sources as well. On November 17, 2023, the EPA issued a final rule that enables states to implement more stringent methane emissions standards than the federal guidelines require. The EPA has begun adopting and implementing a comprehensive suite of regulations to restrict greenhouse gas emissions under existing provisions of the CAA and the recent authority of the IRA. In addition, some states, including New Mexico, have implemented rules and regulations relating to greenhouse gas emissions. For further discussion of these federal and state regulations, see “Business—Regulation—Environmental, Health and Safety Regulation.”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an interpretative guidance on climate change disclosures, the SEC indicated that climate change could have an effect on the severity of weather (including hurricanes, droughts, floods and freezes), sea levels, the arability of farmland and water availability and quality. If such effects were to occur, there is the potential for our exploration and production operations to be adversely affected. Potential adverse effects could include damages to our facilities from powerful winds or rising waters in low-lying areas, disruption of our production, less efficient or non-routine operating practices necessitated by climate effects, impacts on our workforce, supply chain or distribution chain and increased costs for, or difficulty procuring consistent levels of, insurance coverage in the aftermath of such effects. Any future exploration and development activities and equipment could also be adversely affected by severe weather conditions such as hurricanes or freezing temperatures, which may cause a loss of production from temporary cessation of activity from regional power outages or lost or damaged facilities and equipment. Such severe weather conditions could also impact access to our drilling and production facilities for routine operations, maintenance and repairs and the availability of and our access to, necessary third-party services, such as gathering, processing, compression and transportation services. These constraints and the resulting shortages or high costs could delay or temporarily halt our operations and materially increase our operation and capital costs, which could have a material adverse effect on our business, financial condition and results of operations. Significant physical effects of climate change could also have an indirect effect on our financing and operations by disrupting the transportation or process-related services provided by us or other midstream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companies, service companies or suppliers with whom we have a business relationship. We may not be able to recover through insurance some or any of the damages, losses or costs that may result from potential physical effects of climate change. In addition, our hydraulic fracturing operations require large amounts of water. See “—Risks Related to our Operations—If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 Should climate change or other drought conditions occur, our ability to obtain water of a sufficient quality and quantity could be impacted and in turn, our ability to perform hydraulic fracturing operations could be restricted or made more costly.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Legislative and regulatory initiatives related to climate change and greenhouse gas emissions could, and in all likelihood would, require us to incur increased operating costs adversely affecting our profits, such as costs to purchase and operate emissions control systems, to acquire emissions allowances or to comply with new regulatory or reporting requirements. Any such legislation or regulatory programs could also increase the cost of consuming, and thereby reduce demand for, the oil and natural gas we produce, depressing the prices we receive for oil and natural gas. Consequently, legislation and regulatory programs to reduce emissions of greenhouse gases could have a material adverse effect on our business, financial condition and results of operations. Additionally, the threat of climate change has resulted in increasing political risk in the United States as various policy makers, regulatory agencies and political candidates at the federal, state and local levels have proposed bans of new leases for production of minerals on federal properties and various restrictions on hydraulic fracturing, including its outright prohibition. Should these or other limitations or prohibitions be imposed or continue to be applied, our oil and natural gas operations on federal lands could be adversely impacted.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Various policy makers, regulatory agencies and political candidates at the federal, state and local levels have identified climate change as a priority, and new executive orders, regulatory action and/or legislation targeting greenhouse gas emissions, promoting energy efficiency or the development and consumption of alternative forms of energy or prohibiting or restricting oil and natural gas development activities in certain areas, have been, or may in the future be, proposed and/or promulgated. The Biden administration issued multiple executive orders pertaining to environmental regulations and climate change, which established climate change as a primary foreign policy and national security consideration, prioritized achieving net-zero greenhouse gas emissions by or before 2050 and generally further integrated climate change and environmental justice considerations into government agencies’ decision-making, among other measures. It is anticipated that the policy of the Trump administration will reduce the focus on climate change and environmental justice at the federal level, but it is too soon to predict what overall effects the change in administration will have on these issues. As of January 2025, the Trump administration has revoked multiple Biden administration executive orders regarding climate change. For further discussion of these executive orders and other legislative and regulatory developments regarding climate change, see “Business—Regulation—Oil and Natural Gas Regulation.”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any event, increasing attention to the risks of climate change has resulted in an increased possibility of lawsuits or investigations brought by public and private entities against oil and natural gas companies in connection with their greenhouse gas emissions. Should we be targeted by any such litigation or investigations, we may incur liability, which, to the extent that societal pressures or political or other factors are involved, could be imposed without regard to the causation of or contribution to the asserted damage, or to other mitigating factors. The ultimate impact of greenhouse gas emissions-related agreements, legislation and measures on our financial performance is highly uncertain because we are unable to predict, for a multitude of individual jurisdictions, the outcome of political decision-making processes and the variables and trade-offs that inevitably occur in connection with such processes.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climate disclosure rules adopted by the SEC or states in which we have operations or do business could increase our costs of compliance and adversely impact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6, 2024, the SEC adopted new rules that require significantly expanded climate-related disclosures in SEC filings, including certain climate-related risks, climate-related metrics and greenhouse gas emissions, information about climate-related targets and goals, transition plans, if any, and extensive attestation requirements (the “SEC Climate Disclosure Rules”). The SEC Climate Disclosure Rules include certain phase-in compliance dates for disclosure of material Scope 1 and 2 greenhouse gas emissions. As adopted, large accelerated filers such as us would be obligated to disclose material Scope 1 and 2 greenhouse gas emissions beginning with their annual reports covering fiscal years that begin in 2025. However, on April 4, 2024, the SEC issued an order staying implementation of the SEC Climate Disclosure Rules pending judicial review of various legal challenges to the rules, which were consolidated into the Eighth Circuit Court of Appeals. On February 11, 2025, the SEC notified the Eighth Circuit Court of Appeals of a statement issued by the SEC’s Acting Chairman regarding, among other things, the fact that the majority of current SEC Commissioners had previously voted against adopting the SEC Climate Disclosure Rules and requested that the Eighth Circuit Court of Appeals delay certain aspects of the litigation to provide time for the SEC to deliberate and determine the appropriate next steps. Accordingly, while we are currently assessing the SEC Climate Disclosure Rules, the outcome of these legal challenges is uncertain, including with respect to the content of any portion of the SEC Climate Disclosure Rules that may be upheld and the ultimate timing of required compliance with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rules, and at this time we cannot predict the costs of implementation or any potential adverse impacts resulting from the SEC Climate Disclosure Rules. In addition, in the absence of federal action, states may propose and adopt climate disclosure requirements.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the SEC Climate Disclosure Rules go into effect or states in which we operate or do business adopt climate disclosure requirements, we could incur significant additional costs relating to the assessment and disclosure of climate-related risks, including costs relating to monitoring, collecting, analyzing and reporting the new metrics and implementing systems and procuring additional internal and external personnel with the requisite skills and expertise to serve those functions. These additional costs or changes in operations could have a material adverse effect on our business, financial condition, results of operations and cash flows. We may also face increased litigation risks related to disclosures made pursuant to these regulations. In addition, enhanced climate disclosure requirements could accelerate the trend of certain investors and lenders restricting or seeking more stringent conditions with respect to their investments in carbon-intensive sectors. Separately, the SEC has also announced that it is scrutinizing existing climate-change related disclosures in public filings, increasing the potential for enforcement if the SEC were to allege an issuer’s existing climate disclosures to be misleading or deficient.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regulations on all emissions from our operations could cause us to incur significant costs.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the EPA issued final rules to subject oil and natural gas operations to regulation under the NSPS and NESHAP programs under the CAA and to impose new and amended requirements under both programs. The EPA rules include NSPS standards for completions of hydraulically fractured oil and natural gas wells, compressors, controllers, dehydrators, storage tanks, natural gas processing plants and certain other equipment. These rules have required changes to our operations, including the installation of new equipment to control emissions. In April 2024, the EPA issued a final consent decree that established a December 10, 2024 deadline for the EPA to review and propose revisions to the NESHAP for oil and natural gas production facilities and natural gas transmission and storage facilities, which may require us to make additional changes to our operations. The EPA has not yet proposed any such revisions. The EPA finalized a more stringent National Ambient Air Quality Standard for ozone in October 2015. The EPA finished promulgating final area designations under the new standard in 2018, which, to the extent areas in which we operate have been classified as “non-attainment” areas, may result in an increase in costs for emission controls and requirements for additional monitoring and testing, as well as a more cumbersome permitting process. To the extent regions reclassified as non-attainment areas under the lower ozone standard have begun implementing new, more stringent regulations, those regulations could also apply to our or San Mateo’s customers’ operations. Generally, it takes states several years to develop compliance plans for their non-attainment areas. In November 2016, BLM issued final rules relating to the venting, flaring and leaking of natural gas by oil and natural gas producers who operate on federal and Indian lands. The rules were designed to limit routine flaring of natural gas, require the payment of royalties on avoidable natural gas losses and require plans or programs relating to natural gas capture and leak detection and repair. Following litigation, the 2016 Waste Prevention Rule was vacated. However, the IRA contains a suite of provisions addressing onshore and offshore oil and natural gas development under Federal leases. Under the authority of the IRA, on April 10, 2024, BLM finalized new regulations to reduce the waste of natural gas from venting, flaring and leaks during oil and natural gas production activities on Federal and Indian leases. These rules are expected to result in an increase to our operating costs and changes in our operations. In December 2023, the EPA issued final NSPS updates and emission guidelines to reduce methane and other pollutants from the oil and gas industry. In addition, several states are pursuing similar measures to regulate emissions of methane from new and existing sources within the oil and natural gas source category. The EPA issued a final rule on October 22, 2024, removing the affirmative defense for violations caused by malfunctions from the NESHAP for the oil and natural gas production source category and natural gas transmission and storage source category. On November 18, 2024, the EPA published a final rule under authority of the IRA that imposes a waste emissions charge on large emitters of waste methane from the oil and gas sector. Multiple states have filed suit against the EPA in the United States Court of Appeals for the District of Columbia claiming that the waste emissions charge exceeds the agency’s statutory authority, and various proposals have been advanced in Congress to either repeal the waste charge portion of the IRA or to reverse the EPA’s implementing regulations through the Congressional Review Act. As a result of this continued regulatory focus, these and any future federal and state regulations of the oil and natural gas industry could result in increased compliance costs for our operations.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incur significant costs and liabilities resulting from compliance with pipeline safety regulations.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pipelines are subject to stringent and complex regulation related to pipeline safety and integrity management. For instance, the Department of Transportation, through PHMSA, has established a series of rules that require pipeline operators to develop and implement integrity management programs for hazardous liquid (including oil) pipeline segments that, in the event of a leak or rupture, could affect high-consequence areas. The Rustler Breaks Oil Pipeline System and the Trophy Pipeline System are subject to such rules. PHMSA also recently finalized rulemaking to expand existing integrity management, reporting and records retention, and safety requirements to certain natural gas transmission lines. Additional action by PHMSA with respect to pipeline integrity management requirements may occur in the future. At this time, we cannot predict the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requirements, but they could be significant. Moreover, violations of pipeline safety regulations can result in the imposition of significant penalties.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Several states have also passed legislation or promulgated rules to address pipeline safety. Compliance with pipeline integrity laws and other pipeline safety regulations issued by state agencies such as the RRC and the NMOCD could result in substantial expenditures for testing, repairs and replacement. Due to the possibility of new or amended laws and regulations or reinterpretation of existing laws and regulations, there can be no assurance that future compliance with PHMSA or state requirements will not have a material adverse effect on our results of operations or financial position.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 change in the jurisdictional characterization of some of our assets by FERC or a change in policy by FERC may result in increased regulation of our assets, which may cause our revenues to decline and operating expenses to increase.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Section 1(b) of the NGA exempts natural gas gathering facilities from regulation by FERC under the NGA. We believe that the natural gas pipelines in our gathering systems meet the traditional tests FERC has used to establish a pipeline’s status as a gatherer not subject to FERC regulation. However, the distinction between FERC-regulated transmission services and federally unregulated gathering services is the subject of ongoing litigation, so the classification and regulation of our gathering facilities are subject to change based on future determinations by FERC, the courts or Congress. Similarly, intrastate crude oil pipeline facilities are exempt from regulation by FERC under the ICA. San Mateo’s Rustler Breaks Oil Pipeline System, which includes crude oil gathering and transportation pipelines from origin points in Eddy County, New Mexico to an interconnect with Plains, and our Trophy Pipeline System, which includes crude oil gathering and transportation pipelines from origin points in Lea County, New Mexico to various interconnects with third parties, are subject to FERC jurisdiction. We believe the other crude oil pipelines in our gathering systems meet the traditional tests FERC has used to establish a pipeline’s status as an intrastate facility not subject to FERC regulation. Whether a pipeline provides service in interstate commerce or intrastate commerce is highly fact dependent and determined on a case-by-case basis. A change in the jurisdictional characterization of our facilities by FERC, the courts or Congress, a change in policy by FERC or Congress or the expansion of our activities may result in increased regulation of our assets, which may cause our revenues to decline and operating expenses to increase.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rates of our regulated assets are subject to review and reporting by federal regulators, which could adversely affect our 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Rustler Breaks Oil Pipeline System and the Trophy Pipeline System transport crude oil in interstate commerce. FERC regulates the rates, terms and conditions of service on pipelines that transport crude oil in interstate commerce. If a party with an economic interest were to file either a complaint against our tariff rates or protest any proposed increases to our tariff rates, or FERC were to initiate an investigation of our rates, then our rates could be subject to detailed review. If any proposed rate increases were found by FERC to be in excess of just and reasonable levels, FERC could order us to reduce our rates and to refund the amount by which the rate increases were determined to be excessive, plus interest. If our existing rates were found by FERC to be in excess of just and reasonable levels, we could be ordered to refund the excess we collected for up to two years prior to the date of the filing of the complaint challenging the rates, and we could be ordered to reduce our rates prospectively. In addition, a state commission also could investigate our intrastate rates or our terms and conditions of service on its own initiative or at the urging of a shipper or other interested party. If a state commission found that our rates exceeded levels justified by our cost of service, the state commission could order us to reduce our rates. Any such reductions may result in lower revenues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FERC’s ratemaking policies are subject to change and may impact the rates charged and revenues received on the Rustler Breaks Oil Pipeline System, the Trophy Pipeline System and any other natural gas or crude oil pipeline that is determined to be under the jurisdiction of FERC.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Should we fail to comply with all applicable FERC-administered statutes, rules, regulations and orders, we could be subject to substantial penalties and fines.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Energy Policy Act, FERC has civil penalty authority under the NGA to impose penalties for current violations of up to approximately $1.3 million per day for each violation and disgorgement of profits associated with any violation. This maximum penalty authority established by statute will continue to be adjusted periodically for inflation. While the nature of our gathering facilities is such that these facilities have not yet been regulated by FERC, the Rustler Breaks Oil Pipeline System and Trophy Pipeline System do transport crude oil in interstate commerce and, therefore, are subject to FERC regulation. Laws, rules and regulations pertaining to those and other matters may be considered or adopted by FERC or Congress from time to time. Failure to comply with those laws, rules and regulations in the future could subject us to civil penalty liability.</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legislation adopted by Congress could have an adverse impact on our ability to hedge risks associated with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Dodd-Frank Wall Street Reform and Consumer Protection Act (the “Dodd-Frank Act”), among other things, established federal oversight and regulation of certain derivative products, including commodity hedges of the type we use. The Dodd-Frank Act requires the Commodity Futures Trading Commission (“CFTC”) and the SEC to promulgate rules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regulations implementing the Dodd-Frank Act. Although the CFTC has finalized certain regulations, others remain to be finalized or implemented, and it is not possible at this time to predict when, or if, this will be accomplished. For example, the CFTC has proposed, but not finalized, rules that would place limits on positions in certain core futures and equivalent swaps contracts for or linked to certain physical commodities, subject to exceptions for certain bona fide hedging transactions. The Dodd-Frank Act could also result in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these types of commodity hedges become unavailable or uneconomic, our commodity price risk could increase, which would increase the volatility of revenues and may decrease the amount of credit available to us. Any limitations or changes in our use of derivative arrangements could also materially affect our cash flows, which could adversely affect our ability to make capital expenditures.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Finally, the Dodd-Frank Act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Dodd-Frank Act and implementing regulations is to lower commodity prices.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consequences could have a material adverse effect on our business, financial condition and results of operations.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U.S. foreign trade policies, including the imposition of additional tariffs and other trade barriers, and efforts to withdraw from or materially modify international trade agreements, may materially and adversely affect our business, operations and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U.S. foreign trade policies, including as a result of the second Trump administration, could lead to the imposition of additional trade barriers and tariffs on the foreign import of certain materials and products. For example, effective February 4, 2025, the U.S. government implemented an additional tariff on goods being imported from China and announced additional tariffs for goods imported into the U.S. from Mexico and Canada beginning in March 2025. In addition, from time to time, certain leaders in the U.S. government, including in the Trump administration, have indicated a willingness to revise, renegotiate or terminate various existing bilateral and multilateral trade agreements. We cannot predict what additional changes to trade policy will be made by the Trump administration or Congress, including whether existing tariff policies will be maintained or modified, what products may be subject to such policies or whether the entry into new bilateral or multilateral trade agreements will occur, nor can we predict the effects that any such changes would have on our business. However, such steps, if adopted, could increase our costs and adversely impact our business and operations. In addition, changes in U.S. trade policy have resulted, and could again result, in reactions from U.S. trading partners, including adopting responsive trade policies. For example, in response to the U.S. government’s additional tariff on imports from China, on February 4, 2025, the Chinese government announced that it would implement a tariff on certain goods being imported into China from the U.S. There can be no assurance that such changes in U.S. or foreign trade policy or in laws and policies governing foreign trade, and any resulting negative sentiments towards the United States as a result of such changes, would not materially and adversely affect our business, financial condition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Common Stock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price of our common stock has fluctuated substantially and may fluctuate substantially in the future.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stock price has experienced volatility and could vary significantly as a result of a number of factors. In 2024, our stock price fluctuated between a high of $71.08 and a low of $47.15. In addition, the trading volume of our common stock may continue to fluctuate and cause significant price variations to occur. In the event of a drop in the market price of our common stock, you could lose a substantial part or all of your investment in our common stock. In addition, the stock markets in general have experienced extreme volatility that has often been unrelated to the operating performance of particular companies. These broad market fluctuations may adversely affect the trading price of our common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Factors that could affect our stock price or result in fluctuations in the market price or trading volume of our common stock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actual or anticipated operating and financial performance and drilling locations, including oil and natural gas reserves estimates;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quarterly variations in the rate of growth of our financial indicators, such as net income per share, net income and cash flows, or those of companies that are perceived to be similar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revenue, cash flows or earnings estimates or publication of reports by equity research analysts;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declaration of dividends or adjustments to our dividend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speculation in the press or investment community;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announcement or consummation of acquisitions, dispositions or joint ventures by us;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public reaction to our operations or plans, press releases, announcements and filings with the SEC;</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publication of research or reports by industry analysts regarding the Company, its competitors or our industry;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enactment of federal, state or local laws, rules or regulations that restrict our ability to conduct our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our common stock by the Company, directors, officers or other shareholders, or the perception that such sales may occur;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financial market conditions and oil and natural gas industry market conditions, including fluctuations in the price of oil, natural gas and NGLs;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domestic or global health concerns, including the outbreak or resurgence of contagious or pandemic diseases;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realization of any of the risk factors presented in this Annual Report;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recruitment or departure of key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commencement of, involvement in or unfavorable resolution of litigation;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of our exploration and development operations, our midstream business (including San Mateo) and the marketing of any oil, natural gas and NGLs we produce;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market valuations of companies similar to ours;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domestic and international economic, legal and regulatory factors unrelated to our performance.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Attention to ESG and conservation matters and a negative shift in market perception towards the oil and natural gas industry could adversely affect demand for oil and natural gas and our stock price.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Attention from governmental and regulatory bodies, investors, consumers and other stakeholders on ESG practices, together with changes in consumer, industrial and commercial behavior, investor and societal expectations on companies to address climate change and to make voluntary disclosures related to climate change and sustainability, preferences and attitudes with respect to the generation and consumption of energy, the use of hydrocarbons and the use of products manufactured with, or powered, by hydrocarbons, may result in the enactment of climate and ESG-related regulations, policies and initiatives at the government, regulator, corporate and/or investor community levels; technological advances with respect to the generation, transmission, storage and consumption of energy; and the development of, and increased demand from consumers for, lower-emission products and services. These developments may in the future result in increased costs (including increased costs associated with compliance, shareholder engagement, contracting and insurance) and reduced demand for products manufactured with, or powered by, petroleum products, as well as the demand for our products and services. Such developments could result in downward pressure on the stock prices of oil and natural gas companies, including ours.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negative perceptions regarding our industry and reputational risks, including perceptions related to the sufficiency of our ESG program (which may include policies, practices and extralegal objectives related to climate change, environmental stewardship, social responsibility and corporate governance), may in the future adversely affect our ability to successfully carry out our business strategy by adversely affecting our access to capital. In particular, certain segments of the investor community have at times expressed negative sentiment towards investing in the oil and natural gas industry. There have also been efforts in recent years to influence the investment community, including investment advisors, investment fund managers, pension funds, sovereign wealth funds, university endowments, individual investors and family foundations, to divest, or limit investment in, fossil fuel equities. As a result, some investors have adopted policies to reduce or eliminate their investments in the oil and natural gas sector based on social and environmental considerations. Other significant investors and asset managers, both domestically and internationally, have published ESG guidelines and disclosure standards that companies in which they invest are expected to adopt or follow.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other stakeholders have pressured commercial and investment banks and other capital providers to stop or limit funding of oil and natural gas projects and have pressured insurance underwriters to limit coverages to companies engaged in the extraction of fossil fuel reserves. Institutional lenders that provide financing to energy companies have also become more attentive to sustainable lending practices, and some may elect not to provide traditional energy producers or companies that support such producers with funding. With the continued volatility in oil and natural gas prices and elevated interest rates, which have increased the cost of borrowing, certain investors have emphasized capital efficiency and free cash flow from earnings as key drivers for energy companies, especially those primarily focused in the shale plays. This may also result in an increase in our expenses and a reduction of revenues and available capital funding for potential development projects,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impacting our future financial results. Furthermore, if we are unable to achieve the desired level of capital efficiency or free cash flow within the timeframe expected by the market, our stock price may be adversely affected.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shareholder activism has been recently increasing in the oil and gas industry, and shareholders may attempt to effect changes to our business or governance, whether by shareholder proposals, public campaigns, proxy solicitations or otherwise. Organizations that provide information to investors on corporate governance and related matters have developed ratings processes for evaluating companies on their approach to ESG matters, and such ratings are used by some investors to inform their investment and voting decisions. Unfavorable ESG ratings and recent activism directed at shifting funding away from companies with energy-related assets could lead to increased negative investor sentiment toward us and to the diversion of investment to other industries, which could have an adverse effect on our stock price and our access to and costs of capital.</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Future sales of shares of our common stock by existing shareholders and future offerings of our common stock by us could depress the price of our common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decline as a result of sales of a large number of shares of our common stock in the market, including shares of equity or debt securities convertible into common stock, and the perception that these sales could occur may also depress the market price of our common stock. If our existing shareholders, including directors or officers, sell, or indicate an intent to sell, substantial amounts of our common stock in the public market, the trading price of our common stock could decline significantly. Sales of our common stock may make it more difficult for us to sell equity securities in the future at a time and at a price that we deem appropriate. These sales could also cause our stock price to decrease and make it more difficult for you to sell shares of our common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sell or issue additional shares of common stock or equity or debt securities convertible into common stock in public or private offerings or in connection with acquisitions. We cannot predict the size of future issuances of our common stock or convertible securities or the effect, if any, that future issuances and sales of shares of our common stock or convertible securities would have on the market price of our common stock.</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directors and executive officers own a significant percentage of our equity, which could give them influence in corporate transactions and other matters, and their interests could differ from other shareholders.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18, 2025, our directors and executive officers beneficially owned approximately 5.8% of our outstanding common stock. These shareholders could influence or control to some degree the outcome of matters requiring a shareholder vote, including the election of directors, the adoption of any amendment to our certificate of formation or bylaws and the approval of mergers and other significant corporate transactions. Their influence or control of the Company may have the effect of delaying or preventing a change of control of the Company and may adversely affect the voting and other rights of other shareholders. In addition, due to their ownership interest in our common stock, our directors and executive officers may be able to remain entrenched in their positions.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Board can authorize the issuance of preferred stock, which could diminish the rights of holders of our common stock and make a change of control of the Company more difficult even if it might benefit our shareholders.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preferred stock, depending upon the rights, preferences and designations of the preferred stock, may have the effect of delaying, deterring or preventing a change of control of the Company, even if that change of control might benefit our shareholders.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have difficulty managing growth in our business, which could have a material adverse effect on our business, financial condition, results of operations and cash flows and our ability to execute our business plan in a timely fashion.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Because of our size, growth in accordance with our business plans, if achieved, will place a significant strain on our financial, technical, operational and management resources. As and when we expand our activities, including our midstream business, through San Mateo or otherwise, there will be additional demands on our financial, technical and management resources. The failure to continue to upgrade our technical, administrative, operating and financial control systems or the occurrence of unexpected expansion difficulties, including the inability to recruit and retain experienced managers, geoscientists, petroleum engineers, landmen, midstream professionals, attorneys and financial and accounting professionals, could have a material adverse effect on our business, financial condition, results of operations and cash flows and our ability to execute our business plan in a timely fashion.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success depends, to a large extent, on our ability to retain our key personnel, including our chairman and chief executive officer, management and technical team and the members of our Board, and the loss of any key personnel or Board member could disrupt our business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Investors in our common stock must rely upon the ability, expertise, judgment and discretion of our management and the success of our technical team in identifying, evaluating and developing prospects and reserves. Our performance and success are dependent to a large extent on the efforts and continued employment of our management and technical personnel, including our Chairman and Chief Executive Officer, Joseph Wm. Foran. We do not believe that they could be quickly replaced with personnel of equal experience and capabilities, and their successors may not be as effective. We have entered into employment agreements with Mr. Foran and other key personnel. However, these employment agreements do not ensure that these individuals will remain in our employment. If Mr. Foran or other key personnel resign or become unable to continue in their present roles and if they are not adequately replaced, our business operations could be adversely affected. With the exception of Mr. Foran, we do not maintain, nor do we plan to obtain, any insurance against the loss of any of these individuals.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an active Board that meets at least quarterly throughout the year and is closely involved in our business and the determination of our operational strategies. Members of our Board work closely with management to identify potential prospects, acquisitions and areas for further development. If any of our directors resign or become unable to continue in their present role, it may be difficult to find replacements with the same knowledge and experience and, as a result, our operations may be adversely affected.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It has also been widely reported in the press and elsewhere that businesses have faced a more challenging hiring environment since the onset of the COVID-19 pandemic and the subsequent recovery, which has resulted in increased costs to attract skilled labor, such as higher wages or costs for contractors. We may experience employee turnover or labor shortages if our business requirements, compensation, benefits and/or perquisites are inconsistent with the expectations of current or prospective employees, or if workers pursue employment in fields with less volatility than in the energy industry. If we are unsuccessful in our efforts to attract and retain sufficient qualified personnel on terms acceptable to us, or do so at rates necessary to maintain our competitive position, our business could be adversely affected.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cyber incident could occur and result in information theft, data corruption, operational disruption or financial loss.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like the oil and natural gas industry in general, is dependent on digital technologies to conduct certain exploration, development, production, gathering, processing and financial activities, including technologies that are managed by third-party service providers or other providers to our industry on whom we directly or indirectly rely to help us collect, host or process information. We depend on such digital technology to, among other things, estimate oil and natural gas reserves quantities, plan, execute and analyze drilling, completion, production, gathering, processing and disposal operations, process and record financial and operating data and communicate with employees, shareholders, royalty owners and other third-party industry participants. Industrial control systems, such as our SCADA systems, control important processes and facilities that are critical to our operations.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While we and our third-party service providers commit resources to the design, implementation and monitoring of our information systems, there is no guarantee that these security measures will provide absolute security. Despite these security measures, we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 If any of such programs or systems were to fail or create erroneous information in our hardware or software network infrastructure or we were subject to cyberspace breaches, ransomware or other malware, phishing or social engineering schemes or attacks or other cybersecurity threats or attacks, possible consequences include financial losses, damage to our reputation and the inability to engage in any of the aforementioned activities. Any such consequence could have a material adverse effect on our business. In addition, any failure of our third-party providers’ computer systems, or those of our customers, suppliers or others with whom we do business, could materially disrupt our ability to operate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experienced certain phishing schemes and efforts to access our network, we have not experienced any material losses due to cyber incidents. However, we may suffer such losses in the future. If our or our third-party providers’ systems for protecting against cyber incidents prove to be insufficient, we could be adversely affected by unauthorized access to proprietary or other sensitive information, which could lead to data corruption, communication interruption, exposure of our or third parties’ confidential or proprietary information, disruptions of our current or planned business operations or transactions, damage to our reputation or financial loss. Additionally, costs for insurance may also increase as a result of cybersecurity threats, and insurance against losses relating to cyber incidents may become more difficult to obtain.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cyber threats continue to evolve, we may be required to expend additional resources to continue to modify and further enhance our protective systems or to investigate and remediate any vulnerabilities. In addition, the continuing and evolving threat of cybersecurity attacks has resulted in evolving legal and compliance matters, including increased regulatory focus on prevention, mitigation and notification, which could lead to increased regulatory compliance costs, insurance coverage cost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expenditures. Any failure by us to comply with any additional regulations could result in significant penalties and liability to us, and we cannot predict the potential impact to our business or the energy industry resulting from additional regulations. We may also be subject to regulatory investigations or litigation relating to cybersecurity issues.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Provisions of our certificate of formation, bylaws and Texas law may have anti-takeover effects that could prevent a change in control even if it might be beneficial to our shareholders.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formation and bylaws contain certain provisions that may discourage, delay or prevent a merger or acquisition of the Company or other change in control transaction that our shareholders may consider favorable. These provisions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authorization for our Board to issue preferred stock without shareholder approval;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classified Board so that not all members of our Board are elected at one time;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prohibition of cumulative voting in the election of directors;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limitation on the ability of shareholders to call special meetings to those owning at least 25% of our outstanding shares of common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Provisions of Texas law may also discourage, delay or prevent someone from acquiring or merging with us, which may cause the market price of our common stock to decline. Under Texas law, a shareholder who beneficially owns more than 20% of our voting stock, or an affiliated shareholder, cannot acquire us for a period of three years from the date this person became an affiliated shareholder, unless various conditions are met, such as approval of the transaction by our Board before this person became an affiliated shareholder or approval of the holders of at least two-thirds of our outstanding voting shares not beneficially owned by the affiliated shareholder.</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We operate in a litigious environment and may be involved in legal proceedings that could have a material adverse effect on our results of operations and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Like many oil and natural gas companies, we are from time to time involved in various legal and other proceedings in the ordinary course of business, such as title, royalty or contractual disputes, regulatory compliance matters and personal injury or property damage matters. Such legal proceedings are inherently uncertain and their results cannot be predicted. Regardless of the outcome, such proceedings could have a material adverse impact on us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our business practices, which could materially and adversely affect our business, operating results and financial condition. Accruals for such liability, penalties or sanctions may be insufficient. Judgments and estimates to determine accruals or range of losses related to legal and other proceedings could change from one period to the next, and such changes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importance of developing, implementing and maintaining cybersecurity measures to better safeguard our information systems and protect the confidentiality, integrity and availability of our data.</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Managing Material Risks and Integrated Overall Risk Management</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integrated cybersecurity into our broader risk management framework. Our risk management team works closely with our IT department to evaluate and address cybersecurity risks in alignment with our business objectives and operational needs. The Company requires the Board and employees to complete cybersecurity training related to the physical security of assets, data privacy and other information security policies and procedures.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Engage Third Parties on Risk Management</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Recognizing the complexity and evolving nature of cybersecurity threats, the Company engages with a range of external experts, including cybersecurity consultants in evaluating and testing our risk management systems. Our collaboration with these third parties includes regular audits, threat assessments, penetration tests and consultation on security enhancements.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Oversee Third-Party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69"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are aware of the risks associated with third-party vendors, service providers and business partners, we have implemented processes to oversee and manage these risks. We conduct initial risk assessments of third-party providers before engagement. These assessments include due diligence reviews of third parties that have access to our networks, confidential information and information systems in order to assess the risks from cybersecurity threats. This approach is designed to mitigate risks related to data breaches or other security incidents originating from third parties.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from Cybersecurity Threats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18, 2025, we were not aware of any cybersecurity threats or incidents that have materially affected or are reasonably likely to materially affect the Company, including our business strategy, results of operations or financial standing. However, there can be no assurance that our cybersecurity processes will prevent or mitigate cybersecurity incidents or threats and that our efforts will always be successful. For further discussion regarding our cybersecurity risks, see “Risk Factors—General Risk Factors—A cyber incident could occur and result in information theft, data corruption, operational disruption or financial loss.”</w:t>
      </w:r>
    </w:p>
    <w:p>
      <w:pPr>
        <w:pStyle w:val="TextBody"/>
        <w:bidi w:val="0"/>
        <w:spacing w:before="0" w:after="0"/>
        <w:ind w:left="0" w:right="0" w:firstLine="45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aware of the critical nature of managing risks associated with cybersecurity threats and has established oversight mechanisms at the Board and management levels to ensure effective governance in managing risks associated with cybersecurity threats.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Board Oversight</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oversight of cybersecurity risks and, specifically, the Audit Committee of the Board is charged with the oversight of the Company’s guidelines and policies to govern the process by which risk assessment and risk management are undertaken by management, including with respect to cybersecurity risks. Our Board is composed of members with diverse expertise, including risk management, technology and finance, which experience provides them with the skills needed to oversee cybersecurity risks effectively.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Role Managing Risk</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IT Committee, which includes senior executives and other members of management, meets regularly to monitor and discuss cybersecurity issues. The Senior Vice President of Information Technology, the Executive Vice President and Chief Accounting Officer (“CAO”) and the Executive Vice President, General Counsel and Head of M&amp;A (“GC”) play a pivotal role in informing the Board on cybersecurity risks. They provide comprehensive briefings to the Board on a regular basis, with a minimum frequency of once per year. These briefings encompass a broad range of topics,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current cybersecurity landscape and emerging threats;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status of ongoing cybersecurity initiatives and strategies;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incident reports and learnings from any cybersecurity events;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compliance with regulatory requirements and industry standards.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scheduled meetings, the Board, Senior Vice President of Information Technology, CAO and GC maintain an ongoing dialogue regarding emerging or potential cybersecurity risks. Together, they receive updates on significant developments in the cybersecurity domain, ensuring the Board’s oversight is proactive and responsive. The Board actively participates in strategic decisions related to cybersecurity, offering guidance and approval for major initiatives. This involvement ensures that cybersecurity considerations are integrated into the broader strategic objectives of the Company.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Risk Management Personnel</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Primary responsibility for assessing, monitoring and managing our cybersecurity risks rests with the Senior Vice President of Information Technology. With over 35 years of experience in the information technology field, he brings a wealth of expertise to his role. His in-depth knowledge and experience are instrumental in developing and executing our cybersecurity strategies. Our Senior Vice President of Information Technology tests our compliance with standards, remediates known risks and leads our employee training program.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Reporting to the Board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Vice President of Information Technology regularly informs the Chief Executive Officer and GC of all aspects related to cybersecurity risks and incidents. This ensures that the highest levels of management are kept abreast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0"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posture and potential risks facing the Company. Furthermore, significant cybersecurity matters and strategic risk management decisions are escalated to the Board, ensuring that they have comprehensive oversight and can provide guidance on critical cybersecurity issues.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Monitor Cybersecurity Incidents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Vice President of Information Technology monitors the latest developments in cybersecurity, including potential threats and innovative risk management techniques. The Senior Vice President of Information Technology implements and oversees processes for the regular monitoring of our information systems. This includes the deployment of advanced security measures and regular system audits to identify potential vulnerabilities. In the event of a cybersecurity incident, the Senior Vice President of Information Technology is equipped with an incident response plan. This plan includes immediate actions to mitigate the impact and long-term strategies for remediation and prevention of future incidents.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“Business” for descriptions of our properties. We also have various operating leases for rental of office space and office and field equipment. See Note 4 to the consolidated financial statements in this Annual Report for the future minimum rental payments. Such information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 </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1"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Market Information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are traded on the NYSE under the symbol “MTDR.” Our shares have been traded on the NYSE since February 2, 2012. Prior to trading on the NYSE, there was no established public trading market for our common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18, 2025, we had 125,207,212 shares of common stock outstanding held by approximately 396 record holders, excluding shareholders for whom shares are held in “nominee” or “street” name.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each of the first, second and third quarters of 2024, our Board declared quarterly cash dividends of $0.20 per share of common stock. In October 2024, the Board amended our dividend policy to increase the quarterly dividend to $0.25 per share of common stock and also declared a quarterly cash dividend of $0.25 per share of common stock. In February 2025, the Board amended our dividend policy to increase the quarterly dividend to $0.3125 per share of common stock and also declared a quarterly cash dividend of $0.3125 per share of common stock payable on March 14, 2025 to shareholders of record as of February 28, 2025. We expect that, based on current circumstances, comparable cash dividends will continue to be paid in the foreseeable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securities authorized for issuance under our equity compensation plans as of December 31, 2024.</w:t>
      </w:r>
    </w:p>
    <w:tbl>
      <w:tblPr>
        <w:tblW w:w="10205" w:type="dxa"/>
        <w:jc w:val="left"/>
        <w:tblInd w:w="0" w:type="dxa"/>
        <w:tblLayout w:type="fixed"/>
        <w:tblCellMar>
          <w:top w:w="28" w:type="dxa"/>
          <w:left w:w="28" w:type="dxa"/>
          <w:bottom w:w="28" w:type="dxa"/>
          <w:right w:w="28" w:type="dxa"/>
        </w:tblCellMar>
      </w:tblPr>
      <w:tblGrid>
        <w:gridCol w:w="682"/>
        <w:gridCol w:w="599"/>
        <w:gridCol w:w="520"/>
        <w:gridCol w:w="110"/>
        <w:gridCol w:w="110"/>
        <w:gridCol w:w="110"/>
        <w:gridCol w:w="905"/>
        <w:gridCol w:w="747"/>
        <w:gridCol w:w="749"/>
        <w:gridCol w:w="110"/>
        <w:gridCol w:w="110"/>
        <w:gridCol w:w="110"/>
        <w:gridCol w:w="551"/>
        <w:gridCol w:w="1566"/>
        <w:gridCol w:w="310"/>
        <w:gridCol w:w="110"/>
        <w:gridCol w:w="110"/>
        <w:gridCol w:w="110"/>
        <w:gridCol w:w="853"/>
        <w:gridCol w:w="714"/>
        <w:gridCol w:w="1019"/>
      </w:tblGrid>
      <w:tr>
        <w:trPr/>
        <w:tc>
          <w:tcPr>
            <w:tcW w:w="6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Compensation Plan Information</w:t>
            </w:r>
          </w:p>
        </w:tc>
      </w:tr>
      <w:tr>
        <w:trPr/>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to be Issued Upon Exercise of Outstanding Options, Warrants and Rights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of Outstanding Options, Warrants and Rights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Remaining Available for Future Issuance Under Equity Compensation Plans</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Equity compensation plans approved by security holders</w:t>
            </w:r>
            <w:r>
              <w:rPr>
                <w:rFonts w:ascii="Times New Roman;sans-serif" w:hAnsi="Times New Roman;sans-serif"/>
                <w:b w:val="false"/>
                <w:color w:val="000000"/>
                <w:sz w:val="10"/>
              </w:rPr>
              <w:t>(1)(2)(3)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1,090,557 </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7,850,907 </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 plans not approved by security holders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1,090,557 </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7,850,907 </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(1)Our Board has determined not to make any additional grants of awards under the Matador Resources Company Amended and Restated 2012 Long-Term Incentive Plan (the “2012 Incentive Plan”).</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(2)The Matador Resources Company 2019 Long-Term Incentive Plan (the “2019 Incentive Plan”) was adopted by our Board in April 2019 and approved by our shareholders on June 6, 2019. For a description of our 2019 Incentive Plan, see Note 9 to the consolidated financial statements in this Annual Report.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(3)The Matador Resources Company 2022 Employee Stock Purchase Plan (the “ESPP”) was adopted by our Board in April 2022 and approved by our shareholders on June 10, 2022. For a description of our ESPP, see Note 9 to the consolidated financial statements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2"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Share Performance Graph</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return on a $100 investment in our common stock from December 31, 2019 through December 31, 2024, to that of the cumulative return on a $100 investment in the Russell 2000 Index and the Russell 2000 Energy Index for the same period. In calculating the cumulative return, reinvestment of dividends, if any, is assumed.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graph is not “soliciting material,” is not deemed filed with the SEC and is not to be incorporated by reference in any of our filings under the Securities Act or the Exchange Act, whether made before, on, or after the date hereof and irrespective of any general incorporation language in any such filing. This graph is included in accordance with the SEC’s disclosure rules. This historic stock performance is not indicative of future stock performance.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Comparison of Cumulative Total Return Among</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the Russell 2000 Index</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the Russell 2000 Energy Index</w:t>
      </w:r>
    </w:p>
    <w:p>
      <w:pPr>
        <w:pStyle w:val="TextBody"/>
        <w:bidi w:val="0"/>
        <w:spacing w:lineRule="auto" w:line="288" w:before="0" w:after="0"/>
        <w:jc w:val="center"/>
        <w:rPr/>
      </w:pPr>
      <w:r>
        <w:rPr>
          <w:color w:val="000000"/>
        </w:rPr>
        <w:t> </w:t>
      </w:r>
      <w:r>
        <w:rPr/>
        <w:drawing>
          <wp:inline distT="0" distB="0" distL="0" distR="0">
            <wp:extent cx="6496050" cy="4572000"/>
            <wp:effectExtent l="0" t="0" r="0" b="0"/>
            <wp:docPr id="7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 descr=""/>
                    <pic:cNvPicPr>
                      <a:picLocks noChangeAspect="1" noChangeArrowheads="1"/>
                    </pic:cNvPicPr>
                  </pic:nvPicPr>
                  <pic:blipFill>
                    <a:blip r:embed="rId2"/>
                    <a:stretch>
                      <a:fillRect/>
                    </a:stretch>
                  </pic:blipFill>
                  <pic:spPr bwMode="auto">
                    <a:xfrm>
                      <a:off x="0" y="0"/>
                      <a:ext cx="6496050" cy="45720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Repurchase of Equity by the Company or Affiliates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2024, the Company re-acquired shares of common stock from certain employees in order to satisfy the employees’ tax liability in connection with the vesting of restricted stock.</w:t>
      </w:r>
    </w:p>
    <w:tbl>
      <w:tblPr>
        <w:tblW w:w="10205" w:type="dxa"/>
        <w:jc w:val="left"/>
        <w:tblInd w:w="0" w:type="dxa"/>
        <w:tblLayout w:type="fixed"/>
        <w:tblCellMar>
          <w:top w:w="28" w:type="dxa"/>
          <w:left w:w="28" w:type="dxa"/>
          <w:bottom w:w="28" w:type="dxa"/>
          <w:right w:w="28" w:type="dxa"/>
        </w:tblCellMar>
      </w:tblPr>
      <w:tblGrid>
        <w:gridCol w:w="630"/>
        <w:gridCol w:w="417"/>
        <w:gridCol w:w="422"/>
        <w:gridCol w:w="109"/>
        <w:gridCol w:w="109"/>
        <w:gridCol w:w="109"/>
        <w:gridCol w:w="517"/>
        <w:gridCol w:w="492"/>
        <w:gridCol w:w="493"/>
        <w:gridCol w:w="109"/>
        <w:gridCol w:w="109"/>
        <w:gridCol w:w="109"/>
        <w:gridCol w:w="288"/>
        <w:gridCol w:w="842"/>
        <w:gridCol w:w="149"/>
        <w:gridCol w:w="109"/>
        <w:gridCol w:w="109"/>
        <w:gridCol w:w="109"/>
        <w:gridCol w:w="771"/>
        <w:gridCol w:w="771"/>
        <w:gridCol w:w="773"/>
        <w:gridCol w:w="109"/>
        <w:gridCol w:w="109"/>
        <w:gridCol w:w="109"/>
        <w:gridCol w:w="680"/>
        <w:gridCol w:w="680"/>
        <w:gridCol w:w="972"/>
      </w:tblGrid>
      <w:tr>
        <w:trPr/>
        <w:tc>
          <w:tcPr>
            <w:tcW w:w="63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Purchased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of Shares that May Yet Be Purchased under the Plans or Programs</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to October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41,958 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2024 to November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2024 to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42,695 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shares were not re-acquired pursuant to any repurchase plan or program. The Company re-acquired shares of common stock from certain employees in order to satisfy the employees’ tax liability in connection with the vesting of restricted stock.</w:t>
      </w:r>
    </w:p>
    <w:p>
      <w:pPr>
        <w:pStyle w:val="TextBody"/>
        <w:bidi w:val="0"/>
        <w:spacing w:before="240" w:after="283"/>
        <w:jc w:val="left"/>
        <w:rPr/>
      </w:pPr>
      <w:r>
        <w:rPr/>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6. Selected Financial Data.</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Not applicable.</w:t>
      </w: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0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consolidated financial statements and related notes appearing elsewhere in this Annual Report. The following discussion contains “forward-looking statements” that reflect our future plans, estimates, beliefs and expected performance. We caution that assumptions, expectations, projections, intentions or beliefs about future events may, and often do, vary from actual results, and the differences can be material. Some of the key factors that could cause actual results to vary from our expectations include changes in oil or natural gas prices, the timing of planned capital expenditures, availability under our Credit Agreement and the San Mateo Credit Facility, uncertainties in estimating proved reserves and forecasting production results, operational factors affecting our oil and natural gas and midstream operations, the condition of the capital markets generally, as well as our ability to access them, the proximity to and capacity of gathering, processing and transportation facilities, availability and integration of acquisitions, uncertainties regarding environmental regulations or litigation and other legal or regulatory developments affecting our business, as well as those factors discussed below and elsewhere in this Annual Report, all of which are difficult to predict. In light of these risks, uncertainties and assumptions, the forward-looking events discussed may not occur. See “Cautionary Note Regarding Forward-Looking Statements.”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For a comparison of our results of operations for the years ended December 31, 2023 and December 31, 2022, see “Management’s Discussion and Analysis of Financial Condition and Results of Operations” in our Annual Report on Form 10-K for the year ended December 31, 2023, filed with the SEC on February 27, 2024.</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Eagle Ford shale play in South Texas and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2024 Operational Highlights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began 2024 </w:t>
      </w:r>
      <w:r>
        <w:rPr>
          <w:rFonts w:ascii="Times New Roman;sans-serif" w:hAnsi="Times New Roman;sans-serif"/>
          <w:b w:val="false"/>
          <w:color w:val="000000"/>
          <w:sz w:val="20"/>
          <w:shd w:fill="FFFFFF" w:val="clear"/>
        </w:rPr>
        <w:t xml:space="preserve">operating seven drilling rigs in the Delaware Basin. We added an eighth operated drilling rig in the first quarter of 2024 and a ninth operated drilling rig late in the second quarter of 2024. Upon the consummation of the Ameredev Acquisition, we continued operating a total of nine drilling rigs for the combined Matador and Ameredev properties. </w:t>
      </w:r>
      <w:r>
        <w:rPr>
          <w:rFonts w:ascii="Times New Roman;sans-serif" w:hAnsi="Times New Roman;sans-serif"/>
          <w:b w:val="false"/>
          <w:color w:val="000000"/>
          <w:sz w:val="20"/>
        </w:rPr>
        <w:t>We have built significant optionality into our drilling program, which should generally allow us to decrease or increase the number of rigs we operate as necessary based on changing commodity prices and other factors. We were able to achieve D/C/E capital expenditures for 2024 of $1.32 billion, which was within our estimated range for 2024 D/C/E capital expenditures of $1.15 to $1.35 billion, as provided on October 22,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completed and began producing oil and natural gas from 124 gross (101.9 net) operated and 127 gross (8.3 net) horizontal non-operated wells in the Delaware Basin. We did not conduct any operated drilling and completion activities on our leasehold properties in South Texas or Northwest Louisiana during 2024, although we did participate in the drilling and completion of eight gross (0.1 net) non-operated Haynesville shale wells that began producing in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our 2024 capital expenditures were directed to (i) the further delineation and development of our leasehold position in the Delaware Basin, including properties acquired in the Ameredev Acquisition, (ii) the acquisition, construction, installation and maintenance of midstream assets, (iii) our participation in non-operated wells and (iv) the acquisition of additional producing properties, leasehold and mineral interests prospective for the Wolfcamp, Bone Spring and other liquids-rich plays in the Delaware Basin, including the Ameredev Acquisition.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average daily oil equivalent production for the year ended December 31, 2024 was 170,751 BOE per day, including 99,808 Bbl of oil per day and 425.7 MMcf of natural gas per day, an increase of 30%, as compared to 131,813 BOE per day, including 75,457 Bbl of oil per day and 338.1 MMcf of natural gas per day, for the year ended December 31, 2023. Our average daily oil production in 2024 was 99,808 Bbl of oil per day, an increase of 32%, as compared to 75,457 Bbl of oil per day in 2023. This increase in oil production was primarily a result of the Ameredev Acquisition and our ongoing delineation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drilling activities in the Delaware Basin. Our average daily natural gas production for the year ended December 31, 2024 was 425.7 MMcf per day, an increase of 26%, as compared to 338.1 MMcf per day in 2023. This increase in natural gas production was primarily attributable to the Ameredev Acquisition and our ongoing delineation and development drilling activities in the Delaware Basin. Oil production comprised 58% and 57% of our total production for the years ended December 31, 2024 and 2023, respectively.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our oil and natural gas revenues were $3.14 billion, an increase of 24% from oil and natural gas revenues of $2.55 billion for the year ended December 31, 2023. Our oil revenues increased 29% to 2.77 billion, as compared to $2.14 billion for the year ended December 31, 2023. The increase in oil revenues resulted from the 33% increase in our oil production noted above, which was partially offset by a 3% decrease in the weighted average oil price realized for the year ended December 31, 2024 to $75.89 per Bbl, as compared to $77.88 per Bbl realized for the year ended December 31, 2023. Our natural gas revenues decreased 7% to $371.5 million, as compared to $400.7 million for the year ended December 31, 2023. The decrease in natural gas revenues resulted from a decrease in our weighted average realized natural gas price of $2.38 per Mcf in 2024, as compared to $3.25 per Mcf in 2023, which was partially offset by the 26% increase in natural gas production for the year ended December 31, 2024 noted above.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reported net income attributable to Matador shareholders of approximately $885.3 million, or $7.14 per diluted common share, on a GAAP basis for the year ended December 31, 2024, as compared to a net income of $846.1 million, or $7.05 per diluted common share, for the year ended December 31, 2023. Adjusted EBITDA for the year ended December 31, 2024 was $2.30 billion, as compared to Adjusted EBITDA of $1.85 billion for the year ended December 31, 2023. Adjusted EBITDA is a non-GAAP financial measure. For a definition of Adjusted EBITDA and a reconciliation of Adjusted EBITDA to our net income and net cash provided by operating activities, see “Management’s Discussion and Analysis of Financial Condition and Results of Operations—Non-GAAP Financial Measures.”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our estimated total proved oil and natural gas reserves were 611.5 million BOE, including 361.8 million Bbl of oil and 1.50 Tcf of natural gas, with a Standardized Measure of $7.38 billion and a PV-10 of $9.23 billion. At December 31, 2023, our estimated total proved oil and natural gas reserves were 460.1 million BOE, including 272.3 million Bbl of oil and 1.13 Tcf of natural gas, with a Standardized Measure of $6.11 billion and a PV-10 of $7.70 billion. Our estimated total proved reserves of 611.5 million BOE at December 31, 2024 represented a 33% year-over-year increase, as compared to 460.1 million BOE at December 31, 2023. Our estimated proved oil reserves were 361.8 million Bbl at December 31, 2024, an increase of 33%, as compared to 272.3 million Bbl at December 31, 2023, and our estimated proved natural gas reserves were 1.50 Tcf at December 31, 2024, an increase of 33%, as compared to 1.13 Tcf at December 31, 2023. Proved oil reserves comprised 59% of our total proved reserves at each of December 31, 2024 and 2023. At December 31, 2024, 60% of our total proved reserves were proved developed reserves, as compared to 63% at December 31, 2023. At December 31, 2024, approximately 99% of our total proved oil and natural gas reserves were attributable to our properties in the Delaware Basin.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both December 31, 2024 and December 31, 2023, these reserves estimates were based on evaluations prepared by our engineering staff and have been audited for their reasonableness and conformance with SEC guidelines by Netherland, Sewell &amp; Associates, Inc., independent reservoir engineers. Standardized Measure represents the present value of estimated future net cash flows from proved reserves, less estimated future development, production, plugging and abandonment costs and income tax expenses, discounted at 10% to reflect the timing of future cash flows. Standardized Measure is not an estimate of the fair market value of our properties. PV-10 is a non-GAAP financial measure. For a reconciliation of PV-10 to Standardized Measure, see “Business—Estimated Proved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2024 Midstream Highlights</w:t>
      </w:r>
    </w:p>
    <w:p>
      <w:pPr>
        <w:pStyle w:val="TextBody"/>
        <w:bidi w:val="0"/>
        <w:spacing w:lineRule="auto" w:line="288" w:before="12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18, 2024, we completed the Ameredev Acquisition, which included approximately 180 miles of gas gathering, water gathering and oil transportation and gathering pipeline assets.</w:t>
      </w:r>
    </w:p>
    <w:p>
      <w:pPr>
        <w:pStyle w:val="TextBody"/>
        <w:bidi w:val="0"/>
        <w:spacing w:lineRule="auto" w:line="288" w:before="12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San Mateo achieved strong operating results in 2024, highlighted by (i) free cash flow generation, (ii) increased midstream services revenues and (iii) increased natural gas gathering and processing volumes, produced water handling volumes and oil gathering and transportation volumes. San Mateo is owned 51% by us and 49% by our joint venture partner, Five Point.</w:t>
      </w:r>
    </w:p>
    <w:p>
      <w:pPr>
        <w:pStyle w:val="TextBody"/>
        <w:bidi w:val="0"/>
        <w:spacing w:lineRule="auto" w:line="288" w:before="12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2024, we completed the Pronto Transaction, pursuant to which we contributed Pronto, a wholly-owned subsidiary of the Company, to San Mateo, and Five Point made a cash contribution to San Mateo of $171.5 million. In connection with the Pronto Transaction, the Company received a special distribution from San Mateo of approximately $219.8 million. In addition, the Company has the potential to earn up to $75.0 million in incentive payments from Five Point over a five-year period. San Mateo continues to be owned 51% by the Company and 49% by Five Point. </w:t>
      </w:r>
    </w:p>
    <w:p>
      <w:pPr>
        <w:pStyle w:val="TextBody"/>
        <w:bidi w:val="0"/>
        <w:spacing w:lineRule="auto" w:line="288" w:before="12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Pronto owns and operates the Marlan Processing Plant, which has a designed inlet capacity of 60 MMcf of natural gas per day. Pronto is expanding the Marlan Processing Plant to add an additional plant with a designed inlet capacity of 200 MMcf of natural gas per day, which would increase the total capacity of the Marlan Processing Plant to 260 MMcf of natural gas per day. </w:t>
      </w:r>
    </w:p>
    <w:p>
      <w:pPr>
        <w:pStyle w:val="TextBody"/>
        <w:bidi w:val="0"/>
        <w:spacing w:lineRule="auto" w:line="288" w:before="12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Pronto Transaction, the Company dedicated to Pronto its current and certain future leasehold interests in the Ranger and Antelope Ridge asset areas pursuant to 15-year, fixed fee natural gas gathering, compression, treating and processing agreements whereby Pronto will gather, compress, treat and process natural gas produced from the Company’s operated wells in northern Lea County, New Mexico. In addition, Pronto entered into certain agreements with Northwind, an affiliate of Five Point, whereby Northwind will treat certain sour gas gathered and delivered by Pronto in northern Lea County, New Mexico. Under these agreements, Northwind will redeliver the treated sweet gas from Pronto and other third-party customers to Pronto for processing.</w:t>
      </w:r>
    </w:p>
    <w:p>
      <w:pPr>
        <w:pStyle w:val="TextBody"/>
        <w:bidi w:val="0"/>
        <w:spacing w:lineRule="auto" w:line="288" w:before="12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completed our natural gas pipeline connections between Pronto and San Mateo and between Pronto and Matador’s acreage obtained in the Advance Acquisition. These connector pipelines provide further flow assurance and options for Matador and third-party customer natural gas, and resulted in Pronto and San Mateo’s plants operating at or above nameplate capacity at times during 2024.</w:t>
      </w:r>
    </w:p>
    <w:p>
      <w:pPr>
        <w:pStyle w:val="TextBody"/>
        <w:bidi w:val="0"/>
        <w:spacing w:lineRule="auto" w:line="288" w:before="12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San Mateo and Pronto also closed new midstream transactions with oil and natural gas producers and other counterparties in Eddy and Lea Counties, New Mexico, which are expected to generate additional natural gas gathering and processing and water handling volumes in future periods. A majority of these new opportunities reflect additional business awarded to San Mateo and Pronto by existing customers, which we believe is indicative of the quality of service San Mateo and Pronto provides to all of its customers in the Delaware Basin. </w:t>
      </w:r>
    </w:p>
    <w:p>
      <w:pPr>
        <w:pStyle w:val="TextBody"/>
        <w:bidi w:val="0"/>
        <w:spacing w:lineRule="auto" w:line="288" w:before="12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following the Pronto Transaction, San Mateo’s midstream system included: </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u w:val="single"/>
        </w:rPr>
        <w:t>Natural Gas Assets</w:t>
      </w:r>
      <w:r>
        <w:rPr>
          <w:rFonts w:ascii="Times New Roman;sans-serif" w:hAnsi="Times New Roman;sans-serif"/>
          <w:b w:val="false"/>
          <w:color w:val="000000"/>
          <w:sz w:val="20"/>
        </w:rPr>
        <w:t xml:space="preserve">: 520 MMcf per day of designed natural gas cryogenic processing capacity and approximately 295 miles of natural gas gathering pipelines in Eddy and Lea Counties, New Mexico and Loving County, Texas, including 43 miles of large diameter natural gas gathering lines spanning from the Stateline asset area to the Greater Stebbins Area in Eddy County, New Mexico; </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u w:val="single"/>
        </w:rPr>
        <w:t>Oil Assets</w:t>
      </w:r>
      <w:r>
        <w:rPr>
          <w:rFonts w:ascii="Times New Roman;sans-serif" w:hAnsi="Times New Roman;sans-serif"/>
          <w:b w:val="false"/>
          <w:color w:val="000000"/>
          <w:sz w:val="20"/>
        </w:rPr>
        <w:t>: three oil CDPs with over 100,000 Bbl of designed oil throughput capacity and approximately 110 miles of oil gathering and transportation pipelines in Eddy County, New Mexico and Loving County, Texas, as well as a 400,000-acre joint development area with Plains to gather our and other producers’ oil production in Eddy County, New Mexico; and</w:t>
      </w:r>
    </w:p>
    <w:p>
      <w:pPr>
        <w:pStyle w:val="TextBody"/>
        <w:bidi w:val="0"/>
        <w:spacing w:lineRule="auto" w:line="288" w:before="120" w:after="160"/>
        <w:ind w:left="0" w:right="0" w:hanging="360"/>
        <w:jc w:val="left"/>
        <w:rPr/>
      </w:pPr>
      <w:r>
        <w:rPr>
          <w:color w:val="000000"/>
        </w:rPr>
        <w:t>•</w:t>
      </w:r>
      <w:r>
        <w:rPr>
          <w:rFonts w:ascii="Times New Roman;sans-serif" w:hAnsi="Times New Roman;sans-serif"/>
          <w:b w:val="false"/>
          <w:color w:val="000000"/>
          <w:sz w:val="20"/>
          <w:u w:val="single"/>
        </w:rPr>
        <w:t>Produced Water Assets</w:t>
      </w:r>
      <w:r>
        <w:rPr>
          <w:rFonts w:ascii="Times New Roman;sans-serif" w:hAnsi="Times New Roman;sans-serif"/>
          <w:b w:val="false"/>
          <w:color w:val="000000"/>
          <w:sz w:val="20"/>
        </w:rPr>
        <w:t>: 16 commercial salt water disposal wells and associated facilities with designed produced water disposal capacity of 475,000 Bbl per day and approximately 180 miles of produced water gathering pipelines in Eddy County, New Mexico and Loving County, Texas.</w:t>
      </w:r>
    </w:p>
    <w:p>
      <w:pPr>
        <w:pStyle w:val="TextBody"/>
        <w:bidi w:val="0"/>
        <w:spacing w:before="120" w:after="16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2025 Capital Expenditure Budget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expect that development of our Delaware Basin assets will be the primary focus of our operations and capital expenditures in 2025 and currently operate </w:t>
      </w:r>
      <w:r>
        <w:rPr>
          <w:rFonts w:ascii="Times New Roman;sans-serif" w:hAnsi="Times New Roman;sans-serif"/>
          <w:b w:val="false"/>
          <w:color w:val="000000"/>
          <w:sz w:val="20"/>
          <w:shd w:fill="FFFFFF" w:val="clear"/>
        </w:rPr>
        <w:t xml:space="preserve">nine drilling rigs in the Delaware Basin. </w:t>
      </w:r>
      <w:r>
        <w:rPr>
          <w:rFonts w:ascii="Times New Roman;sans-serif" w:hAnsi="Times New Roman;sans-serif"/>
          <w:b w:val="false"/>
          <w:color w:val="000000"/>
          <w:sz w:val="20"/>
        </w:rPr>
        <w:t xml:space="preserve">We have built significant optionality into our drilling program, which should generally allow us to decrease or increase the number of rigs we operate as necessary based on changing commodity prices and other factors. Our 2025 estimated capital expenditure budget consists of $1.28 to $1.47 billion for D/C/E capital expenditures and $120.0 to $180.0 million for midstream capital expenditures, which reflects our proportionate share of San Mateo’s estimated 2025 capital expenditures as well as the estimated 2025 capital expenditures for other wholly-owned midstream projects. Substantially all of these 2025 estimated capital expenditures are expected to be allocated to (i) the further delineation and development of our leasehold position, (ii) the construction, installation and maintenance of midstream assets and (iii) our participation in certain non-operated well opportunities. Our 2025 Delaware Basin operated drilling program is expected to focus on the continued development of our various asset areas throughout the Delaware Basin, with a continued emphasis on drilling and completing a high percentage of longer horizontal wells.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$23.0 million in cash (excluding restricted cash) and $1.60 billion in undrawn borrowing capacity under the Credit Agreement (after giving effect to outstanding letters of credit based upon our elected borrowing commitment of $2.25 billion). We expect to fund our 2025 capital expenditures through a combination of cash on hand, operating cash flows and performance incentives paid to us by Five Point in connection with San Mateo. If capital expenditures were to exceed our operating cash flows in 2025, we expect to fund any excess capital expenditures, including for other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we have done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during 2025, we intend to continue evaluating the opportunistic acquisition of producing properties, acreage and mineral interests and midstream assets, principally in the Delaware Basin. These monetizations, divestitures and expenditures are opportunity-specific, and purchase price multiples and per-acre prices can vary significantly based on the asset or prospect. As a result, it is difficult to estimate these 2025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9"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2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revenues and production data for the periods indicated.</w:t>
      </w:r>
    </w:p>
    <w:tbl>
      <w:tblPr>
        <w:tblW w:w="8169" w:type="dxa"/>
        <w:jc w:val="left"/>
        <w:tblInd w:w="0" w:type="dxa"/>
        <w:tblLayout w:type="fixed"/>
        <w:tblCellMar>
          <w:top w:w="28" w:type="dxa"/>
          <w:left w:w="28" w:type="dxa"/>
          <w:bottom w:w="28" w:type="dxa"/>
          <w:right w:w="28" w:type="dxa"/>
        </w:tblCellMar>
      </w:tblPr>
      <w:tblGrid>
        <w:gridCol w:w="1310"/>
        <w:gridCol w:w="1147"/>
        <w:gridCol w:w="1158"/>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Revenues (in thousands):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oil and 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2,905,738 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Third-party midstream services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purchased 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3,504,981 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3,058,025 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Net Production Volumes:</w:t>
            </w:r>
            <w:r>
              <w:rPr>
                <w:rFonts w:ascii="Times New Roman;sans-serif" w:hAnsi="Times New Roman;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(MBbl)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oil equivalent (MBOE)</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Average daily production (BOE/d)</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Sales Prices: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without realized derivatives (per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with realized derivatives (per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without realized derivatives (per 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with realized derivatives (per Mcf)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(1)We report our production volumes in two streams: oil and natural gas, including both dry and liquids-rich natural gas. Revenues associated with NGLs are included with our natural gas revenues.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(2)Estimated using a conversion ratio of one Bbl of oil per six Mcf of natural gas.</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Year Ended December 31, 2024 as Compared to Year Ended December 31, 2023 </w:t>
      </w:r>
    </w:p>
    <w:p>
      <w:pPr>
        <w:pStyle w:val="TextBody"/>
        <w:bidi w:val="0"/>
        <w:spacing w:lineRule="auto" w:line="288" w:before="100" w:after="283"/>
        <w:ind w:left="0" w:right="0" w:firstLine="495"/>
        <w:jc w:val="left"/>
        <w:rPr/>
      </w:pPr>
      <w:r>
        <w:rPr>
          <w:rFonts w:ascii="Times New Roman;sans-serif" w:hAnsi="Times New Roman;sans-serif"/>
          <w:b w:val="false"/>
          <w:i/>
          <w:color w:val="000000"/>
          <w:sz w:val="20"/>
        </w:rPr>
        <w:t>Oil and natural gas revenues</w:t>
      </w:r>
      <w:r>
        <w:rPr>
          <w:rFonts w:ascii="Times New Roman;sans-serif" w:hAnsi="Times New Roman;sans-serif"/>
          <w:b w:val="false"/>
          <w:color w:val="000000"/>
          <w:sz w:val="20"/>
        </w:rPr>
        <w:t>. Our oil and natural gas revenues increased $598.2 million, or 24%, to $3.14 billion for the year ended December 31, 2024, as compared to $2.55 billion for the year ended December 31, 2023. Our oil revenues increased $627.5 million, or 29%, to $2.77 billion for the year ended December 31, 2024, as compared to $2.14 billion for the year ended December 31, 2023. This increase in oil revenues resulted from a 33% increase in our oil production to 36.5 million Bbl of oil for the year ended December 31, 2024, as compared to 27.5 million Bbl of oil</w:t>
      </w:r>
      <w:r>
        <w:rPr>
          <w:color w:val="000000"/>
          <w:shd w:fill="FFFFFF" w:val="clear"/>
        </w:rPr>
        <w:t xml:space="preserve"> </w:t>
      </w:r>
      <w:r>
        <w:rPr>
          <w:rFonts w:ascii="Times New Roman;sans-serif" w:hAnsi="Times New Roman;sans-serif"/>
          <w:b w:val="false"/>
          <w:color w:val="000000"/>
          <w:sz w:val="20"/>
        </w:rPr>
        <w:t>for the year ended December 31, 2023, which was partially offset by a 3% decrease in the weighted average oil price realized for the year ended December 31, 2024 to $75.89 per Bbl, as compared to $77.88 per Bbl realized for the year ended December 31, 2023. The increase in oil production was primarily attributable to the Ameredev Acquisition and our ongoing delineation and development drilling activities in the Delaware Basin. Our natural gas revenues decreased by $29.2 million, or 7%, to $371.5 million for the year ended December 31, 2024, as compared to $400.7 million for the year ended December 31, 2023. The decrease in natural gas revenues was primarily attributable to the 27% decrease in the weighted average natural gas price realized for the year ended December 31, 2024 to $2.38 per Mcf, as compared to $3.25 per Mcf realized for the year ended December 31, 2023, which was partially offset by a 26% increase in our natural gas production to 155.8 Bcf for the year ended December 31, 2024, as compared to 123.4 Bcf for the year ended December 31, 2023. The increase in natural gas production was primarily attributable to the Ameredev Acquisition and our ongoing delineation and development drilling activities in the Delaware Basin.</w:t>
      </w:r>
    </w:p>
    <w:p>
      <w:pPr>
        <w:pStyle w:val="TextBody"/>
        <w:bidi w:val="0"/>
        <w:spacing w:lineRule="auto" w:line="288" w:before="180" w:after="283"/>
        <w:ind w:left="0" w:right="0" w:firstLine="495"/>
        <w:jc w:val="left"/>
        <w:rPr/>
      </w:pPr>
      <w:r>
        <w:rPr>
          <w:rFonts w:ascii="Times New Roman;sans-serif" w:hAnsi="Times New Roman;sans-serif"/>
          <w:b w:val="false"/>
          <w:i/>
          <w:color w:val="000000"/>
          <w:sz w:val="20"/>
        </w:rPr>
        <w:t xml:space="preserve">Third-party midstream services revenues. </w:t>
      </w:r>
      <w:r>
        <w:rPr>
          <w:rFonts w:ascii="Times New Roman;sans-serif" w:hAnsi="Times New Roman;sans-serif"/>
          <w:b w:val="false"/>
          <w:color w:val="000000"/>
          <w:sz w:val="20"/>
        </w:rPr>
        <w:t>Our third-party midstream services revenues increased $18.9 million, or 15%, to $141.0 million for the year ended December 31, 2024, as compared to $122.2 million for the year ended December 31, 2023. Third-party midstream services revenues are those revenues from midstream operations related to third parties, including working interest owners in our operated wells. This increase was primarily attributable to (i) an increase in third-party produced water disposal revenues to $56.3 million for the year ended December 31, 2024, as compared to $45.3 million for the year ended December 31, 2023 and (ii) an increase in our oil transportation revenues to $17.3 million for the year ended December 31, 2024, as compared to $11.0 million for the year ended December 31,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Sales of purchased natural gas.</w:t>
      </w:r>
      <w:r>
        <w:rPr>
          <w:color w:val="000000"/>
        </w:rPr>
        <w:t xml:space="preserve"> </w:t>
      </w:r>
      <w:r>
        <w:rPr>
          <w:rFonts w:ascii="Times New Roman;sans-serif" w:hAnsi="Times New Roman;sans-serif"/>
          <w:b w:val="false"/>
          <w:color w:val="000000"/>
          <w:sz w:val="20"/>
        </w:rPr>
        <w:t xml:space="preserve">Our sales of purchased natural gas increased $44.2 million, or 30%, to $194.1 million for the year ended December 31, 2024, as compared to $149.9 million for the year ended December 31, 2023. This increase was primarily the result of a 45% increase in natural gas volumes sold, which was partially offset by an 11% decrease in natural gas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80"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prices realized. Sales of purchased natural gas primarily reflect those natural gas purchase transactions that we periodically enter into with third parties whereby we purchase natural gas and (i) subsequently sell the natural gas to other purchasers or (ii) process the natural gas at San Mateo’s cryogenic natural gas processing plants and subsequently sell the residue natural gas and NGLs to other purchasers. These revenues, and the expenses related to these transactions included in “Purchased natural gas,” are presented on a gross basis in our consolidated statements of income.</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Realized gain (loss) on derivatives</w:t>
      </w:r>
      <w:r>
        <w:rPr>
          <w:rFonts w:ascii="Times New Roman;sans-serif" w:hAnsi="Times New Roman;sans-serif"/>
          <w:b w:val="false"/>
          <w:color w:val="000000"/>
          <w:sz w:val="20"/>
        </w:rPr>
        <w:t xml:space="preserve">. Our realized net gain on derivatives was $12.7 million for the year ended December 31, 2024, as compared to a realized net loss of approximately $9.6 million for the year ended December 31, 2023. We realized a net gain of approximately $12.7 million related to our natural gas basis differential swap contracts for the year ended December 31, 2024, resulting primarily from natural gas basis differentials that were below the fixed prices of our natural gas basis differential swap contracts. We realized a net loss of approximately $9.6 million related to our natural gas costless collar and natural gas basis differential swap contracts for the year ended December 31, 2023, resulting primarily from natural gas basis differentials that were above the strike price of our natural gas basis differential swap contracts, offset by natural gas prices that were below the floor prices of certain of our natural gas costless collar contracts. We realized an average gain on our natural gas derivatives of approximately $0.09 per Mcf of natural gas produced during the year ended December 31, 2024, as compared to an average loss on our natural gas derivatives of approximately $0.08 per Mcf of natural gas produced during the year ended December 31, 2023.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Unrealized gain (loss) on derivatives</w:t>
      </w:r>
      <w:r>
        <w:rPr>
          <w:rFonts w:ascii="Times New Roman;sans-serif" w:hAnsi="Times New Roman;sans-serif"/>
          <w:b w:val="false"/>
          <w:color w:val="000000"/>
          <w:sz w:val="20"/>
        </w:rPr>
        <w:t>. Our unrealized gain on derivatives was approximately $13.3 million for the year ended December 31, 2024, as compared to an unrealized loss of $1.3 million for the year ended December 31, 2023. During the year ended December 31, 2024, the aggregate net fair value of our open oil costless collar and natural gas basis differential swap contracts changed from a net asset of approximately $2.7 million to a net asset of approximately $16.0 million, resulting in an unrealized gain on derivatives of approximately $13.3 million for the year ended December 31, 2024. During the year ended December 31, 2023, the aggregate net fair value of our open natural gas derivative contracts changed from a net asset of approximately $3.9 million to a net asset of approximately $2.7 million, resulting in an unrealized loss on derivatives of approximately $1.3 million for the year ended December 31, 2023.</w:t>
      </w:r>
    </w:p>
    <w:p>
      <w:pPr>
        <w:pStyle w:val="TextBody"/>
        <w:bidi w:val="0"/>
        <w:spacing w:before="0" w:after="0"/>
        <w:ind w:left="0" w:right="0" w:firstLine="225"/>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1"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The following table summarizes our operating expenses and other income (expense) for the periods indicated. </w:t>
      </w:r>
    </w:p>
    <w:tbl>
      <w:tblPr>
        <w:tblW w:w="9204" w:type="dxa"/>
        <w:jc w:val="left"/>
        <w:tblInd w:w="0" w:type="dxa"/>
        <w:tblLayout w:type="fixed"/>
        <w:tblCellMar>
          <w:top w:w="28" w:type="dxa"/>
          <w:left w:w="28" w:type="dxa"/>
          <w:bottom w:w="28" w:type="dxa"/>
          <w:right w:w="28" w:type="dxa"/>
        </w:tblCellMar>
      </w:tblPr>
      <w:tblGrid>
        <w:gridCol w:w="1783"/>
        <w:gridCol w:w="1566"/>
        <w:gridCol w:w="1571"/>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expenses per BOE)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taxes, transportation and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Plant and other midstream services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1,298,755 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asset sales and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1,685,674 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in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Matador Resources Company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 per BOE: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 taxes, transportation and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Plant and other midstream services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Year Ended December 31, 2024 as Compared to Year Ended December 31, 2023 </w:t>
      </w:r>
    </w:p>
    <w:p>
      <w:pPr>
        <w:pStyle w:val="TextBody"/>
        <w:bidi w:val="0"/>
        <w:spacing w:lineRule="auto" w:line="288" w:before="100" w:after="283"/>
        <w:ind w:left="0" w:right="0" w:firstLine="495"/>
        <w:jc w:val="left"/>
        <w:rPr/>
      </w:pPr>
      <w:r>
        <w:rPr>
          <w:rFonts w:ascii="Times New Roman;sans-serif" w:hAnsi="Times New Roman;sans-serif"/>
          <w:b w:val="false"/>
          <w:i/>
          <w:color w:val="000000"/>
          <w:sz w:val="20"/>
        </w:rPr>
        <w:t>Production taxes, transportation and processing.</w:t>
      </w:r>
      <w:r>
        <w:rPr>
          <w:color w:val="000000"/>
        </w:rPr>
        <w:t xml:space="preserve"> </w:t>
      </w:r>
      <w:r>
        <w:rPr>
          <w:rFonts w:ascii="Times New Roman;sans-serif" w:hAnsi="Times New Roman;sans-serif"/>
          <w:b w:val="false"/>
          <w:color w:val="000000"/>
          <w:sz w:val="20"/>
        </w:rPr>
        <w:t>Our production taxes and transportation and processing expenses increased $42.3 million, or 16%, to $306.8 million for the year ended December 31, 2024, as compared to $264.5 million for the year ended December 31, 2023. This increase was primarily attributable to the $43.4 million increase in our production taxes to $243.6 million for the year ended December 31, 2024, as compared to $200.2 million for the year ended December 31, 2023, primarily due to the $598.2 million increase in oil and natural gas revenues for the year ended December 31, 2024, as compared to the year ended December 31, 2023. On a unit-of-production basis, our production taxes and transportation and processing expenses decreased 11% to $4.91 per BOE for the year ended December 31, 2024, as compared to $5.50 per BOE for the year ended December 31, 2023. This decrease was primarily attributable to a decrease in transportation and processing expense per BOE that resulted from a mix of revenue contracts, including from San Mateo, between the two periods.</w:t>
      </w:r>
    </w:p>
    <w:p>
      <w:pPr>
        <w:pStyle w:val="TextBody"/>
        <w:bidi w:val="0"/>
        <w:spacing w:lineRule="auto" w:line="288" w:before="100" w:after="283"/>
        <w:ind w:left="0" w:right="0" w:firstLine="495"/>
        <w:jc w:val="left"/>
        <w:rPr/>
      </w:pPr>
      <w:r>
        <w:rPr>
          <w:rFonts w:ascii="Times New Roman;sans-serif" w:hAnsi="Times New Roman;sans-serif"/>
          <w:b w:val="false"/>
          <w:i/>
          <w:color w:val="000000"/>
          <w:sz w:val="20"/>
        </w:rPr>
        <w:t>Lease operating expenses.</w:t>
      </w:r>
      <w:r>
        <w:rPr>
          <w:color w:val="000000"/>
        </w:rPr>
        <w:t xml:space="preserve"> </w:t>
      </w:r>
      <w:r>
        <w:rPr>
          <w:rFonts w:ascii="Times New Roman;sans-serif" w:hAnsi="Times New Roman;sans-serif"/>
          <w:b w:val="false"/>
          <w:color w:val="000000"/>
          <w:sz w:val="20"/>
        </w:rPr>
        <w:t xml:space="preserve">Our lease operating expenses increased $97.9 million, or 40%, to $341.5 million for the year ended December 31, 2024, as compared to $243.7 million for the year ended December 31, 2023. On a unit-of-production basis, our lease operating expenses increased 8% to $5.47 per BOE for the year ended December 31, 2024, as compared to $5.06 per BOE for the year ended December 31, 2023. These increases for the year ended December 31, 2024 were primarily attributable to the increased number of wells being operated by us, including 204 wells from the Ameredev Acquisition, and other operators (where we own a working interest) and to operating cost inflation during the year ended December 31, 2024, as compared to the year ended December 31, 2023. </w:t>
      </w:r>
    </w:p>
    <w:p>
      <w:pPr>
        <w:pStyle w:val="TextBody"/>
        <w:bidi w:val="0"/>
        <w:spacing w:lineRule="auto" w:line="288" w:before="180" w:after="283"/>
        <w:ind w:left="0" w:right="0" w:firstLine="495"/>
        <w:jc w:val="left"/>
        <w:rPr/>
      </w:pPr>
      <w:r>
        <w:rPr>
          <w:rFonts w:ascii="Times New Roman;sans-serif" w:hAnsi="Times New Roman;sans-serif"/>
          <w:b w:val="false"/>
          <w:i/>
          <w:color w:val="000000"/>
          <w:sz w:val="20"/>
        </w:rPr>
        <w:t xml:space="preserve">Plant and other midstream services operating. </w:t>
      </w:r>
      <w:r>
        <w:rPr>
          <w:rFonts w:ascii="Times New Roman;sans-serif" w:hAnsi="Times New Roman;sans-serif"/>
          <w:b w:val="false"/>
          <w:color w:val="000000"/>
          <w:sz w:val="20"/>
        </w:rPr>
        <w:t xml:space="preserve">Our plant and other midstream services operating expenses increased $42.6 million, or 33%, to $171.5 million for the year ended December 31, 2024, as compared to $128.9 million for the year ended December 31, 2023. This increase was primarily attributable to increased throughput volumes at San Mateo from Matador and other customers, which resulted in (i) increased expenses associated with our expanded pipeline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2"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including assets acquired in the Ameredev Acquisition, of $73.9 million for the year ended December 31, 2024, as compared to $41.4 million for the year ended December 31, 2023 and (ii) increased expenses associated with our commercial produced water disposal operations of $63.0 million for the year ended December 31, 2024, as compared to $53.6 million for the year ended December 31, 2023.</w:t>
      </w:r>
    </w:p>
    <w:p>
      <w:pPr>
        <w:pStyle w:val="TextBody"/>
        <w:bidi w:val="0"/>
        <w:spacing w:lineRule="auto" w:line="288" w:before="180" w:after="283"/>
        <w:ind w:left="0" w:right="0" w:firstLine="495"/>
        <w:jc w:val="left"/>
        <w:rPr/>
      </w:pPr>
      <w:r>
        <w:rPr>
          <w:rFonts w:ascii="Times New Roman;sans-serif" w:hAnsi="Times New Roman;sans-serif"/>
          <w:b w:val="false"/>
          <w:i/>
          <w:color w:val="000000"/>
          <w:sz w:val="20"/>
        </w:rPr>
        <w:t>Depletion, depreciation and amortization.</w:t>
      </w:r>
      <w:r>
        <w:rPr>
          <w:color w:val="000000"/>
        </w:rPr>
        <w:t xml:space="preserve"> </w:t>
      </w:r>
      <w:r>
        <w:rPr>
          <w:rFonts w:ascii="Times New Roman;sans-serif" w:hAnsi="Times New Roman;sans-serif"/>
          <w:b w:val="false"/>
          <w:color w:val="000000"/>
          <w:sz w:val="20"/>
        </w:rPr>
        <w:t xml:space="preserve">Our depletion, depreciation and amortization expenses increased $257.6 million, or 36%, to $974.3 million for the year ended December 31, 2024, as compared to $716.7 million for the year ended December 31, 2023, primarily as a result of the Ameredev Acquisition and a 30% increase in our total oil equivalent production between the respective periods. On a unit-of-production basis, our depletion, depreciation and amortization expenses increased 5% to $15.59 per BOE for the year ended December 31, 2024, as compared to $14.90 per BOE for the year ended December 31, 2023, primarily as a result of the Ameredev Acquisition. </w:t>
      </w:r>
    </w:p>
    <w:p>
      <w:pPr>
        <w:pStyle w:val="TextBody"/>
        <w:bidi w:val="0"/>
        <w:spacing w:lineRule="auto" w:line="288" w:before="180" w:after="283"/>
        <w:ind w:left="0" w:right="0" w:firstLine="495"/>
        <w:jc w:val="left"/>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Our general and administrative expenses increased $17.1 million, or 15%, to $127.5 million for the year ended December 31, 2024, as compared to $110.4 million for the year ended December 31, 2023, primarily due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increased compensation expenses for our existing employees as well as the addition of new employees to support the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growth in our land, geoscience, drilling, completion, production, midstream and administration functions. Our general and administrative expenses on a unit-of-production basis decreased 11% to $2.04 per BOE for the year ended December 31, 2024, as compared to $2.29 per BOE for the year ended December 31, 2023, primarily as a result of the 30% increase in our total oil equivalent production between the two periods.</w:t>
      </w:r>
    </w:p>
    <w:p>
      <w:pPr>
        <w:pStyle w:val="TextBody"/>
        <w:bidi w:val="0"/>
        <w:spacing w:lineRule="auto" w:line="288" w:before="180" w:after="283"/>
        <w:ind w:left="0" w:right="0" w:firstLine="495"/>
        <w:jc w:val="left"/>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For the year ended December 31, 2024, we incurred total interest expense of approximately $201.5 million. We capitalized approximately $29.8 million of our interest expense on certain qualifying projects for the year ended December 31, 2024 and expensed the remaining $171.7 million to operations. For the year ended December 31, 2023, we incurred total interest expense of approximately $143.7 million. We capitalized approximately $22.2 million of our interest expense on certain qualifying projects for the year ended December 31, 2023 and expensed the remaining $121.5 million to operations. The increase in interest expense for the year ended December 31, 2024 was primarily attributable to an increase in our average debt outstanding between the two periods. In April 2024, we completed the 2026 Notes Repurchase and the 2032 Notes Offering and in September 2024 we completed the 2033 Notes Offering, resulting in a net increase in our total senior notes outstanding to $2.15 billion at December 31, 2024 as compared to $1.20 billion at December 31, 2023. In connection with the 2026 Notes Repurchase, the amendment of our Credit Agreement in March 2024 and the amendment of the San Mateo Credit Facility in November 2024, we also incurred a loss of approximately $6.2 million included in interest expense for the year ended December 31, 2024.</w:t>
      </w:r>
    </w:p>
    <w:p>
      <w:pPr>
        <w:pStyle w:val="TextBody"/>
        <w:bidi w:val="0"/>
        <w:spacing w:lineRule="auto" w:line="288" w:before="180" w:after="283"/>
        <w:ind w:left="0" w:right="0" w:firstLine="495"/>
        <w:jc w:val="left"/>
        <w:rPr/>
      </w:pPr>
      <w:r>
        <w:rPr>
          <w:rFonts w:ascii="Times New Roman;sans-serif" w:hAnsi="Times New Roman;sans-serif"/>
          <w:b w:val="false"/>
          <w:i/>
          <w:color w:val="000000"/>
          <w:sz w:val="20"/>
        </w:rPr>
        <w:t xml:space="preserve">Total income tax provision. </w:t>
      </w:r>
      <w:r>
        <w:rPr>
          <w:rFonts w:ascii="Times New Roman;sans-serif" w:hAnsi="Times New Roman;sans-serif"/>
          <w:b w:val="false"/>
          <w:color w:val="000000"/>
          <w:sz w:val="20"/>
        </w:rPr>
        <w:t xml:space="preserve">We recorded a current income tax provision of $27.1 million and a deferred income tax provision of $265.3 million for the year ended December 31, 2024. Our effective income tax rate of 25% for the year ended December 31, 2024 differed from the U.S. federal statutory rate due primarily to state taxes, primarily in New Mexico. We recorded a current income tax provision of $13.9 million and a deferred income tax provision of $172.1 million for the year ended December 31, 2023. Our effective income tax rate of 18% for the year ended December 31, 2023 differed from the U.S. federal statutory rate due primarily to recognizing research and experimental expenditure tax credits of $74.0 million, which were partially offset by permanent differences between book and taxable income and state taxes, primarily in New Mexico.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capital has been, and we expect will continue during 2025 and for the foreseeable future to be, for the acquisition, exploration and development of oil and natural gas properties and for midstream investments. We expect to fund our 2025 capital expenditures through a combination of cash on hand, operating cash flows and performance incentives paid to us by Five Point in connection with San Mateo. If capital expenditures were to exceed our operating cash flows in 2025, we expect to fund any excess capital expenditures, including for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cash totaling $23.0 million and restricted cash totaling $71.7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we had (i) $500.0 million of outstanding 6.875% senior notes due 2028 (the “2028 Notes”), (ii) $900.0 million of outstanding 2032 Notes, (iii) $750.0 million of outstanding 2033 Notes, (iv) $595.5 million of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3" name="Frame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under the Credit Agreement and (v) approximately $52.9 million in outstanding letters of credit issued pursuant to the Credit Agreement.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and our lenders entered into an amendment to the Fourth Amended and Restated Credit Agreement, which amended the Credit Agreement to, among other things: (i) reaffirm the borrowing base at $2.50 billion, (ii) increase the elected borrowing commitment from $1.325 billion to $1.50 billion, (iii) increase the maximum facility amount from $2.00 billion to $3.50 billion, (iv) extend the maturity date from October 31, 2026 to March 22, 2029, (v) appoint PNC Bank, National Association as administrative agent thereunder and (vi) add five new banks to the lending group. This March 2024 redetermination constituted the regularly scheduled May 1 redetermination.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March 28, 2024, we completed the 2024 Equity Offering and used the net proceeds for general corporate purposes, including the funding of acquisitions and the repayment of borrowings outstanding under the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2024, we completed the 2032 Notes Offering and used the net proceeds to fund the 2026 Notes Repurchase and for general corporate purposes, including the funding of acquisitions and the repayment of borrowings outstanding under the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18, 2024, we and our lenders entered into an amendment to the Fourth Amended and Restated Credit Agreement, which amended the Credit Agreement to, among other things: (i) provide for a term loan of $250.0 million, the full amount of which was borrowed to fund the Ameredev Acquisition, and (ii) increase the elected borrowing commitment from $1.50 billion to $2.25 billion.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25, 2024, we completed the 2033 Notes Offering and used the net proceeds to partially repay borrowings outstanding under the Credit Agreement including all of the $250.0 million in outstanding borrowings under the term loan.</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2024, Piñon was acquired by an affiliate of Enterprise Products Partners L.P. During the fourth quarter of 2024, we received $113.6 million from the sale of Piñon resulting from our approximate 19% interest in the parent company of Piñon that we acquired as part of the Ameredev Acquisition and used these proceeds to reduce borrowings under our Credit Agreement. We currently expect to receive an additional $4.8 million from the sale of Piñon in the first half of 2025.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21, 2024, we received notice from PNC Bank, National Association, as administrative agent under the Credit Agreement, that the lenders under the Credit Agreement completed their scheduled semi-annual review of our proved oil and natural gas reserves and unanimously determined to increase the borrowing base from $2.50 billion to $3.25 billion. We chose to maintain the elected borrowing commitments at $2.25 billion.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us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 million or 10% of the elected borrowing commitments of unrestricted cash and cash equivalents) divided by a rolling four quarter EBITDA calculation, of 3.50 or less at the end of each fiscal quarter. We believe that we were in compliance with the terms of the Credit Agreement at December 31,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San Mateo had $615.0 million in borrowings outstanding under the San Mateo Credit Facility and approximately $9.0 million in outstanding letters of credit issued pursuant to the San Mateo Credit Facility. On November 26, 2024, San Mateo and its lenders entered into an amendment to the San Mateo Credit Facility to, among other things: (i) extend the maturity date of the facility from December 9, 2026 to November 26, 2029, (ii) increase the lender commitments from $535.0 million to $800.0 million and (iii) add six new banks to San Mateo’s lending group. The San Mateo Credit Facility includes an accordion feature, which provides for potential increases in the commitments of the lenders to up to $1.05 billion.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San Mateo Credit Facility is non-recourse with respect to Matador and its other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debt to EBITDA ratio is greater than 4.50 or San Mateo’s liquidity is less than 10% of the lender commitments under the San Mateo Credit Facility. We believe that San Mateo was in compliance with the terms of the San Mateo Credit Facility at December 31, 2024.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April 2024 and July 2024, our Board declared quarterly cash dividends of $0.20 per share of common stock. In October 2024, the Board amended our dividend policy to increase the quarterly dividend to $0.25 per share of common stock and also declared a quarterly cash dividend of $0.25 per share of common stock. In February 2025, the Board amended our dividend policy to increase the quarterly dividend to $0.3125 per share of common stock and also declared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4" name="Frame8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cash dividend of $0.3125 per share of common stock payable on March 14, 2025 to shareholders of record as of February 28, 2025.</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development of our Delaware Basin assets will be the primary focus of our operations and capital expenditures in 2025. We currently operate nine drilling rigs in the Delaware Basin. We have built significant optionality into our drilling program, which should generally allow us to decrease or increase the number of rigs we operate as necessary based on changing commodity prices and other factors. Our 2025 estimated capital expenditure budget consists of $1.28 to $1.47 billion for D/C/E capital expenditures and $120.0 to $180.0 million for midstream capital expenditures, which reflects our proportionate share of San Mateo’s estimated 2025 capital expenditures as well as the estimated 2025 capital expenditures for other wholly-owned midstream projects. Substantially all of these 2025 estimated capital expenditures are expected to be allocated to (i) the further delineation and development of our leasehold position, (ii) the construction, installation and maintenance of midstream assets and (iii) our participation in certain non-operated well opportunities. Our 2025 Delaware Basin operated drilling program is expected to focus on the continued development of our various asset areas throughout the Delaware Basin, with a continued emphasis on drilling and completing a high percentage of longer horizontal wells.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we have done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during 2025, we intend to continue evaluating the opportunistic acquisition of producing properties, acreage and mineral interests and midstream assets, principally in the Delaware Basin. These monetizations, divestitures and expenditures are opportunity-specific, and purchase price multiples and per-acre prices can vary significantly based on the asset or prospect. As a result, it is difficult to estimate these 2025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2025.</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2025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and development activities are subject to a number of risks and uncertainties, which could cause these activities to be less successful than we anticipate. A significant portion of our anticipated cash flows from operations for 2025 is expected to come from producing wells and development activities on currently proved properties in the Wolfcamp and Bone Spring plays in the Delaware Basin.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 of oil and natural gas prices for 2025 and the hedges we currently have in place. For a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12 to the consolidated financial statements in this Annual Report for a summary of our open derivative financial instruments at December 31, 2024.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“Risk Factors—Risks Related to our Operations—Drilling for and producing oil, natural gas and NGLs is highly speculative and involves a high degree of operational and financial risk, with many uncertainties that could adversely affect our business,” “Risk Factors—Risks Related to our Operations—Our identified drilling locations are scheduled over several years, making them susceptible to uncertainties that could materially alter the occurrence or timing of their drilling” and “Risk Factors—Risks Related to Laws and Regulations—Approximately 33%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5" name="Frame8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for the years ended December 31, 2024, 2023 and 2022 are presented below.</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47"/>
        <w:gridCol w:w="1667"/>
        <w:gridCol w:w="1675"/>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94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change in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 attributable to Matador Resources Company shareholders</w:t>
            </w:r>
            <w:r>
              <w:rPr>
                <w:rFonts w:ascii="Times New Roman;sans-serif" w:hAnsi="Times New Roman;sans-serif"/>
                <w:b w:val="false"/>
                <w:color w:val="000000"/>
                <w:sz w:val="13"/>
              </w:rPr>
              <w:t>(1)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2,298,777 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1,849,547 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2,127,156 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(1)Adjusted EBITDA is a non-GAAP financial measure. For a definition of Adjusted EBITDA and a reconciliation of Adjusted EBITDA to our net income and net cash provided by operating activities, see “—Non-GAAP Financial Measures” below.</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by $379.1 million to $2.25 billion for the year ended December 31, 2024, as compared to net cash provided by operating activities of $1.87 billion for the year ended December 31, 2023. Excluding changes in operating assets and liabilities, net cash provided by operating activities increased to $2.23 billion for the year ended December 31, 2024 from $1.82 billion for the year ended December 31, 2023. This increase was primarily attributable to the 30% increase in total oil equivalent production during 2024, as compared to 2023, which was partially offset by lower realized oil and natural gas prices for the year ended December 31, 2024, as compared to the year ended December 31, 2023. Changes in our operating assets and liabilities between December 31, 2023 and December 31, 2024 resulted in a net decrease of approximately $36.9 million in net cash provided by operating activities for the year ended December 31, 2024, as compared to the year ended December 31,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cash flows are sensitive to a number of variables, including changes in our production and the volatility of oil and natural gas prices between reporting periods. Regional and worldwide economic activity, the actions of OPEC+ and other large state-controlled oil producers, weather, infrastructure capacity to reach markets and other variable factors significantly impact the prices of oil and natural gas. These factors are beyond our control and are difficult to predict. From time to time, we use commodity derivative financial instruments to mitigate our exposure to fluctuations in oil, natural gas and NGL prices. For additional information on the impact of changing prices on our financial condition, see “Quantitative and Qualitative Disclosures About Market Risk.” See also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increased by $460.9 million to $3.67 billion for the year ended December 31, 2024 from $3.21 billion for the year ended December 31, 2023. This increase in net cash used in investing activities was primarily due to (i) expenditures related to the Ameredev Acquisition of $1.83 billion in 2024, which was $155.1 million higher than expenditures related to the Advance Acquisition of $1.68 billion in 2023, (ii) an increase between the periods of $266.8 million in acquisitions of oil and natural gas properties, (iii) an increase between the periods of $118.2 million in midstream capital expenditures and (iv) an increase of $30.0 million in D/C/E capital expenditures primarily attributable to our operated and non-operated drilling, completion and equipping activities in the Delaware Basin. These increases were partially offset by proceeds from the sale of our equity method investment in Piñon of $113.6 million for the year ended December 31, 2024.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(Used in) Financing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increased $511.3 million to $1.41 billion for the year ended December 31, 2024, from net cash provided by financing activities of $902.3 million for the year ended December 31, 2023. During the year ended December 31, 2024, our net cash provided by financing activities was primarily attributable to (i) proceeds from the 2032 Notes Offering of $900.0 million, (ii) proceeds from the 2033 Notes Offering of $750.0 million, (iii) proceeds from the 2024 Equity Offering of $344.7 million, (iv) net contributions to San Mateo of $116.9 million, which included a contribution of $171.5 million from Five Point to San Mateo related to the Pronto Transaction, (v) net borrowings under the Credit Agreement of $95.5 million and (vi) net borrowings under the San Mateo Credit Facility of $93.0 million. These increases were partially offset by (i) the repurchase of an aggregate principal amount of approximately $699.2 million of 2026 Notes in the 2026 Notes Repurchase, (ii) dividends paid of $104.9 million, (iii) costs associated with the 2032 Notes Offering and 2033 Notes Offering of $28.2 million, (iv) costs to amend the Credit Agreement and the San Mateo Credit Facility of $33.4 million and (v) payment of taxes related to stock-based compensation of $17.0 million. During the year ended December 31, 2023, our net cash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86" name="Frame8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financing activities was primarily attributable to (i) proceeds from the issuance of the 2028 Notes of $494.8 million, (ii) net borrowings under our Credit Agreement of $500.0 million and (iii) net borrowings under the San Mateo Credit Facility of $57.0 million, which were partially offset by (x) dividends paid of $77.2 million and (y) net distributions related to non-controlling interest owners of less-than-wholly-owned subsidiaries of $15.6 million.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the consolidated financial statements in this Annual Report for a summary of our debt, including the Credit Agreement, the San Mateo Credit Facility, the 2028 Notes, the 2032 Notes and the 2033 Notes.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attributable to Matador shareholders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should not be considered an alternative to, or more meaningful than, net income (loss)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calculation of Adjusted EBITDA and the reconciliation of Adjusted EBITDA to the GAAP financial measures of net income and net cash provided by operating activities, respectively.</w:t>
      </w:r>
    </w:p>
    <w:tbl>
      <w:tblPr>
        <w:tblW w:w="10205" w:type="dxa"/>
        <w:jc w:val="left"/>
        <w:tblInd w:w="0" w:type="dxa"/>
        <w:tblLayout w:type="fixed"/>
        <w:tblCellMar>
          <w:top w:w="28" w:type="dxa"/>
          <w:left w:w="28" w:type="dxa"/>
          <w:bottom w:w="28" w:type="dxa"/>
          <w:right w:w="28" w:type="dxa"/>
        </w:tblCellMar>
      </w:tblPr>
      <w:tblGrid>
        <w:gridCol w:w="1883"/>
        <w:gridCol w:w="1658"/>
        <w:gridCol w:w="1673"/>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55"/>
      </w:tblGrid>
      <w:tr>
        <w:trPr/>
        <w:tc>
          <w:tcPr>
            <w:tcW w:w="188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482" w:type="dxa"/>
            <w:gridSpan w:val="4"/>
            <w:tcBorders/>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 Adjusted EBITDA Reconciliation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Matador Resources Company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in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 (income) related to contingent consideration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attributable to non-controlling interest in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attributable to Matador Resources Company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7" name="Frame8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91"/>
        <w:gridCol w:w="1654"/>
        <w:gridCol w:w="1668"/>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56"/>
      </w:tblGrid>
      <w:tr>
        <w:trPr/>
        <w:tc>
          <w:tcPr>
            <w:tcW w:w="1891"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483" w:type="dxa"/>
            <w:gridSpan w:val="4"/>
            <w:tcBorders/>
          </w:tcPr>
          <w:p>
            <w:pPr>
              <w:pStyle w:val="TableContents"/>
              <w:bidi w:val="0"/>
              <w:spacing w:before="0" w:after="283"/>
              <w:jc w:val="left"/>
              <w:rPr>
                <w:sz w:val="4"/>
                <w:szCs w:val="4"/>
              </w:rPr>
            </w:pPr>
            <w:r>
              <w:rPr>
                <w:sz w:val="4"/>
                <w:szCs w:val="4"/>
              </w:rPr>
            </w:r>
          </w:p>
        </w:tc>
      </w:tr>
      <w:tr>
        <w:trPr/>
        <w:tc>
          <w:tcPr>
            <w:tcW w:w="5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 Adjusted EBITDA Reconciliation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 of non-cash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and non-recurring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attributable to non-controlling interest in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attributable to Matador Resources Company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we reported net income attributable to Matador shareholders of $885.3 million, as compared to $846.1 million for the year ended December 31, 2023. This increase primarily resulted from significantly higher oil and natural gas production for the year ended December 31, 2024, as compared to the year ended December 31, 2023. These increases were partially offset by increased depletion, depreciation and amortization expenses of $974.3 million for the year ended December 31, 2024, as compared to $716.7 million for the year ended December 31, 2023, increased interest expense of $171.7 million for the year ended December 31, 2024, as compared to $121.5 million for the year ended December 31, 2023, an increased income tax provision of $292.4 million for the year ended December 31, 2024, as compared to an income tax provision of $186.0 million for the year ended December 31, 2023 and by lower realized oil and natural gas prices between the periods.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increased $449.2 million to $2.30 billion for the year ended December 31, 2024, as compared to $1.85 billion for the year ended December 31, 2023. This increase was primarily attributable to higher oil and natural gas production noted above, partially offset by lower realized oil and natural gas prices for the year ended December 31, 2024, as compared to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450"/>
        <w:jc w:val="left"/>
        <w:rPr>
          <w:color w:val="000000"/>
        </w:rPr>
      </w:pPr>
      <w:r>
        <w:rPr>
          <w:color w:val="000000"/>
        </w:rPr>
        <w:t> </w:t>
      </w:r>
      <w:r>
        <w:rPr>
          <w:rFonts w:ascii="Times New Roman;sans-serif" w:hAnsi="Times New Roman;sans-serif"/>
          <w:b w:val="false"/>
          <w:color w:val="000000"/>
          <w:sz w:val="20"/>
        </w:rPr>
        <w:t>From time-to-time, we enter into off-balance sheet arrangements and transactions that can give rise to material off-balance sheet obligations. As of December 31, 2024,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our liquidity or availability of or requirements for capital resources. See “—Obligations and Commitments” below and Note 14 to the consolidated financial statements in this Annual Report for more information regarding our off-balance sheet arrangements. Such information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8" name="Frame8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Obligations and Commitments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had the following material contractual obligations and commitments at December 31, 2024.</w:t>
      </w:r>
    </w:p>
    <w:tbl>
      <w:tblPr>
        <w:tblW w:w="10205" w:type="dxa"/>
        <w:jc w:val="left"/>
        <w:tblInd w:w="0" w:type="dxa"/>
        <w:tblLayout w:type="fixed"/>
        <w:tblCellMar>
          <w:top w:w="28" w:type="dxa"/>
          <w:left w:w="28" w:type="dxa"/>
          <w:bottom w:w="28" w:type="dxa"/>
          <w:right w:w="28" w:type="dxa"/>
        </w:tblCellMar>
      </w:tblPr>
      <w:tblGrid>
        <w:gridCol w:w="1089"/>
        <w:gridCol w:w="822"/>
        <w:gridCol w:w="788"/>
        <w:gridCol w:w="109"/>
        <w:gridCol w:w="109"/>
        <w:gridCol w:w="109"/>
        <w:gridCol w:w="196"/>
        <w:gridCol w:w="871"/>
        <w:gridCol w:w="109"/>
        <w:gridCol w:w="109"/>
        <w:gridCol w:w="109"/>
        <w:gridCol w:w="109"/>
        <w:gridCol w:w="215"/>
        <w:gridCol w:w="810"/>
        <w:gridCol w:w="120"/>
        <w:gridCol w:w="109"/>
        <w:gridCol w:w="109"/>
        <w:gridCol w:w="109"/>
        <w:gridCol w:w="196"/>
        <w:gridCol w:w="736"/>
        <w:gridCol w:w="109"/>
        <w:gridCol w:w="109"/>
        <w:gridCol w:w="109"/>
        <w:gridCol w:w="109"/>
        <w:gridCol w:w="196"/>
        <w:gridCol w:w="871"/>
        <w:gridCol w:w="109"/>
        <w:gridCol w:w="109"/>
        <w:gridCol w:w="109"/>
        <w:gridCol w:w="109"/>
        <w:gridCol w:w="213"/>
        <w:gridCol w:w="949"/>
        <w:gridCol w:w="171"/>
      </w:tblGrid>
      <w:tr>
        <w:trPr/>
        <w:tc>
          <w:tcPr>
            <w:tcW w:w="108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Contractual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Borrowings, including letters of credit</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Senior unsecured notes</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Non-operated drilling commitments</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Drilling rig contracts</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Asset retirement obligations</w:t>
            </w: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Transportation, gathering, processing and disposal agreements with non-affiliates</w:t>
            </w:r>
            <w:r>
              <w:rPr>
                <w:rFonts w:ascii="Times New Roman;sans-serif" w:hAnsi="Times New Roman;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Transportation, gathering, processing and disposal agreements with San Mateo</w:t>
            </w: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408,015 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60"/>
              <w:jc w:val="left"/>
              <w:rPr/>
            </w:pPr>
            <w:r>
              <w:rPr>
                <w:rFonts w:ascii="Times New Roman;sans-serif" w:hAnsi="Times New Roman;sans-serif"/>
                <w:b w:val="false"/>
                <w:color w:val="000000"/>
                <w:sz w:val="16"/>
              </w:rPr>
              <w:t>Midstream contracts</w:t>
            </w:r>
            <w:r>
              <w:rPr>
                <w:rFonts w:ascii="Times New Roman;sans-serif" w:hAnsi="Times New Roman;sans-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contractual cash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5,282,608 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263,389 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2,463,137 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amounts included in the table above represent principal maturities only. At December 31, 2024, we had $595.5 million in borrowings outstanding under the Credit Agreement and approximately $52.9 million in outstanding letters of credit issued pursuant to the Credit Agreement. The outstanding borrowings under the Credit Agreement mature on March 22, 2029. At December 31, 2024 San Mateo had $615.0 million of borrowings outstanding under the San Mateo Credit Facility and approximately $9.0 million in outstanding letters of credit issued pursuant to the San Mateo Credit Facility. The outstanding borrowings under the San Mateo Credit Facility mature on November 26, 2029. Assuming the amounts outstanding and interest rates of 6.19% and 6.44%, respectively, for the Credit Agreement and the San Mateo Credit Facility at December 31, 2024, the interest expense for such facilities is expected to be approximately $37.4 million and $40.2 million, respectively, each year until maturity.</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(2)The amounts included in the table above represent principal maturities only. Interest expense on the $500.0 million of outstanding 2028 Notes as of December 31, 2024 is expected to be approximately $34.4 million each year until maturity. Interest expense on the $900.0 million of outstanding 2032 Notes as of December 31, 2024 is expected to be approximately $58.5 million each year until maturity. Interest expense on the $750.0 million of outstanding 2033 Notes as of December 31, 2024 is expected to be approximately $46.9 million each year until maturity.</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(3)At December 31, 2024, we had outstanding commitments to participate in the drilling and completion of various non-operated wells.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(4)We do not own or operate our own drilling rigs, but instead we enter into contracts with third parties for such drilling rigs. See Note 14 to the consolidated financial statements in this Annual Report for more information regarding these contractual commitments.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(5)The amounts included in the table above represent discounted cash flow estimates for future asset retirement obligations at December 31, 2024.</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(6)From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including certain agreements with Northwind that were entered into in connection with the Pronto Transaction. If we do not meet the minimum volume commitments under these agreements, we would be required to pay certain deficiency fees. See Note 14 to the consolidated financial statements in this Annual Report for more information about these contractual commitments.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(7)We dedicated to San Mateo our current and certain future leasehold interests in the Rustler Breaks asset area and the Wolf portion of the West Texas asset area and acreage in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In connection with the Pronto Transaction, we dedicated to Pronto our current and certain future leasehold interests in the Ranger and Antelope Ridge asset areas pursuant to 15-year, fixed fee natural gas gathering, compression, treating and processing agreements with Pronto whereby Pronto will gather, compress, treat and process natural gas produced from our operated wells in northern Lea County, New Mexico. See Note 14 to the consolidated financial statements in this Annual Report for more information regarding these contractual commitments.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(8)At December 31, 2024, we had outstanding commitments related to the construction and installation of San Mateo’s Marlan Processing Plant expansion with a designed inlet processing capacity of 200 MMcf per day, including a nitrogen rejection unit and additional related facilities, in addition to commitments to purchase compressors to be utilized in San Mateo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9" name="Frame8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General Outlook and Trends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success and financial results are dependent on many factors beyond our control, such as economic, political and regulatory developments, as well as competition from other sources of energy. For example, the recent election of President Trump and a Republican-controlled Congress may alter our current regulatory framework and impact our business and the oil and gas industry generally. Commodity price volatility, in particular, is a significant risk to our business, cash flows and results of operations. Commodity prices are affected by changes in market supply and demand, which are impacted by overall economic activity, ongoing military conflicts, including the ongoing military conflicts between Russia and Ukraine and in the Middle East, political instability, particularly in China and in the Middle East, the actions of OPEC+, weather, pipeline capacity constraints, inventory storage levels, domestic or global health concerns, including the outbreak or resurgence of contagious or pandemic diseases, oil and natural gas price differentials and other factors.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oil, natural gas and NGLs heavily influence our revenues, profitability, cash flow available for capital expenditures, the repayment of debt and the payment of cash dividends,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oil prices averaged $75.76 per Bbl, as compared to $77.60 per Bbl in 2023, ranging from a high of $86.91 per Bbl in early April to a low of $65.75 per Bbl in mid-September, based upon the WTI oil futures contract price for the earliest delivery date. We realized a weighted average oil price of $75.89 per Bbl (with no realized gains or losses from oil derivatives) for our oil production for the year ended December 31, 2024, as compared to $77.88 per Bbl (with no realized gains or losses from oil derivatives) for the year ended December 31, 2023. At February 18, 2025, the WTI oil futures contract price for the earliest delivery date had increased slightly from year-end 2024, closing at $71.85 per Bbl, but was lower compared to $79.19 per Bbl on February 16, 2024.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natural gas prices averaged $2.40 per MMBtu, as compared to $2.66 per MMBtu in 2023, based upon the NYMEX Henry Hub natural gas futures contract price for the earliest delivery date. During 2024, natural gas prices ranged from a low of $1.58 per MMBtu in late March to a high of $3.95 per MMBtu in late December. As a result of expected winter weather, increased demand for LNG exports, tightening storage levels and concerns about potential supply disruptions, natural gas prices increased over the course of the fourth quarter of 2024, finishing the year at $3.63 per MMBtu. We report production volumes in two streams, oil and natural gas (which includes both dry gas and NGLs). NGL prices were also lower in 2024 as compared to 2023, which contributed to lower realized weighted average natural gas prices for the year ended December 31, 2024. We realized a weighted average natural gas price of $2.38 per Mcf ($2.47 per Mcf including realized gains from natural gas derivatives) for our natural gas production for the year ended December 31, 2024, as compared to $3.25 per Mcf ($3.17 per Mcf including realized losses from natural gas derivatives) for the year ended December 31, 2023. At February 18, 2025, the NYMEX Henry Hub natural gas futures contract price for the earliest delivery date had increased from year-end 2024, closing at $4.01 per MMBtu, and was higher as compared to $1.61 per MMBtu at February 16,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prices we receive for oil and natural gas production often reflect a discount to the relevant benchmark prices, such as the WTI oil price or the NYMEX Henry Hub natural gas price. The difference between the benchmark price and the price we receive is called a differential. At December 31, 2024,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Midland-Cushing (Oklahoma) oil price differential has been highly volatile in recent years. At February 18, 2025, this oil price differential was approximately +$1.33 per Bbl. At February 18, 2025, we had no derivative contracts in place to mitigate our exposure to this Midland-Cushing (Oklahoma) oil price differential for 2025.</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volumes of our Delaware Basin natural gas production are exposed to the Waha-Henry Hub basis differential, which has also been highly volatile in recent years. In recent years, concerns about natural gas pipeline takeaway capacity out of the Delaware Basin began to increase and a result, the Waha-Henry Hub basis differential began to widen. The Waha-Henry Hub basis differential averaged ($2.20) per MMBtu for the year ended December 31, 2024. Between December 31, 2024 and February 18, 2025, this natural gas price differential widened to approximately ($2.70) per MMBtu. A significant portion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90" name="Frame8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 natural gas production, however, is sold at Houston Ship Channel pricing and is not exposed to Waha pricing. During 2023 and 2024, we typically realized a narrower differential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5% of our reported natural gas production for the year ended December 31, 2024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year ended December 31, 2024, we realized gains on our natural gas basis differential derivative contracts of approximately $12.7 million resulting primarily from natural gas basis differentials that were below the fixed prices of our natural gas basis differential swap contracts. At December 31, 2024, we had derivative natural gas basis differential swap contracts in place to mitigate our exposure to the Waha-Henry Hub basis differential for approximately 11.0 Bcf of our anticipated natural gas production in 2025.</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at times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including in 2024, we may temporarily shut in certain high gas-oil ratio wells and take other actions to mitigate the impact on our realized natural gas prices and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at times experienced inflation in the costs of certain oilfield services, including diesel, steel, labor, trucking, sand, personnel and completion costs, among others. Should oil prices remain at their current levels or increase, we may be subject to additional service cost inflation in future periods, which may increase our costs to drill, complete, equip and operate wells. In addition, supply chain disruptions, tariffs and trade restrictions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a current income tax provision of $27.1 million and a deferred income tax provision of $265.3 million for the year ended December 31, 2024. Our effective income tax rate of 25% for the year ended December 31, 2024 differed from the U.S. federal statutory rate due primarily to state taxes, primarily in New Mexico. At February 18, 2025, given our current projections, we expect to continue to pay federal income taxes and state income taxes in New Mexico of between 5% and 10% of 2025 pretax book income, but we do not expect to be subject to the Corporate Alternative Minimum Tax (the “CAMT”) in 2025. We could be subject to the CAMT in future years, which would require us to pay minimum cash tax payments of 15% of annual adjusted pretax book income.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segments of the investor community have at times expressed negative sentiment towards investing in the oil and natural gas industry and some investors, including certain pension funds, sovereign wealth funds, university endowments and family foundations, have stated policies to reduce or eliminate their investments in the oil and natural gas sector based on social and environmental considerations. See “Risk Factors—Risks Related to our Common Stock—Attention to ESG and conservation matters and a negative shift in market perception towards the oil and natural gas industry could adversely affect demand for oil and natural gas and our stock price.”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Like other oil and natural gas producing companies, our properties are subject to natural production declines. By their nature, our oil and natural gas wells will experience rapid initial production declines. We attempt to overcome these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91" name="Frame9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that affect the reported amounts of certain assets, liabilities, revenues and expenses during each reporting period. We believe that our estimates and assumptions are reasonable and reliable and that the actual results will not differ significantly from those reported; however, such estimates and assumptions are subject to a number of risks and uncertainties, and such risks and uncertainties could cause the actual results to differ materially from our estimates. We consider the following to be our most critical accounting policies and estimates involving significant judgment or estimates by our management. See Note 2 to the consolidated financial statements in this Annual Report for further details on our accounting policies at December 31, 2024.</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Oil and Natural Gas Properties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the full-cost method of accounting for our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our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of oil and natural gas properties are amortized using the unit-of-production method based upon production and estimates of proved reserves quantities.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the determination that the well is not productive.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Ceiling Test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net capitalized costs of oil and natural gas properties are limited to the lower of unamortized costs less related deferred income taxes or the cost center “ceiling.” The cost center ceiling is defined as the sum of:</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present value, discounted at 10%, of future net revenues of proved oil and natural gas reserves, reduced by the estimated costs of developing these reserves, plus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unproved and unevaluated property costs not being amortized, plus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the lower of cost or estimated fair value of unproved and unevaluated properties included in the costs being amortized, if any, less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any income tax effects related to the properties involved.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Any excess of our net capitalized costs above the cost center ceiling as described above is charged to operations as a full-cost ceiling impairment. Our derivative instruments are not considered in the ceiling test computation as we do not designate these instruments as hedge instruments for accounting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92" name="Frame9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Oil and Natural Gas Reserves Quantities and Standardized Measure of Future Net Revenue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engineers and technical staff prepare our estimates of oil and natural gas reserves and associated future net revenues. While the applicable rules allow us to disclose proved, probable and possible reserves, we have elected to present only proved reserves in this Annual Report. The applicable rules define proved reserves as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engineers and technical staff must make many subjective assumptions based on their professional judgment in developing reserves estimates. Reserves estimates are updated quarterly and consider recent production levels and other technical information about each well.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can vary. The process also requires certain economic assumptions, including assumptions related to oil and natural gas prices, development expenditures, operating expenses, capital expenditures, taxes and availability of funds. Actual future production, oil and natural gas prices, revenues, taxes, development expenditures, operating expenses and quantities of recoverable oil and natural gas will most likely vary from our estimates. Accordingly, reserves estimates are generally different from the quantities of oil and natural gas that are ultimately recovered. Any significant variance could materially and adversely affect our future reserves estimates, financial condition, results of operations and cash flows. We cannot predict the amounts or timing of future reserves revisions. If such revisions are significant, they could significantly affect future amortization of capitalized costs and result in an impairment of assets that may be material. See “Risk Factors—Risks Related to our Financial Condition—Our oil and natural gas reserves are estimated and may not reflect the actual volumes of oil and natural gas we will recover, and significant inaccuracies in these reserves estimates or underlying assumptions will materially affect the quantities and present value of our reserves” and “Risk Factors—Risks Related to our Financial Condition—We may be required to write down the carrying value of our proved properties under accounting rules, and these write-downs could adversely affect our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of proved oil and natural gas reserves are key inputs used for the calculations of depletion, the ceiling test and the fair value assigned to proved oil and natural gas reserves acquired in a business combination. The estimated present value of future net cash flows from proved oil and natural gas reserves is highly dependent upon the quantities of proved reserves, the estimation of which requires substantial judgment. Oil and natural gas reserves are estimated using then-current operating and economic conditions, with no provision for price and cost escalations in future periods except by contractual arrangements. The associated commodity prices and the applicable discount rate used to determine the fair value assigned to proved oil and natural gas reserves acquired in a business combination are based upon a variety of factors on the date of acquisition. The associated commodity prices and the applicable discount rate used in estimates for depletion and the ceiling test are in accordance with guidelines established by the SEC. Under these guidelines, future net revenues are calculated using prices that represent the arithmetic averages of the first-day-of-the-month oil and natural gas prices for the previous 12-month period, and a 10% discount factor is used to determine the present value of future net revenues.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using the asset and liability approach for financial accounting and reporting. The amount of income taxes recorded requires interpretations of complex rules and regulations of federal and state taxing authorities. We have recognized deferred tax assets and liabilities for temporary differences, operating losses and tax carryforwards. We evaluate the probability of realizing the future benefits of our deferred tax assets and provide a valuation allowance for the portion of any deferred tax assets where the likelihood of realizing an income tax benefit in the future does not meet the more likely than not criteria for recognition.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uncertainty in income taxes by recognizing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benefit that has a greater than 50% likelihood of being realized upon ultimate settlement with the relevant tax authority.</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Accounting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Periodically we acquire assets and assume liabilities in transactions accounted for as business combinations, such as the Advance Acquisition in 2023 and the Ameredev Acquisition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3" name="Frame9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estimating the fair value of assets acquired and liabilities assumed in these transactions, including the Advance Acquisition and the Ameredev Acquisition, we must make a number of estimates and assumptions and may engage third-party valuation experts. The most significant assumptions relate to the estimated fair values of oil and natural gas properties. Significant judgments and assumptions are inherent in these estimates and include, among other things, estimates of future production volumes, estimates of future commodity prices, expected development and operating costs, an estimate of a market-based weighted average cost of capital rate and recent market comparable transactions for unproved acreage.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consolidated financial statements in this Annual Report for a description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a variety of market risks including commodity price risk, interest rate risk and counterparty and customer risk. We address these risks through a program of risk management including the use of derivative financial instruments, but we do not enter into derivative financial instruments for trading purposes.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Commodity price exposure.</w:t>
      </w:r>
      <w:r>
        <w:rPr>
          <w:color w:val="000000"/>
        </w:rPr>
        <w:t xml:space="preserve"> </w:t>
      </w:r>
      <w:r>
        <w:rPr>
          <w:rFonts w:ascii="Times New Roman;sans-serif" w:hAnsi="Times New Roman;sans-serif"/>
          <w:b w:val="false"/>
          <w:color w:val="000000"/>
          <w:sz w:val="20"/>
        </w:rPr>
        <w:t>We are exposed to market risk as the prices of oil, natural gas and NGLs fluctuate as a result of changes 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derivative financial instruments at fair value. The fair value of our derivative financial instruments is determined using purchase and sale information available for similarly traded securities. At December 31, 2024, Bank of America, PNC Bank, Truist Bank, The Bank of Nova Scotia, Royal Bank of Canada, Comerica Bank and BOKF (or affiliates thereof) were the counterparties for our derivative instruments. We have considered the credit standing of the counterparties in determining the fair value of our 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various costless collar contracts open and in place to mitigate our exposure to oil price volatility, each with an established price floor and ceiling. At December 31, 2024, we had natural gas basis differential swap contracts open and in place to mitigate our exposure to natural gas price volatility, with a specific term (calculation period), notional quantity (volume hedged) and fixed price. We had no open contracts associated with NGL prices at December 31,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to the consolidated financial statements in this Annual Report for a summary of our open derivative financial instruments at December 31, 2024. Such information is incorporated herein by reference.</w:t>
      </w:r>
    </w:p>
    <w:p>
      <w:pPr>
        <w:pStyle w:val="TextBody"/>
        <w:bidi w:val="0"/>
        <w:spacing w:lineRule="auto" w:line="288" w:before="120" w:after="283"/>
        <w:ind w:left="0" w:right="0" w:firstLine="450"/>
        <w:jc w:val="left"/>
        <w:rPr/>
      </w:pPr>
      <w:r>
        <w:rPr>
          <w:rFonts w:ascii="Times New Roman;sans-serif" w:hAnsi="Times New Roman;sans-serif"/>
          <w:b w:val="false"/>
          <w:i/>
          <w:color w:val="000000"/>
          <w:sz w:val="20"/>
        </w:rPr>
        <w:t xml:space="preserve">Effect of Derivatives Legislation. </w:t>
      </w:r>
      <w:r>
        <w:rPr>
          <w:rFonts w:ascii="Times New Roman;sans-serif" w:hAnsi="Times New Roman;sans-serif"/>
          <w:b w:val="false"/>
          <w:color w:val="000000"/>
          <w:sz w:val="20"/>
        </w:rPr>
        <w:t xml:space="preserve">The Dodd-Frank Act, among other things, established federal oversight and regulation of certain derivative products, including commodity hedges of the type we use. The Dodd-Frank Act requires the CFTC and the SEC to promulgate rules and regulations implementing the Dodd-Frank Act. Although the CFTC has finalized certain regulations, others remain to be finalized or implemented, and it is not possible at this time to predict when, or if, this will be accomplished. Based upon the limited assessments we are able to make with respect to the Dodd-Frank Act, there is the possibility that the Dodd-Frank Act could have a substantial and adverse impact on our ability to enter into and maintain these commodity hedges. In particular, the Dodd-Frank Act could result in the implementation of position limits and additional regulatory requirements on our derivative arrangements, which could include new margin, reporting and clearing requirements. In addition, this legislation could have a substantial impact on our counterparties and may increase the cost of our derivative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94" name="Frame9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arrangements in the future. See “Risk Factors—Risks Related to Laws and Regulations—Derivatives legislation adopted by Congress could have an adverse impact on our ability to hedge risks associated with our business.”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Interest rate risk.</w:t>
      </w:r>
      <w:r>
        <w:rPr>
          <w:color w:val="000000"/>
        </w:rPr>
        <w:t xml:space="preserve"> </w:t>
      </w:r>
      <w:r>
        <w:rPr>
          <w:rFonts w:ascii="Times New Roman;sans-serif" w:hAnsi="Times New Roman;sans-serif"/>
          <w:b w:val="false"/>
          <w:color w:val="000000"/>
          <w:sz w:val="20"/>
        </w:rPr>
        <w:t>We do not and have not used interest rate derivatives to alter interest rate exposure in an attempt to reduce interest rate expense on existing debt. At December 31, 2024, we had $595.5 million of outstanding borrowings under our Credit Agreement at an interest rate of 6.19%, $500.0 million of outstanding 2028 Notes at a coupon rate of 6.875%, $900.0 million of outstanding 2032 Notes at a coupon rate of 6.500%, $750.0 million of outstanding 2033 Notes at a coupon rate of 6.250% and $615.0 million of outstanding borrowings under the San Mateo Credit Facility at an interest rate of 6.44%. If we incur additional indebtedness in the future and at higher interest rates, we may use interest rate derivatives. Interest rate derivatives would be used solely to modify interest rate exposure and not to modify the overall leverage of the debt portfolio.</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Counterparty and customer credit risk.</w:t>
      </w:r>
      <w:r>
        <w:rPr>
          <w:color w:val="000000"/>
        </w:rPr>
        <w:t xml:space="preserve"> </w:t>
      </w:r>
      <w:r>
        <w:rPr>
          <w:rFonts w:ascii="Times New Roman;sans-serif" w:hAnsi="Times New Roman;sans-serif"/>
          <w:b w:val="false"/>
          <w:color w:val="000000"/>
          <w:sz w:val="20"/>
        </w:rPr>
        <w:t>Joint interest receivables arise from billing entities that own partial interests in the wells we operate. These entities participate in our wells primarily based on their ownership in leases on which we wish to drill. We have limited ability to control participation in our wells. We are also subject to credit risk due to concentration of our oil and natural gas receivables with several significant customers and San Mateo is subject to the credit risk of their customers. The inability or failure of our or San Mateo’s significant customers to meet their obligations or their insolvency or liquidation may adversely affect our financial condition, results of operations and cash flows. In addition, our derivative arrangements expose us to credit risk in the event of nonperformance by our counterparties.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While we do not require our customers to post collateral and we do not have a formal process in place to evaluate and assess the credit standing of our significant customers for oil and natural gas receivables and the counterparties on our derivative instruments, we do evaluate the credit standing of such counterparties as we deem appropriate under the circumstances. This evaluation requires us to conduct the due diligence necessary to determine credit terms and credit limits, which may include (i) reviewing a counterparty’s credit rating, latest financial information and, in the case of a customer with which we have receivables, its historical payment record and the financial ability of its parent company to make payment if the customer cannot and (ii) undertaking the due diligence necessary to determine credit terms and credit limits. The counterparties on our derivative financial instruments in place at February 18, 2025 were Bank of America, PNC Bank, Truist Bank, The Bank of Nova Scotia, Royal Bank of Canada, Comerica Bank and BOKF (or affiliates thereof), which are all lenders under our Credit Agreement.</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Impact of inflation</w:t>
      </w:r>
      <w:r>
        <w:rPr>
          <w:rFonts w:ascii="Times New Roman;sans-serif" w:hAnsi="Times New Roman;sans-serif"/>
          <w:b w:val="false"/>
          <w:color w:val="000000"/>
          <w:sz w:val="20"/>
        </w:rPr>
        <w:t>. Inflation in the United States has become much more significant in recent years. We do not know how long these inflationary pressures may persist or the impact they may have on our business moving forward. We tend to specifically experience inflationary pressure on the cost of oilfield services and equipment with increases in oil and natural gas prices and with increases in drilling activity in our areas of operations, including the Wolfcamp and Bone Spring plays in the Delaware Basin, the Eagle Ford shale play and the Haynesville shale play. See “Risk Factors—Risks Related to our Financial Condition—Our industry and the broader U.S. economy have experienced higher than expected inflationary pressures in recent years related to increases in oil and natural gas prices, continued supply chain disruptions, labor shortages and geopolitical instability, among other pressures. Should these conditions persist, it may impact our ability to procure services, materials and equipment on a cost-effective basis, or at all, and, as a result, our business, financial condition, results of operations and cash flows could be materially and adversely affected” and “Risk Factors—Risks Related to our Operations—The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appear at the end of this Annual Report beginning 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end of the period covered by this Annual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December 31, 2024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95" name="Frame9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communicated to the Company’s management, including our Chief Executive Officer and our Chief Financial Officer, as appropriate to allow timely decisions regarding required disclosure.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December 31, 2024, there were no changes in our internal controls that have materially affected or are reasonably likely to have a material effect on our internal control over financial reporting.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Management’s Report on Internal Control over Financial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of the Exchange Act, as amended. Under the supervision and with the participation of our management, including our Chief Executive Officer and our Chief Financial Officer, we assessed the effectiveness of our internal control over financial reporting as of the end of the period covered by this Annual Report based on the framework in 2013 “Internal Control — Integrated Framework” issued by the Committee of Sponsoring Organizations of the Treadway Commission. Based on that assessment, our Chief Executive Officer and our Chief Financial Officer concluded that our internal control over financial reporting was effective to provide reasonable assurance regarding the reliability of our financial reporting and the preparation of our financial statements for external purposes in accordance with U.S. generally accepted accounting principles.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KPMG, our independent registered public accounting firm, has issued an attestation report on our controls over financial reporting as of December 31, 2024 as included herein.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Important Considerations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1945"/>
                <wp:effectExtent l="0" t="0" r="0" b="0"/>
                <wp:wrapNone/>
                <wp:docPr id="96" name="Frame9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Matador Resources Company: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Internal Control Over Financial Reporting</w:t>
      </w:r>
    </w:p>
    <w:p>
      <w:pPr>
        <w:pStyle w:val="TextBody"/>
        <w:bidi w:val="0"/>
        <w:spacing w:lineRule="auto" w:line="288" w:before="0" w:after="160"/>
        <w:jc w:val="both"/>
        <w:rPr/>
      </w:pPr>
      <w:r>
        <w:rPr>
          <w:rFonts w:ascii="Times New Roman;sans-serif" w:hAnsi="Times New Roman;sans-serif"/>
          <w:b w:val="false"/>
          <w:color w:val="000000"/>
          <w:sz w:val="20"/>
        </w:rPr>
        <w:t>We have audited Matador Resources Company and subsidiaries’ (the Company) internal control over financial reporting as of December 31, 2024, based on criteria established in</w:t>
      </w:r>
      <w:r>
        <w:rPr>
          <w:color w:val="000000"/>
        </w:rPr>
        <w:t xml:space="preserve">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In our opinion, the Company maintained, in all material respects, effective internal control over financial reporting as of December 31, 2024, based on criteria established in</w:t>
      </w:r>
      <w:r>
        <w:rPr>
          <w:color w:val="000000"/>
        </w:rPr>
        <w:t xml:space="preserve">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2024 and 2023, the related consolidated statements of income, changes in shareholders’ equity, and cash flows for each of the years in the three-year period ended December 31, 2024, and the related notes (collectively, the consolidated financial statements), and our report dated February 25, 2025 expressed an unqualified opinion on those consolidated financial statements. </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25,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1945"/>
                <wp:effectExtent l="0" t="0" r="0" b="0"/>
                <wp:wrapNone/>
                <wp:docPr id="97" name="Frame9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2024, no director or officer (as defined in Rule 16a-1(f) under the Exchange Act)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in response to this Item 10 is incorporated herein by reference to our definitive proxy statement for our 2025 Annual Meeting of Shareholders to be filed with the SEC pursuant to Regulation 14A promulgated under the Exchange Act not later than 120 days after the end of the fiscal year covered by this Annual Report (our “Definitive Proxy Statement”). Such responsive information is expected to be included under the captions “Proposal 1—Election of Directors,” “Corporate Governance,” “Executive Compensation” and “Director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in response to this Item 11 is incorporated herein by reference to our Definitive Proxy Statement under the caption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regarding securities authorized for issuance under our equity compensation plans is included under the caption “Equity Compensation Plan Information” in Part II, Item 5 of this Annual Report and is incorporated herein by reference. Other information required in response to this Item 12 is incorporated herein by reference to our Definitive Proxy Statement under the caption “Security Ownership of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in response to this Item 13 is incorporated herein by reference to our Definitive Proxy Statement under the captions “Transactions with Related Persons” and “Corporate Governance—Independence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in response to this Item 14 is incorporated herein by reference to our Definitive Proxy Statement under the caption “Proposal 3—Ratification of Appointment of KPMG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1945"/>
                <wp:effectExtent l="0" t="0" r="0" b="0"/>
                <wp:wrapNone/>
                <wp:docPr id="98" name="Frame9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Index to Consolidated Financial Statements, Report of Independent Registered Public Accounting Firm, Consolidated Balance Sheets as of December 31, 2024 and 2023, Consolidated Statements of Income for the Years Ended December 31, 2024, 2023 and 2022, Consolidated Statements of Changes in Shareholders’ Equity for the Years Ended December 31, 2024, 2023 and 2022 and Consolidated Statements of Cash Flows for the Years Ended December 31, 2024, 2023 and 2022.</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Financial Statement Schedules</w:t>
      </w:r>
      <w:r>
        <w:rPr>
          <w:rFonts w:ascii="Times New Roman;sans-serif" w:hAnsi="Times New Roman;sans-serif"/>
          <w:b w:val="false"/>
          <w:color w:val="000000"/>
          <w:sz w:val="20"/>
        </w:rPr>
        <w:t>: All other schedules for which provision is made in the applicable accounting regulations of the SEC are omitted because the required information is either not applicable, not required or is shown in the respective financial statements or in the notes thereto.</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i/>
          <w:color w:val="000000"/>
          <w:sz w:val="20"/>
        </w:rPr>
        <w:t>Exhibits</w:t>
      </w:r>
      <w:r>
        <w:rPr>
          <w:rFonts w:ascii="Times New Roman;sans-serif" w:hAnsi="Times New Roman;sans-serif"/>
          <w:b w:val="false"/>
          <w:color w:val="000000"/>
          <w:sz w:val="20"/>
        </w:rPr>
        <w:t>: The exhibits required to be filed by this Item 15 are set forth in the Exhibit Index included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1945"/>
                <wp:effectExtent l="0" t="0" r="0" b="0"/>
                <wp:wrapNone/>
                <wp:docPr id="99" name="Frame9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990"/>
        <w:gridCol w:w="2890"/>
        <w:gridCol w:w="2919"/>
        <w:gridCol w:w="109"/>
        <w:gridCol w:w="109"/>
        <w:gridCol w:w="15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Securities Purchase Agreement, dated January 24, 2023, by and among MRC Hat Mesa, LLC, MRC Energy Company (solely for the limited purposes stated therein), AEP EnCap HoldCo, LLC, Ameradvance Management LLC and Advance Energy Partners Holdings, LLC (incorporated by reference to Exhibit 2.1 to the Current Report on Form 8-K filed on January 24,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u w:val="single"/>
                </w:rPr>
                <w:t>Amendment No. 1 to Securities Purchase Agreement, dated April 5, 2023, by and among MRC Hat Mesa, LLC, AEP EnCap HoldCo, LLC, Ameradvance Management LLC and Advance Energy Partners Holdings, LLC (</w:t>
              </w:r>
            </w:hyperlink>
            <w:hyperlink r:id="rId5">
              <w:r>
                <w:rPr>
                  <w:rStyle w:val="InternetLink"/>
                  <w:rFonts w:ascii="Times New Roman;sans-serif" w:hAnsi="Times New Roman;sans-serif"/>
                  <w:b w:val="false"/>
                  <w:color w:val="000080"/>
                  <w:sz w:val="20"/>
                  <w:u w:val="single"/>
                </w:rPr>
                <w:t xml:space="preserve">incorporated by reference to Exhibit 2.2 to the Annual Report on Form 10-K </w:t>
              </w:r>
            </w:hyperlink>
            <w:hyperlink r:id="rId6">
              <w:r>
                <w:rPr>
                  <w:rStyle w:val="InternetLink"/>
                  <w:rFonts w:ascii="Times New Roman;sans-serif" w:hAnsi="Times New Roman;sans-serif"/>
                  <w:b w:val="false"/>
                  <w:color w:val="000080"/>
                  <w:sz w:val="20"/>
                  <w:u w:val="single"/>
                </w:rPr>
                <w:t>for the year ended December 31, 202</w:t>
              </w:r>
            </w:hyperlink>
            <w:hyperlink r:id="rId7">
              <w:r>
                <w:rPr>
                  <w:rStyle w:val="InternetLink"/>
                  <w:rFonts w:ascii="Times New Roman;sans-serif" w:hAnsi="Times New Roman;sans-serif"/>
                  <w:b w:val="false"/>
                  <w:color w:val="000080"/>
                  <w:sz w:val="20"/>
                  <w:u w:val="single"/>
                </w:rPr>
                <w:t>3</w:t>
              </w:r>
            </w:hyperlink>
            <w:hyperlink r:id="rId8">
              <w:r>
                <w:rPr>
                  <w:rStyle w:val="InternetLink"/>
                  <w:rFonts w:ascii="Times New Roman;sans-serif" w:hAnsi="Times New Roman;sans-serif"/>
                  <w:b w:val="false"/>
                  <w:color w:val="000080"/>
                  <w:sz w:val="20"/>
                  <w:u w:val="single"/>
                </w:rPr>
                <w:t>).</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80"/>
                  <w:sz w:val="20"/>
                  <w:u w:val="single"/>
                </w:rPr>
                <w:t>Waiver and Release Agreement and Amendment No. 2 to Securities Purchase Agreement, dated December 1, 2023, by and among MRC Hat Mesa, LLC, AEP EnCap HoldCo, LLC, Ameradvance Management LLC and Advance Energy Partners Holdings, LLC (</w:t>
              </w:r>
            </w:hyperlink>
            <w:hyperlink r:id="rId10">
              <w:r>
                <w:rPr>
                  <w:rStyle w:val="InternetLink"/>
                  <w:rFonts w:ascii="Times New Roman;sans-serif" w:hAnsi="Times New Roman;sans-serif"/>
                  <w:b w:val="false"/>
                  <w:color w:val="000080"/>
                  <w:sz w:val="20"/>
                  <w:u w:val="single"/>
                </w:rPr>
                <w:t>incorporated by reference to Exhibit 2.3 to the Annual Report on Form 10-K for the year ended December 31, 202</w:t>
              </w:r>
            </w:hyperlink>
            <w:hyperlink r:id="rId11">
              <w:r>
                <w:rPr>
                  <w:rStyle w:val="InternetLink"/>
                  <w:rFonts w:ascii="Times New Roman;sans-serif" w:hAnsi="Times New Roman;sans-serif"/>
                  <w:b w:val="false"/>
                  <w:color w:val="000080"/>
                  <w:sz w:val="20"/>
                  <w:u w:val="single"/>
                </w:rPr>
                <w:t>3</w:t>
              </w:r>
            </w:hyperlink>
            <w:hyperlink r:id="rId12">
              <w:r>
                <w:rPr>
                  <w:rStyle w:val="InternetLink"/>
                  <w:rFonts w:ascii="Times New Roman;sans-serif" w:hAnsi="Times New Roman;sans-serif"/>
                  <w:b w:val="false"/>
                  <w:color w:val="000080"/>
                  <w:sz w:val="20"/>
                  <w:u w:val="single"/>
                </w:rPr>
                <w:t>.</w:t>
              </w:r>
            </w:hyperlink>
            <w:hyperlink r:id="rId13">
              <w:r>
                <w:rPr>
                  <w:rStyle w:val="InternetLink"/>
                  <w:rFonts w:ascii="Times New Roman;sans-serif" w:hAnsi="Times New Roman;sans-serif"/>
                  <w:b w:val="false"/>
                  <w:color w:val="000080"/>
                  <w:sz w:val="20"/>
                  <w:u w:val="single"/>
                </w:rPr>
                <w:t>).</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Securities Purchase Agreement, dated June 12, 2024, by and among MRC Toro, LLC, MRC Energy Company (solely for the limited purposes stated therein), Ameredev II Parent, LLC, Ameredev Intermediate II, LLC and Ameredev Stateline II, LLC (incorporated by reference to Exhibit 2.1 to the Current Report on Form 8-K filed on June 12, 2024).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Amendment No. 1 to Securities Purchase Agreement, dated August 29, 2024, by and among MRC Toro, LLC, Ameredev II Parent, LLC, Ameredev Intermediate II, LLC and Ameredev Stateline II, LLC (incorporated by reference to Exhibit 2.3 to the Quarterly Report on Form 10-Q for the quarter ended September 30, 2024).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31mtdr10kex26.htm">
              <w:r>
                <w:rPr>
                  <w:rStyle w:val="InternetLink"/>
                  <w:rFonts w:ascii="Times New Roman;sans-serif" w:hAnsi="Times New Roman;sans-serif"/>
                  <w:b w:val="false"/>
                  <w:color w:val="0000FF"/>
                  <w:sz w:val="20"/>
                  <w:u w:val="single"/>
                </w:rPr>
                <w:t>Amendment No. 2 to Securities Purchase Agreement, dated February 14, 2025, by and among MRC Toro, LLC, Ameredev II Parent, LLC, Ameredev Intermediate II, LLC (filed herewith).</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Amended and Restated Certificate of Formation of Matador Resources Company (incorporated by reference to Exhibit 3.2 to the Quarterly Report on Form 10-Q for the quarter ended June 30, 2017).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Certificate of Amendment to the Amended and Restated Certificate of Formation of Matador Resources Company dated April 2, 2015 (incorporated by reference to Exhibit 3.3 to the Quarterly Report on Form 10-Q for the quarter ended June 30, 2017).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Certificate of Amendment to the Amended and Restated Certificate of Formation of Matador Resources Company effective June 2, 2017 (incorporated by reference to Exhibit 3.4 to the Quarterly Report on Form 10-Q for the quarter ended June 30, 2017).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Amended and Restated Bylaws of Matador Resources Company, as amended (incorporated by reference to Exhibit 3.1 to the Current Report on Form 8-K filed on February 22, 2018).</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Form of Common Stock Certificate (incorporated by reference to Exhibit 4.1 to Amendment No. 4 to the Registration Statement on Form S-1 filed on January 19, 2012).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Indenture, dated as of April 11, 2023, by and among Matador Resources Company, the subsidiary guarantors party thereto and Computershare Trust Company, N.A., as trustee (incorporated by reference to Exhibit 4.1 to the Current Report on Form 8-K filed on April 11,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First Supplemental Indenture, dated as of July 25, 2023, by and among Matador Resources Company, MRC Hat Mesa, LLC, the subsidiary guarantors party thereto and Computershare Trust Company, N.A., as trustee (incorporated by reference to Exhibit 4.3 to the Quarterly Report on Form 10-Q for the quarter ended June 30,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Indenture, dated as of April 2, 2024, by and among Matador Resources Company, the subsidiary guarantors party thereto and U.S. Bank Trust Company, National Association, as trustee (incorporated by reference to Exhibit 4.1 to the Current Report on Form 8-K filed on April 2, 2024).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First Supplemental Indenture, dated as of September 20, 2024, by and among MRC Toro, LLC, the subsidiary guarantors party thereto and U.S. Bank Trust Company, National Association, as trustee (incorporated by reference to Exhibit 4.2 to the Quarterly Report on Form 10-Q for the quarter ended September 30, 2024).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Second Supplemental Indenture, dated as of September 20, 2024, by and among MRC Toro, LLC, the subsidiary guarantors party thereto and Computershare Trust Company, N.A., as trustee (incorporated by reference to Exhibit 4.3 to the Quarterly Report on Form 10-Q for the quarter ended September 30, 2024).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1945"/>
                <wp:effectExtent l="0" t="0" r="0" b="0"/>
                <wp:wrapNone/>
                <wp:docPr id="100" name="Frame9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
        <w:gridCol w:w="185"/>
        <w:gridCol w:w="191"/>
        <w:gridCol w:w="109"/>
        <w:gridCol w:w="109"/>
        <w:gridCol w:w="109"/>
        <w:gridCol w:w="3084"/>
        <w:gridCol w:w="2914"/>
        <w:gridCol w:w="2921"/>
        <w:gridCol w:w="109"/>
        <w:gridCol w:w="109"/>
        <w:gridCol w:w="155"/>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Indenture, dated as of September 25, 2024, by and among Matador Resources Company, the subsidiary guarantors party thereto and U.S. Bank Trust Company, National Association, as trustee (incorporated by reference to Exhibit 4.1 to the Current Report on Form 8-K filed on September 25, 2024).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Description of Capital Stock (incorporated by reference to Exhibit 4.4 to the Annual Report on Form 10-K for the year ended December 31, 2019).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Employment Agreement between Matador Resources Company and Joseph Wm. Foran (incorporated by reference to Exhibit 10.3 to Amendment No. 1 to the Registration Statement on Form S-1 filed on November 14, 2011).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First Amendment to the Employment Agreement between Matador Resources Company and Joseph Wm. Foran (incorporated by reference to Exhibit 10.8 to Amendment No. 1 to the Registration Statement on Form S-1 filed on November 14, 2011).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Second Amendment to the Employment Agreement between Matador Resources Company and Joseph Wm. Foran (incorporated by reference to Exhibit 10.12 to Amendment No. 2 to the Registration Statement on Form S-1 filed on December 30, 2011).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Form of Employment Agreement between Matador Resources Company and Van H. Singleton, II, effective February 5, 2015 (incorporated by reference to Exhibit 10.52 to the Annual Report on Form 10-K for the year ended December 31, 2014).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80"/>
                  <w:sz w:val="20"/>
                  <w:u w:val="single"/>
                </w:rPr>
                <w:t xml:space="preserve">Form of Employment Agreement between Matador Resources Company and </w:t>
              </w:r>
            </w:hyperlink>
            <w:hyperlink r:id="rId33">
              <w:r>
                <w:rPr>
                  <w:rStyle w:val="InternetLink"/>
                  <w:rFonts w:ascii="Times New Roman;sans-serif" w:hAnsi="Times New Roman;sans-serif"/>
                  <w:b w:val="false"/>
                  <w:color w:val="000080"/>
                  <w:sz w:val="20"/>
                  <w:u w:val="single"/>
                </w:rPr>
                <w:t>G. Gregg Krug, effective February 19, 2016 (incorporated by reference to Exhibit 10.1 to the Quarterly Report on Form 10-Q for the quarter ended March 31, 2017).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160"/>
              <w:jc w:val="left"/>
              <w:rPr/>
            </w:pPr>
            <w:hyperlink r:id="rId34">
              <w:r>
                <w:rPr>
                  <w:rStyle w:val="InternetLink"/>
                  <w:rFonts w:ascii="Times New Roman;sans-serif" w:hAnsi="Times New Roman;sans-serif"/>
                  <w:b w:val="false"/>
                  <w:color w:val="0000FF"/>
                  <w:sz w:val="20"/>
                  <w:u w:val="single"/>
                </w:rPr>
                <w:t>First Amendment to the Employment Agreement between Matador Resources Company and G. Gregg Krug (incorporated by reference to Exhibit 10.4 to the Quarterly Report on Form 10-Q for the quarter ended June 30, 2019).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80"/>
                  <w:sz w:val="20"/>
                  <w:u w:val="single"/>
                </w:rPr>
                <w:t xml:space="preserve">Form of Employment Agreement between Matador Resources Company and </w:t>
              </w:r>
            </w:hyperlink>
            <w:hyperlink r:id="rId36">
              <w:r>
                <w:rPr>
                  <w:rStyle w:val="InternetLink"/>
                  <w:rFonts w:ascii="Times New Roman;sans-serif" w:hAnsi="Times New Roman;sans-serif"/>
                  <w:b w:val="false"/>
                  <w:color w:val="000080"/>
                  <w:sz w:val="20"/>
                  <w:u w:val="single"/>
                </w:rPr>
                <w:t>Michael D. Frenzel</w:t>
              </w:r>
            </w:hyperlink>
            <w:hyperlink r:id="rId37">
              <w:r>
                <w:rPr>
                  <w:rStyle w:val="InternetLink"/>
                  <w:rFonts w:ascii="Times New Roman;sans-serif" w:hAnsi="Times New Roman;sans-serif"/>
                  <w:b w:val="false"/>
                  <w:color w:val="000080"/>
                  <w:sz w:val="20"/>
                  <w:u w:val="single"/>
                </w:rPr>
                <w:t xml:space="preserve"> (incorporated by reference to Exhibit 10.1 to the Quarterly Report on Form 10-Q for the quarter ended September </w:t>
              </w:r>
            </w:hyperlink>
            <w:hyperlink r:id="rId38">
              <w:r>
                <w:rPr>
                  <w:rStyle w:val="InternetLink"/>
                  <w:rFonts w:ascii="Times New Roman;sans-serif" w:hAnsi="Times New Roman;sans-serif"/>
                  <w:b w:val="false"/>
                  <w:color w:val="000080"/>
                  <w:sz w:val="20"/>
                  <w:u w:val="single"/>
                </w:rPr>
                <w:t>3</w:t>
              </w:r>
            </w:hyperlink>
            <w:hyperlink r:id="rId39">
              <w:r>
                <w:rPr>
                  <w:rStyle w:val="InternetLink"/>
                  <w:rFonts w:ascii="Times New Roman;sans-serif" w:hAnsi="Times New Roman;sans-serif"/>
                  <w:b w:val="false"/>
                  <w:color w:val="000080"/>
                  <w:sz w:val="20"/>
                  <w:u w:val="single"/>
                </w:rPr>
                <w:t>0, 2022).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Form of Employment Agreement between Matador Resources Company and each of Brian J. Willey, Christopher P. Calvert, W. Thomas Elsener, Bryan A. Erman and Glenn W. Stetson (incorporated by reference to Exhibit 10.2 to the Quarterly Report on Form 10-Q for the quarter ended March 31, 2024).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Form of Indemnification Agreement between Matador Resources Company and each of the directors and executive officers thereof (incorporated by reference to Exhibit 10.22 to Amendment No. 1 to the Registration Statement on Form S-1 filed on November 14, 2011).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Second Amended and Restated Pledge and Security Agreement, by and among MRC Energy Company, Longwood Gathering and Disposal Systems GP, Inc. and Royal Bank of Canada, as Administrative Agent, dated as of September 28, 2012 (incorporated by reference to Exhibit 10.49 to the Annual Report on Form 10-K for the year ended December 31, 2012).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Second Amended, Restated and Consolidated Unconditional Guaranty, by and among MRC Permian Company, MRC Rockies Company, Matador Production Company, Longwood Gathering and Disposal Systems GP, Inc., Longwood Gathering and Disposal Systems, LP, Matador Resources Company and Royal Bank of Canada, as Administrative Agent, dated as of September 28, 2012 (incorporated by reference to Exhibit 10.50 to the Annual Report on Form 10-K for the year ended December 31, 2012).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Fourth Amended and Restated Credit Agreement, dated as of November 18, 2021, by and among MRC Energy Company, as Borrower, the Lending Entities from time to time parties thereto, as Lenders, and Royal Bank of Canada, as Administrative Agent (incorporated by reference to Exhibit 10.1 to the Current Report on Form 8-K filed on November 18, 2021).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First Amendment to Fourth Amended and Restated Credit Agreement dated as of April 25, 2022, by and among MRC Energy Company, as Borrower, the lending entities from time to time parties thereto as Lenders, and Royal Bank of Canada, as Administrative Agent (incorporated by reference to Exhibit 10.1 to the Quarterly Report on Form 10-Q for the quarter ended March 31, 2022).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Second Amendment to Fourth Amended and Restated Credit Agreement, dated as of March 31, 2023, by and among MRC Energy Company, as Borrower, the lending entities from time to time parties thereto as Lenders, Royal Bank of Canada, as resigning Administrative Agent, and Truist Bank, as successor Administrative Agent (incorporated by reference to Exhibit 10.1 to the Current Report on Form 8-K filed on April 3,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1945"/>
                <wp:effectExtent l="0" t="0" r="0" b="0"/>
                <wp:wrapNone/>
                <wp:docPr id="101" name="Frame10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1"/>
        <w:gridCol w:w="194"/>
        <w:gridCol w:w="196"/>
        <w:gridCol w:w="109"/>
        <w:gridCol w:w="109"/>
        <w:gridCol w:w="109"/>
        <w:gridCol w:w="2970"/>
        <w:gridCol w:w="2958"/>
        <w:gridCol w:w="2965"/>
        <w:gridCol w:w="109"/>
        <w:gridCol w:w="109"/>
        <w:gridCol w:w="156"/>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Third Amendment to Fourth Amended and Restated Credit Agreement, dated as of April 10, 2023, by and among MRC Energy Company, as Borrower, the lending entities from time to time parties thereto as Lenders, and Truist Bank, as Administrative Agent (incorporated by reference to Exhibit 10.2 to the Quarterly Report on Form 10-Q for the quarter ended March 31,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Fourth Amendment to Fourth Amended and Restated Credit Agreement, dated as of October 19, 2023, by and among MRC Energy Company, as Borrower, the lending entities from time to time parties thereto as Lenders, and Truist Bank, as Administrative Agent (incorporated by reference to Exhibit 10.1 to the Current Report on Form 8-K filed on October 19,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Fifth Amendment to Fourth Amended and Restated Credit Agreement, dated as of March 22, 2024, by and among MRC Energy Company, as Borrower, the lending entities from time to time parties thereto as Lenders, and PNC Bank, National Association, as Administrative Agent (incorporated by reference to Exhibit 10.1 to the Current Report on Form 8-K filed on March 25,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Sixth Amendment to Fourth Amended and Restated Credit Agreement, dated as of September 18, 2024, by and among MRC Energy Company, as Borrower, the lending entities from time to time parties thereto as Lenders, and PNC Bank, National Association, as Administrative Agent (incorporated by reference to Exhibit 10.1 to the Current Report on Form 8-K filed on September 19,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Matador Resources Company Nonqualified Deferred Compensation Plan for Non-Employee Directors (incorporated by reference to Exhibit 10.59 to the Annual Report on Form 10-K for the year ended December 31, 2015).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 xml:space="preserve">Matador Resources Company Annual Cash Incentive Plan, effective as of January 1, 2019 (incorporated by reference to Exhibit 10.66 to the Annual Report on Form 10-K for the year ended December 31, 2018).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Amended and Restated 2012 Long-Term Incentive Plan (incorporated by reference to Exhibit 10.2 to the Current Report on Form 8-K filed on June 11, 2015).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Amendment Number One to the Matador Resources Company Amended and Restated 2012 Long-Term Incentive Plan (incorporated by reference to Exhibit 10.1 to the Quarterly Report on Form 10-Q for the quarter ended September 30,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Form of Nonqualified Stock Option Agreement relating to the Matador Resources Company Amended and Restated 2012 Long-Term Incentive Plan for employees without employment agreements (incorporated by reference to Exhibit 10.53 to the Annual Report on Form 10-K for the year ended December 31, 2015).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Form of Restricted Stock Award Agreement relating to the Matador Resources Company Amended and Restated 2012 Long-Term Incentive Plan for employees without employment agreements (incorporated by reference to Exhibit 10.54 to the Annual Report on Form 10-K for the year ended December 31, 2015).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Form of Restricted Stock Unit Award Agreement for deferred delivery relating to the Matador Resources Company 2012 Long-Term Incentive Plan (incorporated by reference to Exhibit 10.63 to the Annual Report on Form 10-K for the year ended December 31, 2016).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Form of Restricted Stock Unit Award Agreement for Annual Grants with delayed delivery relating to the Matador Resources Company Amended and Restated 2012 Long-Term Incentive Plan (incorporated by reference to Exhibit 10.4 to the Quarterly Report on Form 10-Q for the quarter ended June 30,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Form of Restricted Stock Unit Award Agreement for director awards with deferred delivery under the Matador Resources Company Amended and Restated 2012 Long-Term Incentive Plan (incorporated by reference to Exhibit 10.3 to the Quarterly Report on Form 10-Q for the quarter ended September 30,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Form of Nonqualified Stock Option Agreement for awards under the Matador Resources Company Amended and Restated 2012 Long-Term Incentive Plan for employees without employment agreements (incorporated by reference to Exhibit 10.4 to the Quarterly Report on Form 10-Q for the quarter ended September 30,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Form of Nonqualified Stock Option Agreement for awards under the Matador Resources Company Amended and Restated 2012 Long-Term Incentive Plan for employees with employment agreements (incorporated by reference to Exhibit 10.5 to the Quarterly Report on Form 10-Q for the quarter ended September 30,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Form of Restricted Stock Award Agreement for awards under the Matador Resources Company Amended and Restated 2012 Long-Term Incentive Plan for employees without employment agreements (incorporated by reference to Exhibit 10.6 to the Quarterly Report on Form 10-Q for the quarter ended September 30,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Form of Restricted Stock Award Agreement for awards under the Matador Resources Company Amended and Restated 2012 Long-Term Incentive Plan for employees with employment agreements (incorporated by reference to Exhibit 10.7 to the Quarterly Report on Form 10-Q for the quarter ended September 30,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1945"/>
                <wp:effectExtent l="0" t="0" r="0" b="0"/>
                <wp:wrapNone/>
                <wp:docPr id="102" name="Frame10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3"/>
        <w:gridCol w:w="195"/>
        <w:gridCol w:w="197"/>
        <w:gridCol w:w="109"/>
        <w:gridCol w:w="109"/>
        <w:gridCol w:w="109"/>
        <w:gridCol w:w="3044"/>
        <w:gridCol w:w="2918"/>
        <w:gridCol w:w="2925"/>
        <w:gridCol w:w="109"/>
        <w:gridCol w:w="109"/>
        <w:gridCol w:w="158"/>
      </w:tblGrid>
      <w:tr>
        <w:trPr/>
        <w:tc>
          <w:tcPr>
            <w:tcW w:w="2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Form of Phantom Unit Award Agreement for awards under the Matador Resources Company Amended and Restated 2012 Long-Term Incentive Plan for employees with employment agreements (incorporated by reference to Exhibit 10.67 to the Annual Report on Form 10-K for the year ended December 31, 2018).</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Form of Performance Stock Unit Award Agreement for awards under the Matador Resources Company Amended and Restated 2012 Long-Term Incentive Plan for employees with employment agreements (incorporated by reference to Exhibit 10.68 to the Annual Report on Form 10-K for the year ended December 31, 2018).</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20"/>
                  <w:u w:val="single"/>
                </w:rPr>
                <w:t>Matador Resources Company 2019 Long-Term Incentive Plan (incorporated by reference to Exhibit 99.1 to the Registration Statement on Form S-8 filed on June 6, 2019).</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80"/>
                  <w:sz w:val="20"/>
                  <w:u w:val="single"/>
                </w:rPr>
                <w:t xml:space="preserve">First Amendment to Matador Resources Company 2019 Long-Term Incentive Plan effective April 21, </w:t>
              </w:r>
            </w:hyperlink>
            <w:hyperlink r:id="rId68">
              <w:r>
                <w:rPr>
                  <w:rStyle w:val="InternetLink"/>
                  <w:rFonts w:ascii="Times New Roman;sans-serif" w:hAnsi="Times New Roman;sans-serif"/>
                  <w:b w:val="false"/>
                  <w:color w:val="000080"/>
                  <w:sz w:val="20"/>
                  <w:u w:val="single"/>
                </w:rPr>
                <w:t>2022</w:t>
              </w:r>
            </w:hyperlink>
            <w:hyperlink r:id="rId69">
              <w:r>
                <w:rPr>
                  <w:rStyle w:val="InternetLink"/>
                  <w:rFonts w:ascii="Times New Roman;sans-serif" w:hAnsi="Times New Roman;sans-serif"/>
                  <w:b w:val="false"/>
                  <w:color w:val="000080"/>
                  <w:sz w:val="20"/>
                  <w:u w:val="single"/>
                </w:rPr>
                <w:t xml:space="preserve"> (incorporated by reference to Exhibit 10.1 to the Current Report on Form 8-K filed on June 16, 2022).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FF"/>
                  <w:sz w:val="20"/>
                  <w:u w:val="single"/>
                </w:rPr>
                <w:t>Form of Restricted Stock Unit Award Agreement for director awards under the Matador Resources Company 2019 Long-Term Incentive Plan (incorporated by reference to Exhibit 10.2 to the Quarterly Report on Form 10-Q for the quarter ended June 30, 2019).</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Form of Restricted Stock Unit Award Agreement for director awards with deferred delivery under the Matador Resources Company 2019 Long-Term Incentive Plan (incorporated by reference to Exhibit 10.3 to the Quarterly Report on Form 10-Q for the quarter ended June 30, 2019).</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FF"/>
                  <w:sz w:val="20"/>
                  <w:u w:val="single"/>
                </w:rPr>
                <w:t>Form of Phantom Unit Award Agreement for awards under the Matador Resources Company 2019 Long-Term Incentive Plan for employees with employment agreements (incorporated by reference to Exhibit 10.1 to the Quarterly Report on Form 10-Q for the quarter ended March 31, 2020).</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Form of Performance Stock Unit Award Agreement for awards under the Matador Resources Company 2019 Long-Term Incentive Plan for employees with employment agreements (incorporated by reference to Exhibit 10.2 to the Quarterly Report on Form 10-Q for the quarter ended March 31, 2020).</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FF"/>
                  <w:sz w:val="20"/>
                  <w:u w:val="single"/>
                </w:rPr>
                <w:t>Form of Performance Stock Unit Award Agreement for awards under the Matador Resources Company 2019 Long-Term Incentive Plan for employees with employment agreements (incorporated by reference to Exhibit 10.58 to the Annual Report on Form 10-K for the year ended December 31,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Form of Performance Stock Unit Award Agreement for awards under the Matador Resources Company 2019 Long-Term Incentive Plan for employees without employment agreements (incorporated by reference to Exhibit 10.59 to the Annual Report on Form 10-K for the year ended December 31,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ans-serif" w:hAnsi="Times New Roman;sans-serif"/>
                  <w:b w:val="false"/>
                  <w:color w:val="0000FF"/>
                  <w:sz w:val="20"/>
                  <w:u w:val="single"/>
                </w:rPr>
                <w:t>Form of Restricted Stock Award Agreement for awards under the Matador Resources Company 2019 Long-Term Incentive Plan with ratable vesting for employees without employment agreements (incorporated by reference to Exhibit 10.60 to the Annual Report on Form 10-K for the year ended December 31, 2021).</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7">
              <w:r>
                <w:rPr>
                  <w:rStyle w:val="InternetLink"/>
                  <w:rFonts w:ascii="Times New Roman;sans-serif" w:hAnsi="Times New Roman;sans-serif"/>
                  <w:b w:val="false"/>
                  <w:color w:val="0000FF"/>
                  <w:sz w:val="20"/>
                  <w:u w:val="single"/>
                </w:rPr>
                <w:t>Form of Stock Option Cancellation Agreement for certain stock options under the Matador Resources Company Amended and Restated 2012 Long-Term Incentive Plan (incorporated by reference to Exhibit 10.56 to the Annual Report on Form 10-K for the year ended December 31, 2020).</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FF"/>
                  <w:sz w:val="20"/>
                  <w:u w:val="single"/>
                </w:rPr>
                <w:t>Matador Resources Company 2022 Employee Stock Purchase Plan (incorporated by reference to Exhibit 10.2 to the Current Report on Form 8-K filed on June 16, 2022).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31mtdr10-kex191.htm">
              <w:r>
                <w:rPr>
                  <w:rStyle w:val="InternetLink"/>
                  <w:rFonts w:ascii="Times New Roman;sans-serif" w:hAnsi="Times New Roman;sans-serif"/>
                  <w:b w:val="false"/>
                  <w:color w:val="0000FF"/>
                  <w:sz w:val="20"/>
                  <w:u w:val="single"/>
                </w:rPr>
                <w:t xml:space="preserve">Matador Resources Company Insider Trading Policy (filed herewith). </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31mtdr10-kex211.htm">
              <w:r>
                <w:rPr>
                  <w:rStyle w:val="InternetLink"/>
                  <w:rFonts w:ascii="Times New Roman;sans-serif" w:hAnsi="Times New Roman;sans-serif"/>
                  <w:b w:val="false"/>
                  <w:color w:val="0000FF"/>
                  <w:sz w:val="20"/>
                  <w:u w:val="single"/>
                </w:rPr>
                <w:t>List of Subsidiaries of Matador Resources Company (filed herewith).</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31mtdr10-kex231.htm">
              <w:r>
                <w:rPr>
                  <w:rStyle w:val="InternetLink"/>
                  <w:rFonts w:ascii="Times New Roman;sans-serif" w:hAnsi="Times New Roman;sans-serif"/>
                  <w:b w:val="false"/>
                  <w:color w:val="0000FF"/>
                  <w:sz w:val="20"/>
                  <w:u w:val="single"/>
                </w:rPr>
                <w:t>Consent of KPMG LLP (filed herewith).</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31mtdr10-kex232.htm">
              <w:r>
                <w:rPr>
                  <w:rStyle w:val="InternetLink"/>
                  <w:rFonts w:ascii="Times New Roman;sans-serif" w:hAnsi="Times New Roman;sans-serif"/>
                  <w:b w:val="false"/>
                  <w:color w:val="000080"/>
                  <w:sz w:val="20"/>
                  <w:u w:val="single"/>
                </w:rPr>
                <w:t>Consent of Netherland, Sewell &amp; Associates, Inc</w:t>
              </w:r>
            </w:hyperlink>
            <w:hyperlink w:anchor="a20241231mtdr10-kex232.htm">
              <w:r>
                <w:rPr>
                  <w:rStyle w:val="InternetLink"/>
                  <w:rFonts w:ascii="Times New Roman;sans-serif" w:hAnsi="Times New Roman;sans-serif"/>
                  <w:b w:val="false"/>
                  <w:color w:val="000080"/>
                  <w:sz w:val="20"/>
                  <w:u w:val="single"/>
                </w:rPr>
                <w:t xml:space="preserve">. </w:t>
              </w:r>
            </w:hyperlink>
            <w:hyperlink w:anchor="a20241231mtdr10-kex232.htm">
              <w:r>
                <w:rPr>
                  <w:rStyle w:val="InternetLink"/>
                  <w:rFonts w:ascii="Times New Roman;sans-serif" w:hAnsi="Times New Roman;sans-serif"/>
                  <w:b w:val="false"/>
                  <w:color w:val="000080"/>
                  <w:sz w:val="20"/>
                  <w:u w:val="single"/>
                </w:rPr>
                <w:t>(filed herewith).</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31mtdr10-kex311.htm">
              <w:r>
                <w:rPr>
                  <w:rStyle w:val="InternetLink"/>
                  <w:rFonts w:ascii="Times New Roman;sans-serif" w:hAnsi="Times New Roman;sans-serif"/>
                  <w:b w:val="false"/>
                  <w:color w:val="0000FF"/>
                  <w:sz w:val="20"/>
                  <w:u w:val="single"/>
                </w:rPr>
                <w:t>Certification of Principal Executive Officer pursuant to Section 302 of the Sarbanes-Oxley Act of 2002 (filed herewith).</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31mtdr10-kex312.htm">
              <w:r>
                <w:rPr>
                  <w:rStyle w:val="InternetLink"/>
                  <w:rFonts w:ascii="Times New Roman;sans-serif" w:hAnsi="Times New Roman;sans-serif"/>
                  <w:b w:val="false"/>
                  <w:color w:val="0000FF"/>
                  <w:sz w:val="20"/>
                  <w:u w:val="single"/>
                </w:rPr>
                <w:t>Certification of Principal Financial Officer pursuant to Section 302 of the Sarbanes-Oxley Act of 2002 (filed herewith).</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31mtdr10-k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 (furnished herewith).</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31mtdr10-k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 (furnished herewith).</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80"/>
                  <w:sz w:val="20"/>
                  <w:u w:val="single"/>
                </w:rPr>
                <w:t>Matador Resources Company Clawback Policy (</w:t>
              </w:r>
            </w:hyperlink>
            <w:hyperlink r:id="rId80">
              <w:r>
                <w:rPr>
                  <w:rStyle w:val="InternetLink"/>
                  <w:rFonts w:ascii="Times New Roman;sans-serif" w:hAnsi="Times New Roman;sans-serif"/>
                  <w:b w:val="false"/>
                  <w:color w:val="000080"/>
                  <w:sz w:val="20"/>
                  <w:u w:val="single"/>
                </w:rPr>
                <w:t xml:space="preserve">incorporated by reference to Exhibit </w:t>
              </w:r>
            </w:hyperlink>
            <w:hyperlink r:id="rId81">
              <w:r>
                <w:rPr>
                  <w:rStyle w:val="InternetLink"/>
                  <w:rFonts w:ascii="Times New Roman;sans-serif" w:hAnsi="Times New Roman;sans-serif"/>
                  <w:b w:val="false"/>
                  <w:color w:val="000080"/>
                  <w:sz w:val="20"/>
                  <w:u w:val="single"/>
                </w:rPr>
                <w:t xml:space="preserve">97 to the Annual Report on Form 10-K for </w:t>
              </w:r>
            </w:hyperlink>
            <w:hyperlink r:id="rId82">
              <w:r>
                <w:rPr>
                  <w:rStyle w:val="InternetLink"/>
                  <w:rFonts w:ascii="Times New Roman;sans-serif" w:hAnsi="Times New Roman;sans-serif"/>
                  <w:b w:val="false"/>
                  <w:color w:val="000080"/>
                  <w:sz w:val="20"/>
                  <w:u w:val="single"/>
                </w:rPr>
                <w:t>t</w:t>
              </w:r>
            </w:hyperlink>
            <w:hyperlink r:id="rId83">
              <w:r>
                <w:rPr>
                  <w:rStyle w:val="InternetLink"/>
                  <w:rFonts w:ascii="Times New Roman;sans-serif" w:hAnsi="Times New Roman;sans-serif"/>
                  <w:b w:val="false"/>
                  <w:color w:val="000080"/>
                  <w:sz w:val="20"/>
                  <w:u w:val="single"/>
                </w:rPr>
                <w:t>he year ended December 31, 2023</w:t>
              </w:r>
            </w:hyperlink>
            <w:hyperlink r:id="rId84">
              <w:r>
                <w:rPr>
                  <w:rStyle w:val="InternetLink"/>
                  <w:rFonts w:ascii="Times New Roman;sans-serif" w:hAnsi="Times New Roman;sans-serif"/>
                  <w:b w:val="false"/>
                  <w:color w:val="000080"/>
                  <w:sz w:val="20"/>
                  <w:u w:val="single"/>
                </w:rPr>
                <w:t>).</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1945"/>
                <wp:effectExtent l="0" t="0" r="0" b="0"/>
                <wp:wrapNone/>
                <wp:docPr id="103" name="Frame10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3094"/>
        <w:gridCol w:w="2961"/>
        <w:gridCol w:w="2968"/>
        <w:gridCol w:w="109"/>
        <w:gridCol w:w="109"/>
        <w:gridCol w:w="15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1231mtdr10-kex991.htm">
              <w:r>
                <w:rPr>
                  <w:rStyle w:val="InternetLink"/>
                  <w:rFonts w:ascii="Times New Roman;sans-serif" w:hAnsi="Times New Roman;sans-serif"/>
                  <w:b w:val="false"/>
                  <w:color w:val="0000FF"/>
                  <w:sz w:val="20"/>
                  <w:u w:val="single"/>
                </w:rPr>
                <w:t>Audit report of Netherland, Sewell &amp; Associates, Inc. (filed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Matador Resources Company’s Annual Report on Form 10-K for the year ended December 31, 2024, formatted in Inline XBRL (Inline eXtensible Business Reporting Language): (i) the Consolidated Balance Sheets, (ii) the Consolidated Statements of Income, (iii) the Consolidated Statements of Changes in Shareholders’ Equity, (iv) the Consolidated Statements of Cash Flows and (v) the Notes to Consolidated Financial Statements (submitted electronically herewith).</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(included as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filing excludes certain schedules and exhibits pursuant to Item 601(a)(5) of Regulation S-K, which the Company agrees to furnish supplementally to the SEC upon request; provided, however, that the Company may request confidential treatment pursuant to Rule 24b-2 of the Securities Exchange Act of 1934, as amended, for any schedules or exhibits so furnished.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1945"/>
                <wp:effectExtent l="0" t="0" r="0" b="0"/>
                <wp:wrapNone/>
                <wp:docPr id="104" name="Frame10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Annual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45"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360"/>
        <w:gridCol w:w="360"/>
        <w:gridCol w:w="360"/>
        <w:gridCol w:w="360"/>
        <w:gridCol w:w="360"/>
        <w:gridCol w:w="360"/>
        <w:gridCol w:w="946"/>
        <w:gridCol w:w="946"/>
        <w:gridCol w:w="136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MATADOR RESOURCES COMPANY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Annual Report has been signed below by the following persons on behalf of the registrant and in the capacities and on the dates indicated.</w:t>
      </w:r>
    </w:p>
    <w:tbl>
      <w:tblPr>
        <w:tblW w:w="9008"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539"/>
        <w:gridCol w:w="1539"/>
        <w:gridCol w:w="1557"/>
        <w:gridCol w:w="109"/>
        <w:gridCol w:w="109"/>
        <w:gridCol w:w="109"/>
        <w:gridCol w:w="478"/>
        <w:gridCol w:w="478"/>
        <w:gridCol w:w="67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Chairman and Chief Executive Officer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T. Macalik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Accounting Officer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T. Macalik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Shelley F.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Shelley F.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Reynald A. Baribault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Reynald A. Baribault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 Gaines Baty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 Gaines Baty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M. Byerley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M. Byerley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Monika U. Ehrman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Monika U. Ehrman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W. Harvey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Paul W. Harvey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M. Howard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M. Howard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E. Parker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E. Parker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L. Stewart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Kenneth L. Stewart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M. 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Susan M. 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21945"/>
                <wp:effectExtent l="0" t="0" r="0" b="0"/>
                <wp:wrapNone/>
                <wp:docPr id="105" name="Frame10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GLOSSARY OF OIL AND NATURAL GAS TERMS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meanings of some of the oil and natural gas industry terms used in this Annual Report.</w:t>
      </w:r>
    </w:p>
    <w:p>
      <w:pPr>
        <w:pStyle w:val="TextBody"/>
        <w:bidi w:val="0"/>
        <w:spacing w:lineRule="auto" w:line="288" w:before="120" w:after="283"/>
        <w:ind w:left="0" w:right="0" w:firstLine="495"/>
        <w:jc w:val="left"/>
        <w:rPr/>
      </w:pPr>
      <w:r>
        <w:rPr>
          <w:rFonts w:ascii="Times New Roman;sans-serif" w:hAnsi="Times New Roman;sans-serif"/>
          <w:b/>
          <w:color w:val="000000"/>
          <w:sz w:val="20"/>
        </w:rPr>
        <w:t>Batch drilling</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process by which multiple horizontal wells are drilled from a single pad. In batch drilling, the surface holes for each well are drilled first and then the production holes, including the horizontal laterals for each well, are drilled.</w:t>
      </w:r>
    </w:p>
    <w:p>
      <w:pPr>
        <w:pStyle w:val="TextBody"/>
        <w:bidi w:val="0"/>
        <w:spacing w:lineRule="auto" w:line="288" w:before="120" w:after="283"/>
        <w:ind w:left="0" w:right="0" w:firstLine="495"/>
        <w:jc w:val="left"/>
        <w:rPr/>
      </w:pPr>
      <w:r>
        <w:rPr>
          <w:rFonts w:ascii="Times New Roman;sans-serif" w:hAnsi="Times New Roman;sans-serif"/>
          <w:b/>
          <w:color w:val="000000"/>
          <w:sz w:val="20"/>
        </w:rPr>
        <w:t>Bbl</w:t>
      </w:r>
      <w:r>
        <w:rPr>
          <w:rFonts w:ascii="Times New Roman;sans-serif" w:hAnsi="Times New Roman;sans-serif"/>
          <w:b w:val="false"/>
          <w:color w:val="000000"/>
          <w:sz w:val="20"/>
        </w:rPr>
        <w:t>. One stock tank barrel, or 42 U.S. gallons liquid volume, used in this Annual Report in reference to crude oil, other liquid hydrocarbons or produced water.</w:t>
      </w:r>
    </w:p>
    <w:p>
      <w:pPr>
        <w:pStyle w:val="TextBody"/>
        <w:bidi w:val="0"/>
        <w:spacing w:lineRule="auto" w:line="288" w:before="120" w:after="283"/>
        <w:ind w:left="0" w:right="0" w:firstLine="495"/>
        <w:jc w:val="left"/>
        <w:rPr/>
      </w:pPr>
      <w:r>
        <w:rPr>
          <w:rFonts w:ascii="Times New Roman;sans-serif" w:hAnsi="Times New Roman;sans-serif"/>
          <w:b/>
          <w:color w:val="000000"/>
          <w:sz w:val="20"/>
        </w:rPr>
        <w:t>Bcf</w:t>
      </w:r>
      <w:r>
        <w:rPr>
          <w:rFonts w:ascii="Times New Roman;sans-serif" w:hAnsi="Times New Roman;sans-serif"/>
          <w:b w:val="false"/>
          <w:color w:val="000000"/>
          <w:sz w:val="20"/>
        </w:rPr>
        <w:t>. One billion cubic feet of natural gas.</w:t>
      </w:r>
    </w:p>
    <w:p>
      <w:pPr>
        <w:pStyle w:val="TextBody"/>
        <w:bidi w:val="0"/>
        <w:spacing w:lineRule="auto" w:line="288" w:before="120" w:after="283"/>
        <w:ind w:left="0" w:right="0" w:firstLine="495"/>
        <w:jc w:val="left"/>
        <w:rPr/>
      </w:pPr>
      <w:r>
        <w:rPr>
          <w:rFonts w:ascii="Times New Roman;sans-serif" w:hAnsi="Times New Roman;sans-serif"/>
          <w:b/>
          <w:color w:val="000000"/>
          <w:sz w:val="20"/>
        </w:rPr>
        <w:t>Bench</w:t>
      </w:r>
      <w:r>
        <w:rPr>
          <w:rFonts w:ascii="Times New Roman;sans-serif" w:hAnsi="Times New Roman;sans-serif"/>
          <w:b w:val="false"/>
          <w:color w:val="000000"/>
          <w:sz w:val="20"/>
        </w:rPr>
        <w:t>. A geologic zone or formation or a subdivision of a geologic formation.</w:t>
      </w:r>
    </w:p>
    <w:p>
      <w:pPr>
        <w:pStyle w:val="TextBody"/>
        <w:bidi w:val="0"/>
        <w:spacing w:lineRule="auto" w:line="288" w:before="120" w:after="283"/>
        <w:ind w:left="0" w:right="0" w:firstLine="495"/>
        <w:jc w:val="left"/>
        <w:rPr/>
      </w:pPr>
      <w:r>
        <w:rPr>
          <w:rFonts w:ascii="Times New Roman;sans-serif" w:hAnsi="Times New Roman;sans-serif"/>
          <w:b/>
          <w:color w:val="000000"/>
          <w:sz w:val="20"/>
        </w:rPr>
        <w:t>BOE</w:t>
      </w:r>
      <w:r>
        <w:rPr>
          <w:rFonts w:ascii="Times New Roman;sans-serif" w:hAnsi="Times New Roman;sans-serif"/>
          <w:b w:val="false"/>
          <w:color w:val="000000"/>
          <w:sz w:val="20"/>
        </w:rPr>
        <w:t>. Barrels of oil equivalent, determined using the ratio of one Bbl of crude oil, condensate or NGLs to six Mcf of natural gas.</w:t>
      </w:r>
    </w:p>
    <w:p>
      <w:pPr>
        <w:pStyle w:val="TextBody"/>
        <w:bidi w:val="0"/>
        <w:spacing w:lineRule="auto" w:line="288" w:before="120" w:after="283"/>
        <w:ind w:left="0" w:right="0" w:firstLine="495"/>
        <w:jc w:val="left"/>
        <w:rPr/>
      </w:pPr>
      <w:r>
        <w:rPr>
          <w:rFonts w:ascii="Times New Roman;sans-serif" w:hAnsi="Times New Roman;sans-serif"/>
          <w:b/>
          <w:color w:val="000000"/>
          <w:sz w:val="20"/>
        </w:rPr>
        <w:t>BOE/d</w:t>
      </w:r>
      <w:r>
        <w:rPr>
          <w:rFonts w:ascii="Times New Roman;sans-serif" w:hAnsi="Times New Roman;sans-serif"/>
          <w:b w:val="false"/>
          <w:color w:val="000000"/>
          <w:sz w:val="20"/>
        </w:rPr>
        <w:t>. BOE per day.</w:t>
      </w:r>
    </w:p>
    <w:p>
      <w:pPr>
        <w:pStyle w:val="TextBody"/>
        <w:bidi w:val="0"/>
        <w:spacing w:lineRule="auto" w:line="288" w:before="120" w:after="283"/>
        <w:ind w:left="0" w:right="0" w:firstLine="495"/>
        <w:jc w:val="left"/>
        <w:rPr/>
      </w:pPr>
      <w:r>
        <w:rPr>
          <w:rFonts w:ascii="Times New Roman;sans-serif" w:hAnsi="Times New Roman;sans-serif"/>
          <w:b/>
          <w:color w:val="000000"/>
          <w:sz w:val="20"/>
        </w:rPr>
        <w:t>Btu or British thermal unit</w:t>
      </w:r>
      <w:r>
        <w:rPr>
          <w:rFonts w:ascii="Times New Roman;sans-serif" w:hAnsi="Times New Roman;sans-serif"/>
          <w:b w:val="false"/>
          <w:color w:val="000000"/>
          <w:sz w:val="20"/>
        </w:rPr>
        <w:t>. The quantity of heat required to raise the temperature of one pound of water by one degree Fahrenheit.</w:t>
      </w:r>
    </w:p>
    <w:p>
      <w:pPr>
        <w:pStyle w:val="TextBody"/>
        <w:bidi w:val="0"/>
        <w:spacing w:lineRule="auto" w:line="288" w:before="120" w:after="283"/>
        <w:ind w:left="0" w:right="0" w:firstLine="495"/>
        <w:jc w:val="left"/>
        <w:rPr/>
      </w:pPr>
      <w:r>
        <w:rPr>
          <w:rFonts w:ascii="Times New Roman;sans-serif" w:hAnsi="Times New Roman;sans-serif"/>
          <w:b/>
          <w:color w:val="000000"/>
          <w:sz w:val="20"/>
        </w:rPr>
        <w:t>Central delivery point or CDP</w:t>
      </w:r>
      <w:r>
        <w:rPr>
          <w:rFonts w:ascii="Times New Roman;sans-serif" w:hAnsi="Times New Roman;sans-serif"/>
          <w:b w:val="false"/>
          <w:color w:val="000000"/>
          <w:sz w:val="20"/>
        </w:rPr>
        <w:t>. The point on an oil, natural gas or produced water system where such product is aggregated from one or more gathering or transportation pipelines, wells, tank batteries or leases. Custody is often transferred to a third party at a central delivery point.</w:t>
      </w:r>
    </w:p>
    <w:p>
      <w:pPr>
        <w:pStyle w:val="TextBody"/>
        <w:bidi w:val="0"/>
        <w:spacing w:lineRule="auto" w:line="288" w:before="120" w:after="283"/>
        <w:ind w:left="0" w:right="0" w:firstLine="495"/>
        <w:jc w:val="left"/>
        <w:rPr/>
      </w:pPr>
      <w:r>
        <w:rPr>
          <w:rFonts w:ascii="Times New Roman;sans-serif" w:hAnsi="Times New Roman;sans-serif"/>
          <w:b/>
          <w:color w:val="000000"/>
          <w:sz w:val="20"/>
        </w:rPr>
        <w:t>Completion</w:t>
      </w:r>
      <w:r>
        <w:rPr>
          <w:rFonts w:ascii="Times New Roman;sans-serif" w:hAnsi="Times New Roman;sans-serif"/>
          <w:b w:val="false"/>
          <w:color w:val="000000"/>
          <w:sz w:val="20"/>
        </w:rPr>
        <w:t>. The operations required to establish production of oil or natural gas from a wellbore, usually involving perforations, stimulation and/or installation of permanent equipment in the well, or in the case of a dry hole, the reporting of abandonment to the appropriate agency.</w:t>
      </w:r>
    </w:p>
    <w:p>
      <w:pPr>
        <w:pStyle w:val="TextBody"/>
        <w:bidi w:val="0"/>
        <w:spacing w:lineRule="auto" w:line="288" w:before="120" w:after="283"/>
        <w:ind w:left="0" w:right="0" w:firstLine="495"/>
        <w:jc w:val="left"/>
        <w:rPr/>
      </w:pPr>
      <w:r>
        <w:rPr>
          <w:rFonts w:ascii="Times New Roman;sans-serif" w:hAnsi="Times New Roman;sans-serif"/>
          <w:b/>
          <w:color w:val="000000"/>
          <w:sz w:val="20"/>
        </w:rPr>
        <w:t>Condensate</w:t>
      </w:r>
      <w:r>
        <w:rPr>
          <w:rFonts w:ascii="Times New Roman;sans-serif" w:hAnsi="Times New Roman;sans-serif"/>
          <w:b w:val="false"/>
          <w:color w:val="000000"/>
          <w:sz w:val="20"/>
        </w:rPr>
        <w:t>. A mixture of hydrocarbons that exists in the gaseous phase at original reservoir temperature and pressure, but that, when produced, is in the liquid phase at surface pressure and temperature.</w:t>
      </w:r>
    </w:p>
    <w:p>
      <w:pPr>
        <w:pStyle w:val="TextBody"/>
        <w:bidi w:val="0"/>
        <w:spacing w:lineRule="auto" w:line="288" w:before="120" w:after="283"/>
        <w:ind w:left="0" w:right="0" w:firstLine="495"/>
        <w:jc w:val="left"/>
        <w:rPr/>
      </w:pPr>
      <w:r>
        <w:rPr>
          <w:rFonts w:ascii="Times New Roman;sans-serif" w:hAnsi="Times New Roman;sans-serif"/>
          <w:b/>
          <w:color w:val="000000"/>
          <w:sz w:val="20"/>
        </w:rPr>
        <w:t>Conventional reservoirs or resources</w:t>
      </w:r>
      <w:r>
        <w:rPr>
          <w:rFonts w:ascii="Times New Roman;sans-serif" w:hAnsi="Times New Roman;sans-serif"/>
          <w:b w:val="false"/>
          <w:color w:val="000000"/>
          <w:sz w:val="20"/>
        </w:rPr>
        <w:t>. Natural gas or oil that is produced by a well drilled into a geologic formation in which the reservoir and fluid characteristics permit the natural gas or oil to readily flow to the wellbore.</w:t>
      </w:r>
    </w:p>
    <w:p>
      <w:pPr>
        <w:pStyle w:val="TextBody"/>
        <w:bidi w:val="0"/>
        <w:spacing w:lineRule="auto" w:line="288" w:before="120" w:after="283"/>
        <w:ind w:left="0" w:right="0" w:firstLine="495"/>
        <w:jc w:val="left"/>
        <w:rPr/>
      </w:pPr>
      <w:r>
        <w:rPr>
          <w:rFonts w:ascii="Times New Roman;sans-serif" w:hAnsi="Times New Roman;sans-serif"/>
          <w:b/>
          <w:color w:val="000000"/>
          <w:sz w:val="20"/>
        </w:rPr>
        <w:t>Coring</w:t>
      </w:r>
      <w:r>
        <w:rPr>
          <w:rFonts w:ascii="Times New Roman;sans-serif" w:hAnsi="Times New Roman;sans-serif"/>
          <w:b w:val="false"/>
          <w:color w:val="000000"/>
          <w:sz w:val="20"/>
        </w:rPr>
        <w:t>. The act of taking a core. A core is a solid column of rock, usually from two to four inches in diameter, taken as a sample of an underground formation. It is common practice to take cores from wells in the process of being drilled. A core bit is attached to the end of the drill pipe. The core bit then cuts a column of rock from the formation being penetrated. The core is then removed and tested for evidence of oil or natural gas, and its characteristics (porosity, permeability, etc.) are determined.</w:t>
      </w:r>
    </w:p>
    <w:p>
      <w:pPr>
        <w:pStyle w:val="TextBody"/>
        <w:bidi w:val="0"/>
        <w:spacing w:lineRule="auto" w:line="288" w:before="120" w:after="283"/>
        <w:ind w:left="0" w:right="0" w:firstLine="495"/>
        <w:jc w:val="left"/>
        <w:rPr/>
      </w:pPr>
      <w:r>
        <w:rPr>
          <w:rFonts w:ascii="Times New Roman;sans-serif" w:hAnsi="Times New Roman;sans-serif"/>
          <w:b/>
          <w:color w:val="000000"/>
          <w:sz w:val="20"/>
        </w:rPr>
        <w:t>Developed acreage</w:t>
      </w:r>
      <w:r>
        <w:rPr>
          <w:rFonts w:ascii="Times New Roman;sans-serif" w:hAnsi="Times New Roman;sans-serif"/>
          <w:b w:val="false"/>
          <w:color w:val="000000"/>
          <w:sz w:val="20"/>
        </w:rPr>
        <w:t>. The number of acres that are allocated or assignable to productive wells.</w:t>
      </w:r>
    </w:p>
    <w:p>
      <w:pPr>
        <w:pStyle w:val="TextBody"/>
        <w:bidi w:val="0"/>
        <w:spacing w:lineRule="auto" w:line="288" w:before="120" w:after="283"/>
        <w:ind w:left="0" w:right="0" w:firstLine="495"/>
        <w:jc w:val="left"/>
        <w:rPr/>
      </w:pPr>
      <w:r>
        <w:rPr>
          <w:rFonts w:ascii="Times New Roman;sans-serif" w:hAnsi="Times New Roman;sans-serif"/>
          <w:b/>
          <w:color w:val="000000"/>
          <w:sz w:val="20"/>
        </w:rPr>
        <w:t>Developed oil and natural gas reserves</w:t>
      </w:r>
      <w:r>
        <w:rPr>
          <w:rFonts w:ascii="Times New Roman;sans-serif" w:hAnsi="Times New Roman;sans-serif"/>
          <w:b w:val="false"/>
          <w:color w:val="000000"/>
          <w:sz w:val="20"/>
        </w:rPr>
        <w:t>. 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pStyle w:val="TextBody"/>
        <w:bidi w:val="0"/>
        <w:spacing w:lineRule="auto" w:line="288" w:before="120" w:after="283"/>
        <w:ind w:left="0" w:right="0" w:firstLine="495"/>
        <w:jc w:val="left"/>
        <w:rPr/>
      </w:pPr>
      <w:r>
        <w:rPr>
          <w:rFonts w:ascii="Times New Roman;sans-serif" w:hAnsi="Times New Roman;sans-serif"/>
          <w:b/>
          <w:color w:val="000000"/>
          <w:sz w:val="20"/>
        </w:rPr>
        <w:t>Development well</w:t>
      </w:r>
      <w:r>
        <w:rPr>
          <w:rFonts w:ascii="Times New Roman;sans-serif" w:hAnsi="Times New Roman;sans-serif"/>
          <w:b w:val="false"/>
          <w:color w:val="000000"/>
          <w:sz w:val="20"/>
        </w:rPr>
        <w:t>. A well drilled within the proved area of an oil or natural gas reservoir to the depth of a stratigraphic horizon known to be productive.</w:t>
      </w:r>
    </w:p>
    <w:p>
      <w:pPr>
        <w:pStyle w:val="TextBody"/>
        <w:bidi w:val="0"/>
        <w:spacing w:lineRule="auto" w:line="288" w:before="120" w:after="283"/>
        <w:ind w:left="0" w:right="0" w:firstLine="495"/>
        <w:jc w:val="left"/>
        <w:rPr/>
      </w:pPr>
      <w:r>
        <w:rPr>
          <w:rFonts w:ascii="Times New Roman;sans-serif" w:hAnsi="Times New Roman;sans-serif"/>
          <w:b/>
          <w:color w:val="000000"/>
          <w:sz w:val="20"/>
        </w:rPr>
        <w:t>Differential</w:t>
      </w:r>
      <w:r>
        <w:rPr>
          <w:rFonts w:ascii="Times New Roman;sans-serif" w:hAnsi="Times New Roman;sans-serif"/>
          <w:b w:val="false"/>
          <w:color w:val="000000"/>
          <w:sz w:val="20"/>
        </w:rPr>
        <w:t>. The difference between a particular oil or natural gas price and the applicable benchmark price, such as the NYMEX West Texas Intermediate oil price or the NYMEX Henry Hub natural gas price.</w:t>
      </w:r>
    </w:p>
    <w:p>
      <w:pPr>
        <w:pStyle w:val="TextBody"/>
        <w:bidi w:val="0"/>
        <w:spacing w:lineRule="auto" w:line="288" w:before="120" w:after="283"/>
        <w:ind w:left="0" w:right="0" w:firstLine="495"/>
        <w:jc w:val="left"/>
        <w:rPr/>
      </w:pPr>
      <w:r>
        <w:rPr>
          <w:rFonts w:ascii="Times New Roman;sans-serif" w:hAnsi="Times New Roman;sans-serif"/>
          <w:b/>
          <w:color w:val="000000"/>
          <w:sz w:val="20"/>
        </w:rPr>
        <w:t>Dry hole</w:t>
      </w:r>
      <w:r>
        <w:rPr>
          <w:rFonts w:ascii="Times New Roman;sans-serif" w:hAnsi="Times New Roman;sans-serif"/>
          <w:b w:val="false"/>
          <w:color w:val="000000"/>
          <w:sz w:val="20"/>
        </w:rPr>
        <w:t>. A well found to be incapable of producing hydrocarbons.</w:t>
      </w:r>
    </w:p>
    <w:p>
      <w:pPr>
        <w:pStyle w:val="TextBody"/>
        <w:bidi w:val="0"/>
        <w:spacing w:lineRule="auto" w:line="288" w:before="120" w:after="283"/>
        <w:ind w:left="0" w:right="0" w:firstLine="495"/>
        <w:jc w:val="left"/>
        <w:rPr/>
      </w:pPr>
      <w:r>
        <w:rPr>
          <w:rFonts w:ascii="Times New Roman;sans-serif" w:hAnsi="Times New Roman;sans-serif"/>
          <w:b/>
          <w:color w:val="000000"/>
          <w:sz w:val="20"/>
        </w:rPr>
        <w:t>Economically producible</w:t>
      </w:r>
      <w:r>
        <w:rPr>
          <w:rFonts w:ascii="Times New Roman;sans-serif" w:hAnsi="Times New Roman;sans-serif"/>
          <w:b w:val="false"/>
          <w:color w:val="000000"/>
          <w:sz w:val="20"/>
        </w:rPr>
        <w:t>. As it relates to a resource, a resource which generates revenue that exceeds, or is reasonably expected to exceed, the costs of the operation.</w:t>
      </w:r>
    </w:p>
    <w:p>
      <w:pPr>
        <w:pStyle w:val="TextBody"/>
        <w:bidi w:val="0"/>
        <w:spacing w:lineRule="auto" w:line="288" w:before="120" w:after="283"/>
        <w:ind w:left="0" w:right="0" w:firstLine="495"/>
        <w:jc w:val="left"/>
        <w:rPr/>
      </w:pPr>
      <w:r>
        <w:rPr>
          <w:rFonts w:ascii="Times New Roman;sans-serif" w:hAnsi="Times New Roman;sans-serif"/>
          <w:b/>
          <w:color w:val="000000"/>
          <w:sz w:val="20"/>
        </w:rPr>
        <w:t>ESP</w:t>
      </w:r>
      <w:r>
        <w:rPr>
          <w:rFonts w:ascii="Times New Roman;sans-serif" w:hAnsi="Times New Roman;sans-serif"/>
          <w:b w:val="false"/>
          <w:color w:val="000000"/>
          <w:sz w:val="20"/>
        </w:rPr>
        <w:t>. Electric submersible pump.</w:t>
      </w:r>
    </w:p>
    <w:p>
      <w:pPr>
        <w:pStyle w:val="TextBody"/>
        <w:bidi w:val="0"/>
        <w:spacing w:lineRule="auto" w:line="288" w:before="120" w:after="283"/>
        <w:ind w:left="0" w:right="0" w:firstLine="495"/>
        <w:jc w:val="left"/>
        <w:rPr/>
      </w:pPr>
      <w:r>
        <w:rPr>
          <w:rFonts w:ascii="Times New Roman;sans-serif" w:hAnsi="Times New Roman;sans-serif"/>
          <w:b/>
          <w:color w:val="000000"/>
          <w:sz w:val="20"/>
        </w:rPr>
        <w:t>Exploratory well</w:t>
      </w:r>
      <w:r>
        <w:rPr>
          <w:rFonts w:ascii="Times New Roman;sans-serif" w:hAnsi="Times New Roman;sans-serif"/>
          <w:b w:val="false"/>
          <w:color w:val="000000"/>
          <w:sz w:val="20"/>
        </w:rPr>
        <w:t>. A well drilled to find a new field or to find a new reservoir in a field previously found to be productive of oil or natural gas in another reservoir. Generally, an exploratory well is any well that is not a development well, an extension well, a service well or a stratigraphic test well.</w:t>
      </w:r>
    </w:p>
    <w:p>
      <w:pPr>
        <w:pStyle w:val="TextBody"/>
        <w:bidi w:val="0"/>
        <w:spacing w:lineRule="auto" w:line="288" w:before="120" w:after="283"/>
        <w:ind w:left="0" w:right="0" w:firstLine="495"/>
        <w:jc w:val="left"/>
        <w:rPr/>
      </w:pPr>
      <w:r>
        <w:rPr>
          <w:rFonts w:ascii="Times New Roman;sans-serif" w:hAnsi="Times New Roman;sans-serif"/>
          <w:b/>
          <w:color w:val="000000"/>
          <w:sz w:val="20"/>
        </w:rPr>
        <w:t>Extension well</w:t>
      </w:r>
      <w:r>
        <w:rPr>
          <w:rFonts w:ascii="Times New Roman;sans-serif" w:hAnsi="Times New Roman;sans-serif"/>
          <w:b w:val="false"/>
          <w:color w:val="000000"/>
          <w:sz w:val="20"/>
        </w:rPr>
        <w:t>. A well drilled to extend the limits of a known reservoir.</w:t>
      </w:r>
    </w:p>
    <w:p>
      <w:pPr>
        <w:pStyle w:val="TextBody"/>
        <w:bidi w:val="0"/>
        <w:spacing w:lineRule="auto" w:line="288" w:before="120" w:after="283"/>
        <w:ind w:left="0" w:right="0" w:firstLine="495"/>
        <w:jc w:val="left"/>
        <w:rPr/>
      </w:pPr>
      <w:r>
        <w:rPr>
          <w:rFonts w:ascii="Times New Roman;sans-serif" w:hAnsi="Times New Roman;sans-serif"/>
          <w:b/>
          <w:color w:val="000000"/>
          <w:sz w:val="20"/>
        </w:rPr>
        <w:t>Farmin or farmout</w:t>
      </w:r>
      <w:r>
        <w:rPr>
          <w:rFonts w:ascii="Times New Roman;sans-serif" w:hAnsi="Times New Roman;sans-serif"/>
          <w:b w:val="false"/>
          <w:color w:val="000000"/>
          <w:sz w:val="20"/>
        </w:rPr>
        <w:t xml:space="preserve">. An agreement under which the owner of a working interest in an oil or natural gas lease assigns the working interest or a portion of the working interest to another party who desires to drill on the leased acreage. Generally,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21945"/>
                <wp:effectExtent l="0" t="0" r="0" b="0"/>
                <wp:wrapNone/>
                <wp:docPr id="106" name="Frame10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assignee is required to drill one or more wells in order to earn its interest in the acreage. The assignor usually retains a royalty or reversionary interest in the lease. The interest received by an assignee is a “farmin” while the interest transferred by the assignor is a “farmout.”</w:t>
      </w:r>
    </w:p>
    <w:p>
      <w:pPr>
        <w:pStyle w:val="TextBody"/>
        <w:bidi w:val="0"/>
        <w:spacing w:lineRule="auto" w:line="288" w:before="120" w:after="283"/>
        <w:ind w:left="0" w:right="0" w:firstLine="495"/>
        <w:jc w:val="left"/>
        <w:rPr/>
      </w:pPr>
      <w:r>
        <w:rPr>
          <w:rFonts w:ascii="Times New Roman;sans-serif" w:hAnsi="Times New Roman;sans-serif"/>
          <w:b/>
          <w:color w:val="000000"/>
          <w:sz w:val="20"/>
        </w:rPr>
        <w:t>Field</w:t>
      </w:r>
      <w:r>
        <w:rPr>
          <w:rFonts w:ascii="Times New Roman;sans-serif" w:hAnsi="Times New Roman;sans-serif"/>
          <w:b w:val="false"/>
          <w:color w:val="000000"/>
          <w:sz w:val="20"/>
        </w:rPr>
        <w:t>. An area consisting of a single reservoir or multiple reservoirs all grouped on or related to the same individual geological structural feature and/or stratigraphic condition.</w:t>
      </w:r>
    </w:p>
    <w:p>
      <w:pPr>
        <w:pStyle w:val="TextBody"/>
        <w:bidi w:val="0"/>
        <w:spacing w:lineRule="auto" w:line="288" w:before="120" w:after="283"/>
        <w:ind w:left="0" w:right="0" w:firstLine="495"/>
        <w:jc w:val="left"/>
        <w:rPr/>
      </w:pPr>
      <w:r>
        <w:rPr>
          <w:rFonts w:ascii="Times New Roman;sans-serif" w:hAnsi="Times New Roman;sans-serif"/>
          <w:b/>
          <w:color w:val="000000"/>
          <w:sz w:val="20"/>
        </w:rPr>
        <w:t>GAAP, or U.S. GAAP</w:t>
      </w:r>
      <w:r>
        <w:rPr>
          <w:rFonts w:ascii="Times New Roman;sans-serif" w:hAnsi="Times New Roman;sans-serif"/>
          <w:b w:val="false"/>
          <w:color w:val="000000"/>
          <w:sz w:val="20"/>
        </w:rPr>
        <w:t>. United States, generally accepted accounting principles.</w:t>
      </w:r>
    </w:p>
    <w:p>
      <w:pPr>
        <w:pStyle w:val="TextBody"/>
        <w:bidi w:val="0"/>
        <w:spacing w:lineRule="auto" w:line="288" w:before="120" w:after="283"/>
        <w:ind w:left="0" w:right="0" w:firstLine="495"/>
        <w:jc w:val="left"/>
        <w:rPr/>
      </w:pPr>
      <w:r>
        <w:rPr>
          <w:rFonts w:ascii="Times New Roman;sans-serif" w:hAnsi="Times New Roman;sans-serif"/>
          <w:b/>
          <w:color w:val="000000"/>
          <w:sz w:val="20"/>
        </w:rPr>
        <w:t>Gross acres or gross wells</w:t>
      </w:r>
      <w:r>
        <w:rPr>
          <w:rFonts w:ascii="Times New Roman;sans-serif" w:hAnsi="Times New Roman;sans-serif"/>
          <w:b w:val="false"/>
          <w:color w:val="000000"/>
          <w:sz w:val="20"/>
        </w:rPr>
        <w:t>. The total acres or wells in which a working interest is owned.</w:t>
      </w:r>
    </w:p>
    <w:p>
      <w:pPr>
        <w:pStyle w:val="TextBody"/>
        <w:bidi w:val="0"/>
        <w:spacing w:lineRule="auto" w:line="288" w:before="120" w:after="283"/>
        <w:ind w:left="0" w:right="0" w:firstLine="495"/>
        <w:jc w:val="left"/>
        <w:rPr/>
      </w:pPr>
      <w:r>
        <w:rPr>
          <w:rFonts w:ascii="Times New Roman;sans-serif" w:hAnsi="Times New Roman;sans-serif"/>
          <w:b/>
          <w:color w:val="000000"/>
          <w:sz w:val="20"/>
        </w:rPr>
        <w:t>Held by production</w:t>
      </w:r>
      <w:r>
        <w:rPr>
          <w:rFonts w:ascii="Times New Roman;sans-serif" w:hAnsi="Times New Roman;sans-serif"/>
          <w:b w:val="false"/>
          <w:color w:val="000000"/>
          <w:sz w:val="20"/>
        </w:rPr>
        <w:t>. An oil and natural gas property under lease in which the lease continues to be in force after the primary term of the lease in accordance with its terms as a result of production from the property.</w:t>
      </w:r>
    </w:p>
    <w:p>
      <w:pPr>
        <w:pStyle w:val="TextBody"/>
        <w:bidi w:val="0"/>
        <w:spacing w:lineRule="auto" w:line="288" w:before="120" w:after="283"/>
        <w:ind w:left="0" w:right="0" w:firstLine="495"/>
        <w:jc w:val="left"/>
        <w:rPr/>
      </w:pPr>
      <w:r>
        <w:rPr>
          <w:rFonts w:ascii="Times New Roman;sans-serif" w:hAnsi="Times New Roman;sans-serif"/>
          <w:b/>
          <w:color w:val="000000"/>
          <w:sz w:val="20"/>
        </w:rPr>
        <w:t>Horizontal drilling or well</w:t>
      </w:r>
      <w:r>
        <w:rPr>
          <w:rFonts w:ascii="Times New Roman;sans-serif" w:hAnsi="Times New Roman;sans-serif"/>
          <w:b w:val="false"/>
          <w:color w:val="000000"/>
          <w:sz w:val="20"/>
        </w:rPr>
        <w:t>. A drilling operation in which a portion of the well is drilled horizontally within a productive or potentially productive formation. This operation typically yields a horizontal well that has the ability to produce higher volumes than a vertical well drilled in the same formation. A horizontal well is designed to replace multiple vertical wells, resulting in lower capital expenditures for draining like acreage and limiting surface disruption.</w:t>
      </w:r>
    </w:p>
    <w:p>
      <w:pPr>
        <w:pStyle w:val="TextBody"/>
        <w:bidi w:val="0"/>
        <w:spacing w:lineRule="auto" w:line="288" w:before="120" w:after="283"/>
        <w:ind w:left="0" w:right="0" w:firstLine="495"/>
        <w:jc w:val="left"/>
        <w:rPr/>
      </w:pPr>
      <w:r>
        <w:rPr>
          <w:rFonts w:ascii="Times New Roman;sans-serif" w:hAnsi="Times New Roman;sans-serif"/>
          <w:b/>
          <w:color w:val="000000"/>
          <w:sz w:val="20"/>
        </w:rPr>
        <w:t>Hydraulic fracturing</w:t>
      </w:r>
      <w:r>
        <w:rPr>
          <w:rFonts w:ascii="Times New Roman;sans-serif" w:hAnsi="Times New Roman;sans-serif"/>
          <w:b w:val="false"/>
          <w:color w:val="000000"/>
          <w:sz w:val="20"/>
        </w:rPr>
        <w:t>. The technique of improving a well’s production or injection rates by pumping a mixture of fluids into the formation and rupturing the rock, creating an artificial channel. As part of this technique, sand or other material may also be injected into the formation to prop the channel open, so that fluids or gases may more easily flow from the formation, through the fracture channel and into the wellbore. This technique may also be referred to as fracture stimulation.</w:t>
      </w:r>
    </w:p>
    <w:p>
      <w:pPr>
        <w:pStyle w:val="TextBody"/>
        <w:bidi w:val="0"/>
        <w:spacing w:lineRule="auto" w:line="288" w:before="120" w:after="283"/>
        <w:ind w:left="0" w:right="0" w:firstLine="495"/>
        <w:jc w:val="left"/>
        <w:rPr/>
      </w:pPr>
      <w:r>
        <w:rPr>
          <w:rFonts w:ascii="Times New Roman;sans-serif" w:hAnsi="Times New Roman;sans-serif"/>
          <w:b/>
          <w:color w:val="000000"/>
          <w:sz w:val="20"/>
        </w:rPr>
        <w:t>Lateral length</w:t>
      </w:r>
      <w:r>
        <w:rPr>
          <w:rFonts w:ascii="Times New Roman;sans-serif" w:hAnsi="Times New Roman;sans-serif"/>
          <w:b w:val="false"/>
          <w:color w:val="000000"/>
          <w:sz w:val="20"/>
        </w:rPr>
        <w:t>. Length of the drilled or completed portion of a horizontal well.</w:t>
      </w:r>
    </w:p>
    <w:p>
      <w:pPr>
        <w:pStyle w:val="TextBody"/>
        <w:bidi w:val="0"/>
        <w:spacing w:lineRule="auto" w:line="288" w:before="120" w:after="283"/>
        <w:ind w:left="0" w:right="0" w:firstLine="495"/>
        <w:jc w:val="left"/>
        <w:rPr/>
      </w:pPr>
      <w:r>
        <w:rPr>
          <w:rFonts w:ascii="Times New Roman;sans-serif" w:hAnsi="Times New Roman;sans-serif"/>
          <w:b/>
          <w:color w:val="000000"/>
          <w:sz w:val="20"/>
        </w:rPr>
        <w:t>Liquids</w:t>
      </w:r>
      <w:r>
        <w:rPr>
          <w:rFonts w:ascii="Times New Roman;sans-serif" w:hAnsi="Times New Roman;sans-serif"/>
          <w:b w:val="false"/>
          <w:color w:val="000000"/>
          <w:sz w:val="20"/>
        </w:rPr>
        <w:t>. Liquids, or natural gas liquids, are marketable liquid products including ethane, propane, butane, pentane and natural gasoline resulting from the further processing of liquefiable hydrocarbons separated from raw natural gas by a natural gas processing facility.</w:t>
      </w:r>
    </w:p>
    <w:p>
      <w:pPr>
        <w:pStyle w:val="TextBody"/>
        <w:bidi w:val="0"/>
        <w:spacing w:lineRule="auto" w:line="288" w:before="120" w:after="283"/>
        <w:ind w:left="0" w:right="0" w:firstLine="495"/>
        <w:jc w:val="left"/>
        <w:rPr/>
      </w:pPr>
      <w:r>
        <w:rPr>
          <w:rFonts w:ascii="Times New Roman;sans-serif" w:hAnsi="Times New Roman;sans-serif"/>
          <w:b/>
          <w:color w:val="000000"/>
          <w:sz w:val="20"/>
        </w:rPr>
        <w:t>MBbl</w:t>
      </w:r>
      <w:r>
        <w:rPr>
          <w:rFonts w:ascii="Times New Roman;sans-serif" w:hAnsi="Times New Roman;sans-serif"/>
          <w:b w:val="false"/>
          <w:color w:val="000000"/>
          <w:sz w:val="20"/>
        </w:rPr>
        <w:t>. One thousand barrels of crude oil, other liquid hydrocarbons or produced water.</w:t>
      </w:r>
    </w:p>
    <w:p>
      <w:pPr>
        <w:pStyle w:val="TextBody"/>
        <w:bidi w:val="0"/>
        <w:spacing w:lineRule="auto" w:line="288" w:before="120" w:after="283"/>
        <w:ind w:left="0" w:right="0" w:firstLine="495"/>
        <w:jc w:val="left"/>
        <w:rPr/>
      </w:pPr>
      <w:r>
        <w:rPr>
          <w:rFonts w:ascii="Times New Roman;sans-serif" w:hAnsi="Times New Roman;sans-serif"/>
          <w:b/>
          <w:color w:val="000000"/>
          <w:sz w:val="20"/>
        </w:rPr>
        <w:t>MBOE</w:t>
      </w:r>
      <w:r>
        <w:rPr>
          <w:rFonts w:ascii="Times New Roman;sans-serif" w:hAnsi="Times New Roman;sans-serif"/>
          <w:b w:val="false"/>
          <w:color w:val="000000"/>
          <w:sz w:val="20"/>
        </w:rPr>
        <w:t>. One thousand BOE.</w:t>
      </w:r>
    </w:p>
    <w:p>
      <w:pPr>
        <w:pStyle w:val="TextBody"/>
        <w:bidi w:val="0"/>
        <w:spacing w:lineRule="auto" w:line="288" w:before="120" w:after="283"/>
        <w:ind w:left="0" w:right="0" w:firstLine="495"/>
        <w:jc w:val="left"/>
        <w:rPr/>
      </w:pPr>
      <w:r>
        <w:rPr>
          <w:rFonts w:ascii="Times New Roman;sans-serif" w:hAnsi="Times New Roman;sans-serif"/>
          <w:b/>
          <w:color w:val="000000"/>
          <w:sz w:val="20"/>
        </w:rPr>
        <w:t>Mcf</w:t>
      </w:r>
      <w:r>
        <w:rPr>
          <w:rFonts w:ascii="Times New Roman;sans-serif" w:hAnsi="Times New Roman;sans-serif"/>
          <w:b w:val="false"/>
          <w:color w:val="000000"/>
          <w:sz w:val="20"/>
        </w:rPr>
        <w:t>. One thousand cubic feet of natural gas.</w:t>
      </w:r>
    </w:p>
    <w:p>
      <w:pPr>
        <w:pStyle w:val="TextBody"/>
        <w:bidi w:val="0"/>
        <w:spacing w:lineRule="auto" w:line="288" w:before="120" w:after="283"/>
        <w:ind w:left="0" w:right="0" w:firstLine="495"/>
        <w:jc w:val="left"/>
        <w:rPr/>
      </w:pPr>
      <w:r>
        <w:rPr>
          <w:rFonts w:ascii="Times New Roman;sans-serif" w:hAnsi="Times New Roman;sans-serif"/>
          <w:b/>
          <w:color w:val="000000"/>
          <w:sz w:val="20"/>
        </w:rPr>
        <w:t>MMBtu</w:t>
      </w:r>
      <w:r>
        <w:rPr>
          <w:rFonts w:ascii="Times New Roman;sans-serif" w:hAnsi="Times New Roman;sans-serif"/>
          <w:b w:val="false"/>
          <w:color w:val="000000"/>
          <w:sz w:val="20"/>
        </w:rPr>
        <w:t>. One million British thermal units.</w:t>
      </w:r>
    </w:p>
    <w:p>
      <w:pPr>
        <w:pStyle w:val="TextBody"/>
        <w:bidi w:val="0"/>
        <w:spacing w:lineRule="auto" w:line="288" w:before="120" w:after="283"/>
        <w:ind w:left="0" w:right="0" w:firstLine="495"/>
        <w:jc w:val="left"/>
        <w:rPr/>
      </w:pPr>
      <w:r>
        <w:rPr>
          <w:rFonts w:ascii="Times New Roman;sans-serif" w:hAnsi="Times New Roman;sans-serif"/>
          <w:b/>
          <w:color w:val="000000"/>
          <w:sz w:val="20"/>
        </w:rPr>
        <w:t>MMcf</w:t>
      </w:r>
      <w:r>
        <w:rPr>
          <w:rFonts w:ascii="Times New Roman;sans-serif" w:hAnsi="Times New Roman;sans-serif"/>
          <w:b w:val="false"/>
          <w:color w:val="000000"/>
          <w:sz w:val="20"/>
        </w:rPr>
        <w:t>. One million cubic feet of natural gas.</w:t>
      </w:r>
    </w:p>
    <w:p>
      <w:pPr>
        <w:pStyle w:val="TextBody"/>
        <w:bidi w:val="0"/>
        <w:spacing w:lineRule="auto" w:line="288" w:before="120" w:after="283"/>
        <w:ind w:left="0" w:right="0" w:firstLine="495"/>
        <w:jc w:val="left"/>
        <w:rPr/>
      </w:pPr>
      <w:r>
        <w:rPr>
          <w:rFonts w:ascii="Times New Roman;sans-serif" w:hAnsi="Times New Roman;sans-serif"/>
          <w:b/>
          <w:color w:val="000000"/>
          <w:sz w:val="20"/>
        </w:rPr>
        <w:t>NGL</w:t>
      </w:r>
      <w:r>
        <w:rPr>
          <w:rFonts w:ascii="Times New Roman;sans-serif" w:hAnsi="Times New Roman;sans-serif"/>
          <w:b w:val="false"/>
          <w:color w:val="000000"/>
          <w:sz w:val="20"/>
        </w:rPr>
        <w:t>. Natural gas liquids.</w:t>
      </w:r>
    </w:p>
    <w:p>
      <w:pPr>
        <w:pStyle w:val="TextBody"/>
        <w:bidi w:val="0"/>
        <w:spacing w:lineRule="auto" w:line="288" w:before="120" w:after="283"/>
        <w:ind w:left="0" w:right="0" w:firstLine="495"/>
        <w:jc w:val="left"/>
        <w:rPr/>
      </w:pPr>
      <w:r>
        <w:rPr>
          <w:rFonts w:ascii="Times New Roman;sans-serif" w:hAnsi="Times New Roman;sans-serif"/>
          <w:b/>
          <w:color w:val="000000"/>
          <w:sz w:val="20"/>
        </w:rPr>
        <w:t>Net acres or net wells</w:t>
      </w:r>
      <w:r>
        <w:rPr>
          <w:rFonts w:ascii="Times New Roman;sans-serif" w:hAnsi="Times New Roman;sans-serif"/>
          <w:b w:val="false"/>
          <w:color w:val="000000"/>
          <w:sz w:val="20"/>
        </w:rPr>
        <w:t>. The sum of the fractional working interest owned in gross acres or wells.</w:t>
      </w:r>
    </w:p>
    <w:p>
      <w:pPr>
        <w:pStyle w:val="TextBody"/>
        <w:bidi w:val="0"/>
        <w:spacing w:lineRule="auto" w:line="288" w:before="120" w:after="283"/>
        <w:ind w:left="0" w:right="0" w:firstLine="495"/>
        <w:jc w:val="left"/>
        <w:rPr/>
      </w:pPr>
      <w:r>
        <w:rPr>
          <w:rFonts w:ascii="Times New Roman;sans-serif" w:hAnsi="Times New Roman;sans-serif"/>
          <w:b/>
          <w:color w:val="000000"/>
          <w:sz w:val="20"/>
        </w:rPr>
        <w:t>Net revenue interest</w:t>
      </w:r>
      <w:r>
        <w:rPr>
          <w:rFonts w:ascii="Times New Roman;sans-serif" w:hAnsi="Times New Roman;sans-serif"/>
          <w:b w:val="false"/>
          <w:color w:val="000000"/>
          <w:sz w:val="20"/>
        </w:rPr>
        <w:t>. The interest that defines the percentage of revenue that an owner of a well receives from the sale of oil, natural gas and/or natural gas liquids that are produced from the well.</w:t>
      </w:r>
    </w:p>
    <w:p>
      <w:pPr>
        <w:pStyle w:val="TextBody"/>
        <w:bidi w:val="0"/>
        <w:spacing w:lineRule="auto" w:line="288" w:before="120" w:after="283"/>
        <w:ind w:left="0" w:right="0" w:firstLine="495"/>
        <w:jc w:val="left"/>
        <w:rPr/>
      </w:pPr>
      <w:r>
        <w:rPr>
          <w:rFonts w:ascii="Times New Roman;sans-serif" w:hAnsi="Times New Roman;sans-serif"/>
          <w:b/>
          <w:color w:val="000000"/>
          <w:sz w:val="20"/>
        </w:rPr>
        <w:t>NYMEX</w:t>
      </w:r>
      <w:r>
        <w:rPr>
          <w:rFonts w:ascii="Times New Roman;sans-serif" w:hAnsi="Times New Roman;sans-serif"/>
          <w:b w:val="false"/>
          <w:color w:val="000000"/>
          <w:sz w:val="20"/>
        </w:rPr>
        <w:t>. New York Mercantile Exchange.</w:t>
      </w:r>
    </w:p>
    <w:p>
      <w:pPr>
        <w:pStyle w:val="TextBody"/>
        <w:bidi w:val="0"/>
        <w:spacing w:lineRule="auto" w:line="288" w:before="120" w:after="283"/>
        <w:ind w:left="0" w:right="0" w:firstLine="495"/>
        <w:jc w:val="left"/>
        <w:rPr/>
      </w:pPr>
      <w:r>
        <w:rPr>
          <w:rFonts w:ascii="Times New Roman;sans-serif" w:hAnsi="Times New Roman;sans-serif"/>
          <w:b/>
          <w:color w:val="000000"/>
          <w:sz w:val="20"/>
        </w:rPr>
        <w:t>Organization of Petroleum Exporting Countries or OPEC</w:t>
      </w:r>
      <w:r>
        <w:rPr>
          <w:rFonts w:ascii="Times New Roman;sans-serif" w:hAnsi="Times New Roman;sans-serif"/>
          <w:b w:val="false"/>
          <w:color w:val="000000"/>
          <w:sz w:val="20"/>
        </w:rPr>
        <w:t>. An intergovernmental group of 13 of the world’s major oil-exporting countries, which was founded in 1960 to coordinate the petroleum policies of its members and to provide member countries with technical and economic aid.</w:t>
      </w:r>
    </w:p>
    <w:p>
      <w:pPr>
        <w:pStyle w:val="TextBody"/>
        <w:bidi w:val="0"/>
        <w:spacing w:lineRule="auto" w:line="288" w:before="120" w:after="283"/>
        <w:ind w:left="0" w:right="0" w:firstLine="495"/>
        <w:jc w:val="left"/>
        <w:rPr/>
      </w:pPr>
      <w:r>
        <w:rPr>
          <w:rFonts w:ascii="Times New Roman;sans-serif" w:hAnsi="Times New Roman;sans-serif"/>
          <w:b/>
          <w:color w:val="000000"/>
          <w:sz w:val="20"/>
        </w:rPr>
        <w:t>OPEC+</w:t>
      </w:r>
      <w:r>
        <w:rPr>
          <w:rFonts w:ascii="Times New Roman;sans-serif" w:hAnsi="Times New Roman;sans-serif"/>
          <w:b w:val="false"/>
          <w:color w:val="000000"/>
          <w:sz w:val="20"/>
        </w:rPr>
        <w:t>. A loose affiliation of the member countries of OPEC and 10 of the world’s other major oil-exporting countries, including Russia.</w:t>
      </w:r>
    </w:p>
    <w:p>
      <w:pPr>
        <w:pStyle w:val="TextBody"/>
        <w:bidi w:val="0"/>
        <w:spacing w:lineRule="auto" w:line="288" w:before="120" w:after="283"/>
        <w:ind w:left="0" w:right="0" w:firstLine="495"/>
        <w:jc w:val="left"/>
        <w:rPr/>
      </w:pPr>
      <w:r>
        <w:rPr>
          <w:rFonts w:ascii="Times New Roman;sans-serif" w:hAnsi="Times New Roman;sans-serif"/>
          <w:b/>
          <w:color w:val="000000"/>
          <w:sz w:val="20"/>
        </w:rPr>
        <w:t>Overriding royalty interest</w:t>
      </w:r>
      <w:r>
        <w:rPr>
          <w:rFonts w:ascii="Times New Roman;sans-serif" w:hAnsi="Times New Roman;sans-serif"/>
          <w:b w:val="false"/>
          <w:color w:val="000000"/>
          <w:sz w:val="20"/>
        </w:rPr>
        <w:t>. A fractional interest in the gross production of oil and natural gas under a lease, in addition to the usual royalties paid to the lessor, free of any expense for exploration, drilling, development, operating, marketing and other costs incident to the production and sale of oil and natural gas produced from the lease. It is an interest carved out of the lessee’s working interest, as distinguished from the lessor’s reserved royalty interest.</w:t>
      </w:r>
    </w:p>
    <w:p>
      <w:pPr>
        <w:pStyle w:val="TextBody"/>
        <w:bidi w:val="0"/>
        <w:spacing w:lineRule="auto" w:line="288" w:before="120" w:after="283"/>
        <w:ind w:left="0" w:right="0" w:firstLine="495"/>
        <w:jc w:val="left"/>
        <w:rPr/>
      </w:pPr>
      <w:r>
        <w:rPr>
          <w:rFonts w:ascii="Times New Roman;sans-serif" w:hAnsi="Times New Roman;sans-serif"/>
          <w:b/>
          <w:color w:val="000000"/>
          <w:sz w:val="20"/>
        </w:rPr>
        <w:t>Pad</w:t>
      </w:r>
      <w:r>
        <w:rPr>
          <w:rFonts w:ascii="Times New Roman;sans-serif" w:hAnsi="Times New Roman;sans-serif"/>
          <w:b w:val="false"/>
          <w:color w:val="000000"/>
          <w:sz w:val="20"/>
        </w:rPr>
        <w:t>. The surface constructed to accommodate the drilling, completion and production operations of an oil or natural gas well.</w:t>
      </w:r>
    </w:p>
    <w:p>
      <w:pPr>
        <w:pStyle w:val="TextBody"/>
        <w:bidi w:val="0"/>
        <w:spacing w:lineRule="auto" w:line="288" w:before="120" w:after="283"/>
        <w:ind w:left="0" w:right="0" w:firstLine="495"/>
        <w:jc w:val="left"/>
        <w:rPr/>
      </w:pPr>
      <w:r>
        <w:rPr>
          <w:rFonts w:ascii="Times New Roman;sans-serif" w:hAnsi="Times New Roman;sans-serif"/>
          <w:b/>
          <w:color w:val="000000"/>
          <w:sz w:val="20"/>
        </w:rPr>
        <w:t>Pad drilling</w:t>
      </w:r>
      <w:r>
        <w:rPr>
          <w:rFonts w:ascii="Times New Roman;sans-serif" w:hAnsi="Times New Roman;sans-serif"/>
          <w:b w:val="false"/>
          <w:color w:val="000000"/>
          <w:sz w:val="20"/>
        </w:rPr>
        <w:t>. The process by which multiple horizontal wells are drilled from a single pad. In pad drilling, each well on the pad is drilled to total depth before the next well is initiated.</w:t>
      </w:r>
    </w:p>
    <w:p>
      <w:pPr>
        <w:pStyle w:val="TextBody"/>
        <w:bidi w:val="0"/>
        <w:spacing w:lineRule="auto" w:line="288" w:before="120" w:after="283"/>
        <w:ind w:left="0" w:right="0" w:firstLine="495"/>
        <w:jc w:val="left"/>
        <w:rPr/>
      </w:pPr>
      <w:r>
        <w:rPr>
          <w:rFonts w:ascii="Times New Roman;sans-serif" w:hAnsi="Times New Roman;sans-serif"/>
          <w:b/>
          <w:color w:val="000000"/>
          <w:sz w:val="20"/>
        </w:rPr>
        <w:t>Permeability</w:t>
      </w:r>
      <w:r>
        <w:rPr>
          <w:rFonts w:ascii="Times New Roman;sans-serif" w:hAnsi="Times New Roman;sans-serif"/>
          <w:b w:val="false"/>
          <w:color w:val="000000"/>
          <w:sz w:val="20"/>
        </w:rPr>
        <w:t>. A reference to the ability of oil and/or natural gas to flow through a reservoir.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21945"/>
                <wp:effectExtent l="0" t="0" r="0" b="0"/>
                <wp:wrapNone/>
                <wp:docPr id="107" name="Frame10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95"/>
        <w:jc w:val="left"/>
        <w:rPr/>
      </w:pPr>
      <w:r>
        <w:rPr>
          <w:rFonts w:ascii="Times New Roman;sans-serif" w:hAnsi="Times New Roman;sans-serif"/>
          <w:b/>
          <w:color w:val="000000"/>
          <w:sz w:val="20"/>
        </w:rPr>
        <w:t>Petrophysical analysis</w:t>
      </w:r>
      <w:r>
        <w:rPr>
          <w:rFonts w:ascii="Times New Roman;sans-serif" w:hAnsi="Times New Roman;sans-serif"/>
          <w:b w:val="false"/>
          <w:color w:val="000000"/>
          <w:sz w:val="20"/>
        </w:rPr>
        <w:t>. The interpretation of well log measurements, obtained from a string of electronic tools inserted into the borehole, and from core measurements, in which rock samples are retrieved from the subsurface, then combining these measurements with other relevant geological and geophysical information to describe the reservoir rock properties.</w:t>
      </w:r>
    </w:p>
    <w:p>
      <w:pPr>
        <w:pStyle w:val="TextBody"/>
        <w:bidi w:val="0"/>
        <w:spacing w:lineRule="auto" w:line="288" w:before="120" w:after="283"/>
        <w:ind w:left="0" w:right="0" w:firstLine="495"/>
        <w:jc w:val="left"/>
        <w:rPr/>
      </w:pPr>
      <w:r>
        <w:rPr>
          <w:rFonts w:ascii="Times New Roman;sans-serif" w:hAnsi="Times New Roman;sans-serif"/>
          <w:b/>
          <w:color w:val="000000"/>
          <w:sz w:val="20"/>
        </w:rPr>
        <w:t>Play</w:t>
      </w:r>
      <w:r>
        <w:rPr>
          <w:rFonts w:ascii="Times New Roman;sans-serif" w:hAnsi="Times New Roman;sans-serif"/>
          <w:b w:val="false"/>
          <w:color w:val="000000"/>
          <w:sz w:val="20"/>
        </w:rPr>
        <w:t>. A set of known or postulated oil and/or natural gas accumulations sharing similar geologic, geographic and temporal properties, such as source rock, migration pathways, timing, trapping mechanism and hydrocarbon type.</w:t>
      </w:r>
    </w:p>
    <w:p>
      <w:pPr>
        <w:pStyle w:val="TextBody"/>
        <w:bidi w:val="0"/>
        <w:spacing w:lineRule="auto" w:line="288" w:before="120" w:after="283"/>
        <w:ind w:left="0" w:right="0" w:firstLine="495"/>
        <w:jc w:val="left"/>
        <w:rPr/>
      </w:pPr>
      <w:r>
        <w:rPr>
          <w:rFonts w:ascii="Times New Roman;sans-serif" w:hAnsi="Times New Roman;sans-serif"/>
          <w:b/>
          <w:color w:val="000000"/>
          <w:sz w:val="20"/>
        </w:rPr>
        <w:t>Possible reserves</w:t>
      </w:r>
      <w:r>
        <w:rPr>
          <w:rFonts w:ascii="Times New Roman;sans-serif" w:hAnsi="Times New Roman;sans-serif"/>
          <w:b w:val="false"/>
          <w:color w:val="000000"/>
          <w:sz w:val="20"/>
        </w:rPr>
        <w:t>. Additional reserves that are less certain to be recovered than probable reserves.</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Probable reserves</w:t>
      </w:r>
      <w:r>
        <w:rPr>
          <w:rFonts w:ascii="Times New Roman;sans-serif" w:hAnsi="Times New Roman;sans-serif"/>
          <w:b w:val="false"/>
          <w:color w:val="000000"/>
          <w:sz w:val="20"/>
        </w:rPr>
        <w:t>. Additional reserves that are less certain to be recovered than proved reserves but which, together with proved reserves, are as likely as not to be recovered.</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Producing well, or productive well</w:t>
      </w:r>
      <w:r>
        <w:rPr>
          <w:rFonts w:ascii="Times New Roman;sans-serif" w:hAnsi="Times New Roman;sans-serif"/>
          <w:b w:val="false"/>
          <w:color w:val="000000"/>
          <w:sz w:val="20"/>
        </w:rPr>
        <w:t>. A well that is found to be capable of producing hydrocarbons in sufficient quantities such that proceeds from the sale of the well’s production exceed production-related expenses and taxes.</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Production costs</w:t>
      </w:r>
      <w:r>
        <w:rPr>
          <w:rFonts w:ascii="Times New Roman;sans-serif" w:hAnsi="Times New Roman;sans-serif"/>
          <w:b w:val="false"/>
          <w:color w:val="000000"/>
          <w:sz w:val="20"/>
        </w:rPr>
        <w:t>. Costs incurred to operate and maintain wells and related equipment and facilities, including depreciation and applicable operating costs of support equipment and facilities and other costs of operating and maintaining such wells and related equipment and facilities.</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Properties</w:t>
      </w:r>
      <w:r>
        <w:rPr>
          <w:rFonts w:ascii="Times New Roman;sans-serif" w:hAnsi="Times New Roman;sans-serif"/>
          <w:b w:val="false"/>
          <w:color w:val="000000"/>
          <w:sz w:val="20"/>
        </w:rPr>
        <w:t>. Natural gas and oil wells, production and related equipment and facilities and oil, natural gas, or other mineral fee, leasehold and related interests.</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Prospect</w:t>
      </w:r>
      <w:r>
        <w:rPr>
          <w:rFonts w:ascii="Times New Roman;sans-serif" w:hAnsi="Times New Roman;sans-serif"/>
          <w:b w:val="false"/>
          <w:color w:val="000000"/>
          <w:sz w:val="20"/>
        </w:rPr>
        <w:t>. A specific geographic area which, based on supporting geological, geophysical or other data and preliminary economic analysis using reasonably anticipated prices and costs, is considered to have potential for the discovery of commercial hydrocarbons.</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Prospectivity</w:t>
      </w:r>
      <w:r>
        <w:rPr>
          <w:rFonts w:ascii="Times New Roman;sans-serif" w:hAnsi="Times New Roman;sans-serif"/>
          <w:b w:val="false"/>
          <w:color w:val="000000"/>
          <w:sz w:val="20"/>
        </w:rPr>
        <w:t>. Having the potential for the discovery and/or future development of commercial hydrocarbons in a specific geographic area or formation.</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Proved area</w:t>
      </w:r>
      <w:r>
        <w:rPr>
          <w:rFonts w:ascii="Times New Roman;sans-serif" w:hAnsi="Times New Roman;sans-serif"/>
          <w:b w:val="false"/>
          <w:color w:val="000000"/>
          <w:sz w:val="20"/>
        </w:rPr>
        <w:t>. The part of a property to which proved reserves have been specifically attributed.</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Proved developed non-producing</w:t>
      </w:r>
      <w:r>
        <w:rPr>
          <w:rFonts w:ascii="Times New Roman;sans-serif" w:hAnsi="Times New Roman;sans-serif"/>
          <w:b w:val="false"/>
          <w:color w:val="000000"/>
          <w:sz w:val="20"/>
        </w:rPr>
        <w:t>. Hydrocarbons in a potentially producing horizon penetrated by a wellbore, the production of which has been postponed pending installation of surface equipment or gathering facilities, or pending the production of hydrocarbons from another formation penetrated by the wellbore. The hydrocarbons are classified as proved developed but non-producing reserves.</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Proved developed reserves</w:t>
      </w:r>
      <w:r>
        <w:rPr>
          <w:rFonts w:ascii="Times New Roman;sans-serif" w:hAnsi="Times New Roman;sans-serif"/>
          <w:b w:val="false"/>
          <w:color w:val="000000"/>
          <w:sz w:val="20"/>
        </w:rPr>
        <w:t>. Proved reserves that can be expected to be recovered through existing wells and facilities and by existing operating methods.</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Proved properties</w:t>
      </w:r>
      <w:r>
        <w:rPr>
          <w:rFonts w:ascii="Times New Roman;sans-serif" w:hAnsi="Times New Roman;sans-serif"/>
          <w:b w:val="false"/>
          <w:color w:val="000000"/>
          <w:sz w:val="20"/>
        </w:rPr>
        <w:t>. Properties with proved reserves.</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Proved reserves</w:t>
      </w:r>
      <w:r>
        <w:rPr>
          <w:rFonts w:ascii="Times New Roman;sans-serif" w:hAnsi="Times New Roman;sans-serif"/>
          <w:b w:val="false"/>
          <w:color w:val="000000"/>
          <w:sz w:val="20"/>
        </w:rPr>
        <w:t>.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w:t>
      </w:r>
    </w:p>
    <w:p>
      <w:pPr>
        <w:pStyle w:val="TextBody"/>
        <w:bidi w:val="0"/>
        <w:spacing w:lineRule="auto" w:line="288" w:before="120" w:after="283"/>
        <w:ind w:left="0" w:right="0" w:firstLine="495"/>
        <w:jc w:val="left"/>
        <w:rPr/>
      </w:pPr>
      <w:r>
        <w:rPr>
          <w:rFonts w:ascii="Times New Roman;sans-serif" w:hAnsi="Times New Roman;sans-serif"/>
          <w:b/>
          <w:color w:val="000000"/>
          <w:sz w:val="20"/>
        </w:rPr>
        <w:t>Proved undeveloped reserves</w:t>
      </w:r>
      <w:r>
        <w:rPr>
          <w:rFonts w:ascii="Times New Roman;sans-serif" w:hAnsi="Times New Roman;sans-serif"/>
          <w:b w:val="false"/>
          <w:color w:val="000000"/>
          <w:sz w:val="20"/>
        </w:rPr>
        <w:t>. Proved reserves that are expected to be recovered from new wells on undrilled acreage or from existing wells where a relatively major expenditure is required for recompletion.</w:t>
      </w:r>
    </w:p>
    <w:p>
      <w:pPr>
        <w:pStyle w:val="TextBody"/>
        <w:bidi w:val="0"/>
        <w:spacing w:lineRule="auto" w:line="288" w:before="120" w:after="283"/>
        <w:ind w:left="0" w:right="0" w:firstLine="495"/>
        <w:jc w:val="left"/>
        <w:rPr/>
      </w:pPr>
      <w:r>
        <w:rPr>
          <w:rFonts w:ascii="Times New Roman;sans-serif" w:hAnsi="Times New Roman;sans-serif"/>
          <w:b/>
          <w:color w:val="000000"/>
          <w:sz w:val="20"/>
        </w:rPr>
        <w:t xml:space="preserve">Reasonable certainty. </w:t>
      </w:r>
      <w:r>
        <w:rPr>
          <w:rFonts w:ascii="Times New Roman;sans-serif" w:hAnsi="Times New Roman;sans-serif"/>
          <w:b w:val="false"/>
          <w:color w:val="000000"/>
          <w:sz w:val="20"/>
        </w:rPr>
        <w:t>A high degree of confidence that the quantities of oil and/or natural gas will be recovered.</w:t>
      </w:r>
    </w:p>
    <w:p>
      <w:pPr>
        <w:pStyle w:val="TextBody"/>
        <w:bidi w:val="0"/>
        <w:spacing w:lineRule="auto" w:line="288" w:before="120" w:after="283"/>
        <w:ind w:left="0" w:right="0" w:firstLine="495"/>
        <w:jc w:val="left"/>
        <w:rPr/>
      </w:pPr>
      <w:r>
        <w:rPr>
          <w:rFonts w:ascii="Times New Roman;sans-serif" w:hAnsi="Times New Roman;sans-serif"/>
          <w:b/>
          <w:color w:val="000000"/>
          <w:sz w:val="20"/>
        </w:rPr>
        <w:t>Recompletion</w:t>
      </w:r>
      <w:r>
        <w:rPr>
          <w:rFonts w:ascii="Times New Roman;sans-serif" w:hAnsi="Times New Roman;sans-serif"/>
          <w:b w:val="false"/>
          <w:color w:val="000000"/>
          <w:sz w:val="20"/>
        </w:rPr>
        <w:t>. Completing in the same wellbore to reach a new reservoir after production from the original reservoir has been abandoned.</w:t>
      </w:r>
    </w:p>
    <w:p>
      <w:pPr>
        <w:pStyle w:val="TextBody"/>
        <w:bidi w:val="0"/>
        <w:spacing w:lineRule="auto" w:line="288" w:before="120" w:after="283"/>
        <w:ind w:left="0" w:right="0" w:firstLine="495"/>
        <w:jc w:val="left"/>
        <w:rPr/>
      </w:pPr>
      <w:r>
        <w:rPr>
          <w:rFonts w:ascii="Times New Roman;sans-serif" w:hAnsi="Times New Roman;sans-serif"/>
          <w:b/>
          <w:color w:val="000000"/>
          <w:sz w:val="20"/>
        </w:rPr>
        <w:t>Repeatability</w:t>
      </w:r>
      <w:r>
        <w:rPr>
          <w:rFonts w:ascii="Times New Roman;sans-serif" w:hAnsi="Times New Roman;sans-serif"/>
          <w:b w:val="false"/>
          <w:color w:val="000000"/>
          <w:sz w:val="20"/>
        </w:rPr>
        <w:t>. The potential ability to drill multiple wells within a prospect or trend.</w:t>
      </w:r>
    </w:p>
    <w:p>
      <w:pPr>
        <w:pStyle w:val="TextBody"/>
        <w:bidi w:val="0"/>
        <w:spacing w:lineRule="auto" w:line="288" w:before="120" w:after="283"/>
        <w:ind w:left="0" w:right="0" w:firstLine="495"/>
        <w:jc w:val="left"/>
        <w:rPr/>
      </w:pPr>
      <w:r>
        <w:rPr>
          <w:rFonts w:ascii="Times New Roman;sans-serif" w:hAnsi="Times New Roman;sans-serif"/>
          <w:b/>
          <w:color w:val="000000"/>
          <w:sz w:val="20"/>
        </w:rPr>
        <w:t>Reservoir</w:t>
      </w:r>
      <w:r>
        <w:rPr>
          <w:rFonts w:ascii="Times New Roman;sans-serif" w:hAnsi="Times New Roman;sans-serif"/>
          <w:b w:val="false"/>
          <w:color w:val="000000"/>
          <w:sz w:val="20"/>
        </w:rPr>
        <w:t>. A porous and permeable underground formation containing a natural accumulation of producible oil and/or natural gas that is confined by impermeable rock or water barriers and is individual and separate from other reservoirs.</w:t>
      </w:r>
    </w:p>
    <w:p>
      <w:pPr>
        <w:pStyle w:val="TextBody"/>
        <w:bidi w:val="0"/>
        <w:spacing w:lineRule="auto" w:line="288" w:before="120" w:after="283"/>
        <w:ind w:left="0" w:right="0" w:firstLine="495"/>
        <w:jc w:val="left"/>
        <w:rPr/>
      </w:pPr>
      <w:r>
        <w:rPr>
          <w:rFonts w:ascii="Times New Roman;sans-serif" w:hAnsi="Times New Roman;sans-serif"/>
          <w:b/>
          <w:color w:val="000000"/>
          <w:sz w:val="20"/>
        </w:rPr>
        <w:t xml:space="preserve">Reserves. </w:t>
      </w:r>
      <w:r>
        <w:rPr>
          <w:rFonts w:ascii="Times New Roman;sans-serif" w:hAnsi="Times New Roman;sans-serif"/>
          <w:b w:val="false"/>
          <w:color w:val="000000"/>
          <w:sz w:val="20"/>
        </w:rPr>
        <w:t>Estimated remaining quantities of oil and gas and related substances anticipated to be economically producible, as of a given date, by application of development projects to known accumulations.</w:t>
      </w:r>
    </w:p>
    <w:p>
      <w:pPr>
        <w:pStyle w:val="TextBody"/>
        <w:bidi w:val="0"/>
        <w:spacing w:lineRule="auto" w:line="288" w:before="120" w:after="283"/>
        <w:ind w:left="0" w:right="0" w:firstLine="495"/>
        <w:jc w:val="left"/>
        <w:rPr/>
      </w:pPr>
      <w:r>
        <w:rPr>
          <w:rFonts w:ascii="Times New Roman;sans-serif" w:hAnsi="Times New Roman;sans-serif"/>
          <w:b/>
          <w:color w:val="000000"/>
          <w:sz w:val="20"/>
        </w:rPr>
        <w:t>Royalty interest</w:t>
      </w:r>
      <w:r>
        <w:rPr>
          <w:rFonts w:ascii="Times New Roman;sans-serif" w:hAnsi="Times New Roman;sans-serif"/>
          <w:b w:val="false"/>
          <w:color w:val="000000"/>
          <w:sz w:val="20"/>
        </w:rPr>
        <w:t>. An interest in an oil and natural gas lease that gives the owner of the interest the right to receive a portion of the production from the leased acreage (or 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21945"/>
                <wp:effectExtent l="0" t="0" r="0" b="0"/>
                <wp:wrapNone/>
                <wp:docPr id="108" name="Frame10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95"/>
        <w:jc w:val="left"/>
        <w:rPr/>
      </w:pPr>
      <w:r>
        <w:rPr>
          <w:rFonts w:ascii="Times New Roman;sans-serif" w:hAnsi="Times New Roman;sans-serif"/>
          <w:b/>
          <w:color w:val="000000"/>
          <w:sz w:val="20"/>
        </w:rPr>
        <w:t>2-D seismic</w:t>
      </w:r>
      <w:r>
        <w:rPr>
          <w:rFonts w:ascii="Times New Roman;sans-serif" w:hAnsi="Times New Roman;sans-serif"/>
          <w:b w:val="false"/>
          <w:color w:val="000000"/>
          <w:sz w:val="20"/>
        </w:rPr>
        <w:t>. The method by which a cross-section of the earth’s subsurface is created through the interpretation of reflection seismic data collected along a single source profile.</w:t>
      </w:r>
    </w:p>
    <w:p>
      <w:pPr>
        <w:pStyle w:val="TextBody"/>
        <w:bidi w:val="0"/>
        <w:spacing w:lineRule="auto" w:line="288" w:before="120" w:after="283"/>
        <w:ind w:left="0" w:right="0" w:firstLine="495"/>
        <w:jc w:val="left"/>
        <w:rPr/>
      </w:pPr>
      <w:r>
        <w:rPr>
          <w:rFonts w:ascii="Times New Roman;sans-serif" w:hAnsi="Times New Roman;sans-serif"/>
          <w:b/>
          <w:color w:val="000000"/>
          <w:sz w:val="20"/>
        </w:rPr>
        <w:t>3-D seismic</w:t>
      </w:r>
      <w:r>
        <w:rPr>
          <w:rFonts w:ascii="Times New Roman;sans-serif" w:hAnsi="Times New Roman;sans-serif"/>
          <w:b w:val="false"/>
          <w:color w:val="000000"/>
          <w:sz w:val="20"/>
        </w:rPr>
        <w:t>. The method by which a three-dimensional image of the earth’s subsurface is created through the interpretation of reflection seismic data collected over a surface grid. 3-D seismic surveys allow for a more detailed understanding of the subsurface than do 2-D seismic surveys and contribute significantly to field appraisal, exploitation and production.</w:t>
      </w:r>
    </w:p>
    <w:p>
      <w:pPr>
        <w:pStyle w:val="TextBody"/>
        <w:bidi w:val="0"/>
        <w:spacing w:lineRule="auto" w:line="288" w:before="120" w:after="283"/>
        <w:ind w:left="0" w:right="0" w:firstLine="495"/>
        <w:jc w:val="left"/>
        <w:rPr/>
      </w:pPr>
      <w:r>
        <w:rPr>
          <w:rFonts w:ascii="Times New Roman;sans-serif" w:hAnsi="Times New Roman;sans-serif"/>
          <w:b/>
          <w:color w:val="000000"/>
          <w:sz w:val="20"/>
        </w:rPr>
        <w:t xml:space="preserve">Service well. </w:t>
      </w:r>
      <w:r>
        <w:rPr>
          <w:rFonts w:ascii="Times New Roman;sans-serif" w:hAnsi="Times New Roman;sans-serif"/>
          <w:b w:val="false"/>
          <w:color w:val="000000"/>
          <w:sz w:val="20"/>
        </w:rPr>
        <w:t xml:space="preserve">A well drilled or completed for the purpose of supporting production in an existing field. </w:t>
      </w:r>
    </w:p>
    <w:p>
      <w:pPr>
        <w:pStyle w:val="TextBody"/>
        <w:bidi w:val="0"/>
        <w:spacing w:lineRule="auto" w:line="288" w:before="120" w:after="283"/>
        <w:ind w:left="0" w:right="0" w:firstLine="495"/>
        <w:jc w:val="left"/>
        <w:rPr/>
      </w:pPr>
      <w:r>
        <w:rPr>
          <w:rFonts w:ascii="Times New Roman;sans-serif" w:hAnsi="Times New Roman;sans-serif"/>
          <w:b/>
          <w:color w:val="000000"/>
          <w:sz w:val="20"/>
        </w:rPr>
        <w:t xml:space="preserve">Simul-Frac (Simultaneous Fracturing). </w:t>
      </w:r>
      <w:r>
        <w:rPr>
          <w:rFonts w:ascii="Times New Roman;sans-serif" w:hAnsi="Times New Roman;sans-serif"/>
          <w:b w:val="false"/>
          <w:color w:val="000000"/>
          <w:sz w:val="20"/>
        </w:rPr>
        <w:t>Simul-Frac is a hydraulic fracturing technique in which two wells are fractured simultaneously using one hydraulic fracturing fleet. This differs from traditional zipper-frac where only one well is hydraulically stimulated.</w:t>
      </w:r>
    </w:p>
    <w:p>
      <w:pPr>
        <w:pStyle w:val="TextBody"/>
        <w:bidi w:val="0"/>
        <w:spacing w:lineRule="auto" w:line="288" w:before="120" w:after="283"/>
        <w:ind w:left="0" w:right="0" w:firstLine="495"/>
        <w:jc w:val="left"/>
        <w:rPr/>
      </w:pPr>
      <w:r>
        <w:rPr>
          <w:rFonts w:ascii="Times New Roman;sans-serif" w:hAnsi="Times New Roman;sans-serif"/>
          <w:b/>
          <w:color w:val="000000"/>
          <w:sz w:val="20"/>
        </w:rPr>
        <w:t>Spud</w:t>
      </w:r>
      <w:r>
        <w:rPr>
          <w:rFonts w:ascii="Times New Roman;sans-serif" w:hAnsi="Times New Roman;sans-serif"/>
          <w:b w:val="false"/>
          <w:color w:val="000000"/>
          <w:sz w:val="20"/>
        </w:rPr>
        <w:t>. The act of beginning to drill an oil or natural gas well.</w:t>
      </w:r>
    </w:p>
    <w:p>
      <w:pPr>
        <w:pStyle w:val="TextBody"/>
        <w:bidi w:val="0"/>
        <w:spacing w:lineRule="auto" w:line="288" w:before="120" w:after="283"/>
        <w:ind w:left="0" w:right="0" w:firstLine="495"/>
        <w:jc w:val="left"/>
        <w:rPr/>
      </w:pPr>
      <w:r>
        <w:rPr>
          <w:rFonts w:ascii="Times New Roman;sans-serif" w:hAnsi="Times New Roman;sans-serif"/>
          <w:b/>
          <w:color w:val="000000"/>
          <w:sz w:val="20"/>
        </w:rPr>
        <w:t>Stratigraphic test well.</w:t>
      </w:r>
      <w:r>
        <w:rPr>
          <w:color w:val="000000"/>
        </w:rPr>
        <w:t xml:space="preserve"> </w:t>
      </w:r>
      <w:r>
        <w:rPr>
          <w:rFonts w:ascii="Times New Roman;sans-serif" w:hAnsi="Times New Roman;sans-serif"/>
          <w:b w:val="false"/>
          <w:color w:val="000000"/>
          <w:sz w:val="20"/>
        </w:rPr>
        <w:t>A drilling effort, geologically directed, to obtain information pertaining to specific geologic condition.</w:t>
      </w:r>
    </w:p>
    <w:p>
      <w:pPr>
        <w:pStyle w:val="TextBody"/>
        <w:bidi w:val="0"/>
        <w:spacing w:lineRule="auto" w:line="288" w:before="120" w:after="283"/>
        <w:ind w:left="0" w:right="0" w:firstLine="495"/>
        <w:jc w:val="left"/>
        <w:rPr/>
      </w:pPr>
      <w:r>
        <w:rPr>
          <w:rFonts w:ascii="Times New Roman;sans-serif" w:hAnsi="Times New Roman;sans-serif"/>
          <w:b/>
          <w:color w:val="000000"/>
          <w:sz w:val="20"/>
        </w:rPr>
        <w:t>Tcf</w:t>
      </w:r>
      <w:r>
        <w:rPr>
          <w:rFonts w:ascii="Times New Roman;sans-serif" w:hAnsi="Times New Roman;sans-serif"/>
          <w:b w:val="false"/>
          <w:color w:val="000000"/>
          <w:sz w:val="20"/>
        </w:rPr>
        <w:t>. One trillion cubic feet of natural gas.</w:t>
      </w:r>
    </w:p>
    <w:p>
      <w:pPr>
        <w:pStyle w:val="TextBody"/>
        <w:bidi w:val="0"/>
        <w:spacing w:lineRule="auto" w:line="288" w:before="120" w:after="283"/>
        <w:ind w:left="0" w:right="0" w:firstLine="495"/>
        <w:jc w:val="left"/>
        <w:rPr/>
      </w:pPr>
      <w:r>
        <w:rPr>
          <w:rFonts w:ascii="Times New Roman;sans-serif" w:hAnsi="Times New Roman;sans-serif"/>
          <w:b/>
          <w:color w:val="000000"/>
          <w:sz w:val="20"/>
        </w:rPr>
        <w:t>Throughput</w:t>
      </w:r>
      <w:r>
        <w:rPr>
          <w:rFonts w:ascii="Times New Roman;sans-serif" w:hAnsi="Times New Roman;sans-serif"/>
          <w:b w:val="false"/>
          <w:color w:val="000000"/>
          <w:sz w:val="20"/>
        </w:rPr>
        <w:t>. The volume of product transported or passing through a pipeline, plant or other facility.</w:t>
      </w:r>
    </w:p>
    <w:p>
      <w:pPr>
        <w:pStyle w:val="TextBody"/>
        <w:bidi w:val="0"/>
        <w:spacing w:lineRule="auto" w:line="288" w:before="120" w:after="283"/>
        <w:ind w:left="0" w:right="0" w:firstLine="495"/>
        <w:jc w:val="left"/>
        <w:rPr/>
      </w:pPr>
      <w:r>
        <w:rPr>
          <w:rFonts w:ascii="Times New Roman;sans-serif" w:hAnsi="Times New Roman;sans-serif"/>
          <w:b/>
          <w:color w:val="000000"/>
          <w:sz w:val="20"/>
        </w:rPr>
        <w:t>Trend</w:t>
      </w:r>
      <w:r>
        <w:rPr>
          <w:rFonts w:ascii="Times New Roman;sans-serif" w:hAnsi="Times New Roman;sans-serif"/>
          <w:b w:val="false"/>
          <w:color w:val="000000"/>
          <w:sz w:val="20"/>
        </w:rPr>
        <w:t>. A region of oil and/or natural gas production, the geographic limits of which have not been fully defined, having geological characteristics that have been ascertained through supporting geological, geophysical or other data to contain the potential for oil and/or natural gas reserves in a particular formation or series of formations.</w:t>
      </w:r>
    </w:p>
    <w:p>
      <w:pPr>
        <w:pStyle w:val="TextBody"/>
        <w:bidi w:val="0"/>
        <w:spacing w:lineRule="auto" w:line="288" w:before="120" w:after="283"/>
        <w:ind w:left="0" w:right="0" w:firstLine="495"/>
        <w:jc w:val="left"/>
        <w:rPr/>
      </w:pPr>
      <w:r>
        <w:rPr>
          <w:rFonts w:ascii="Times New Roman;sans-serif" w:hAnsi="Times New Roman;sans-serif"/>
          <w:b/>
          <w:color w:val="000000"/>
          <w:sz w:val="20"/>
        </w:rPr>
        <w:t xml:space="preserve">Trimul-Frac (Triple Simultaneous Fracturing). </w:t>
      </w:r>
      <w:r>
        <w:rPr>
          <w:rFonts w:ascii="Times New Roman;sans-serif" w:hAnsi="Times New Roman;sans-serif"/>
          <w:b w:val="false"/>
          <w:color w:val="000000"/>
          <w:sz w:val="20"/>
        </w:rPr>
        <w:t>Trimul-Frac is an advanced hydraulic fracturing technique where three wells are fractured simultaneously using one hydraulic fracturing fleet. While similar to Simul-Frac in terms of treating multiple wells simultaneously, Trimul-Frac stimulates three wells versus two.</w:t>
      </w:r>
    </w:p>
    <w:p>
      <w:pPr>
        <w:pStyle w:val="TextBody"/>
        <w:bidi w:val="0"/>
        <w:spacing w:lineRule="auto" w:line="288" w:before="120" w:after="283"/>
        <w:ind w:left="0" w:right="0" w:firstLine="495"/>
        <w:jc w:val="left"/>
        <w:rPr/>
      </w:pPr>
      <w:r>
        <w:rPr>
          <w:rFonts w:ascii="Times New Roman;sans-serif" w:hAnsi="Times New Roman;sans-serif"/>
          <w:b/>
          <w:color w:val="000000"/>
          <w:sz w:val="20"/>
        </w:rPr>
        <w:t>Unconventional resource play</w:t>
      </w:r>
      <w:r>
        <w:rPr>
          <w:rFonts w:ascii="Times New Roman;sans-serif" w:hAnsi="Times New Roman;sans-serif"/>
          <w:b w:val="false"/>
          <w:color w:val="000000"/>
          <w:sz w:val="20"/>
        </w:rPr>
        <w:t>. A set of known or postulated oil and or natural gas resources or reserves warranting further exploration which are extracted from (i) low-permeability sandstone and shale formations and (ii) coalbed methane. These plays require the application of advanced technology to extract the oil and natural gas resources.</w:t>
      </w:r>
    </w:p>
    <w:p>
      <w:pPr>
        <w:pStyle w:val="TextBody"/>
        <w:bidi w:val="0"/>
        <w:spacing w:lineRule="auto" w:line="288" w:before="120" w:after="283"/>
        <w:ind w:left="0" w:right="0" w:firstLine="495"/>
        <w:jc w:val="left"/>
        <w:rPr/>
      </w:pPr>
      <w:r>
        <w:rPr>
          <w:rFonts w:ascii="Times New Roman;sans-serif" w:hAnsi="Times New Roman;sans-serif"/>
          <w:b/>
          <w:color w:val="000000"/>
          <w:sz w:val="20"/>
        </w:rPr>
        <w:t>Undeveloped acreage</w:t>
      </w:r>
      <w:r>
        <w:rPr>
          <w:rFonts w:ascii="Times New Roman;sans-serif" w:hAnsi="Times New Roman;sans-serif"/>
          <w:b w:val="false"/>
          <w:color w:val="000000"/>
          <w:sz w:val="20"/>
        </w:rPr>
        <w:t>. Lease acreage on which wells have not been drilled or completed to a point that would permit the production of commercial quantities of oil and natural gas, regardless of whether such acreage contains proved reserves. Undeveloped acreage is usually considered to be all acreage that is not allocated or assignable to productive wells.</w:t>
      </w:r>
    </w:p>
    <w:p>
      <w:pPr>
        <w:pStyle w:val="TextBody"/>
        <w:bidi w:val="0"/>
        <w:spacing w:lineRule="auto" w:line="288" w:before="120" w:after="283"/>
        <w:ind w:left="0" w:right="0" w:firstLine="495"/>
        <w:jc w:val="left"/>
        <w:rPr/>
      </w:pPr>
      <w:r>
        <w:rPr>
          <w:rFonts w:ascii="Times New Roman;sans-serif" w:hAnsi="Times New Roman;sans-serif"/>
          <w:b/>
          <w:color w:val="000000"/>
          <w:sz w:val="20"/>
        </w:rPr>
        <w:t>Unproved and unevaluated properties</w:t>
      </w:r>
      <w:r>
        <w:rPr>
          <w:rFonts w:ascii="Times New Roman;sans-serif" w:hAnsi="Times New Roman;sans-serif"/>
          <w:b w:val="false"/>
          <w:color w:val="000000"/>
          <w:sz w:val="20"/>
        </w:rPr>
        <w:t>. Properties where no drilling or other actions have been undertaken that permit such properties to be classified as proved and to which no proved reserves have been assigned.</w:t>
      </w:r>
    </w:p>
    <w:p>
      <w:pPr>
        <w:pStyle w:val="TextBody"/>
        <w:bidi w:val="0"/>
        <w:spacing w:lineRule="auto" w:line="288" w:before="120" w:after="283"/>
        <w:ind w:left="0" w:right="0" w:firstLine="495"/>
        <w:jc w:val="left"/>
        <w:rPr/>
      </w:pPr>
      <w:r>
        <w:rPr>
          <w:rFonts w:ascii="Times New Roman;sans-serif" w:hAnsi="Times New Roman;sans-serif"/>
          <w:b/>
          <w:color w:val="000000"/>
          <w:sz w:val="20"/>
        </w:rPr>
        <w:t>Vertical well</w:t>
      </w:r>
      <w:r>
        <w:rPr>
          <w:rFonts w:ascii="Times New Roman;sans-serif" w:hAnsi="Times New Roman;sans-serif"/>
          <w:b w:val="false"/>
          <w:color w:val="000000"/>
          <w:sz w:val="20"/>
        </w:rPr>
        <w:t>. A hole drilled vertically into the earth from which oil, natural gas or water flows or is pumped.</w:t>
      </w:r>
    </w:p>
    <w:p>
      <w:pPr>
        <w:pStyle w:val="TextBody"/>
        <w:bidi w:val="0"/>
        <w:spacing w:lineRule="auto" w:line="288" w:before="120" w:after="283"/>
        <w:ind w:left="0" w:right="0" w:firstLine="495"/>
        <w:jc w:val="left"/>
        <w:rPr/>
      </w:pPr>
      <w:r>
        <w:rPr>
          <w:rFonts w:ascii="Times New Roman;sans-serif" w:hAnsi="Times New Roman;sans-serif"/>
          <w:b/>
          <w:color w:val="000000"/>
          <w:sz w:val="20"/>
        </w:rPr>
        <w:t>Visualization</w:t>
      </w:r>
      <w:r>
        <w:rPr>
          <w:rFonts w:ascii="Times New Roman;sans-serif" w:hAnsi="Times New Roman;sans-serif"/>
          <w:b w:val="false"/>
          <w:color w:val="000000"/>
          <w:sz w:val="20"/>
        </w:rPr>
        <w:t>. An exploration technique in which the size and shape of subsurface features are mapped and analyzed based upon information derived from well logs, seismic data and other well information.</w:t>
      </w:r>
    </w:p>
    <w:p>
      <w:pPr>
        <w:pStyle w:val="TextBody"/>
        <w:bidi w:val="0"/>
        <w:spacing w:lineRule="auto" w:line="288" w:before="120" w:after="283"/>
        <w:ind w:left="0" w:right="0" w:firstLine="495"/>
        <w:jc w:val="left"/>
        <w:rPr/>
      </w:pPr>
      <w:r>
        <w:rPr>
          <w:rFonts w:ascii="Times New Roman;sans-serif" w:hAnsi="Times New Roman;sans-serif"/>
          <w:b/>
          <w:color w:val="000000"/>
          <w:sz w:val="20"/>
        </w:rPr>
        <w:t>Volumetric reserves analysis</w:t>
      </w:r>
      <w:r>
        <w:rPr>
          <w:rFonts w:ascii="Times New Roman;sans-serif" w:hAnsi="Times New Roman;sans-serif"/>
          <w:b w:val="false"/>
          <w:color w:val="000000"/>
          <w:sz w:val="20"/>
        </w:rPr>
        <w:t>. A technique used to estimate the amount of recoverable oil and natural gas. It involves calculating the volume of reservoir rock and adjusting that volume for rock porosity, hydrocarbon saturation, formation volume factor and recovery factor.</w:t>
      </w:r>
    </w:p>
    <w:p>
      <w:pPr>
        <w:pStyle w:val="TextBody"/>
        <w:bidi w:val="0"/>
        <w:spacing w:lineRule="auto" w:line="288" w:before="120" w:after="283"/>
        <w:ind w:left="0" w:right="0" w:firstLine="495"/>
        <w:jc w:val="left"/>
        <w:rPr/>
      </w:pPr>
      <w:r>
        <w:rPr>
          <w:rFonts w:ascii="Times New Roman;sans-serif" w:hAnsi="Times New Roman;sans-serif"/>
          <w:b/>
          <w:color w:val="000000"/>
          <w:sz w:val="20"/>
        </w:rPr>
        <w:t>WTI</w:t>
      </w:r>
      <w:r>
        <w:rPr>
          <w:rFonts w:ascii="Times New Roman;sans-serif" w:hAnsi="Times New Roman;sans-serif"/>
          <w:b w:val="false"/>
          <w:color w:val="000000"/>
          <w:sz w:val="20"/>
        </w:rPr>
        <w:t>. West Texas Intermediate.</w:t>
      </w:r>
    </w:p>
    <w:p>
      <w:pPr>
        <w:pStyle w:val="TextBody"/>
        <w:bidi w:val="0"/>
        <w:spacing w:lineRule="auto" w:line="288" w:before="120" w:after="283"/>
        <w:ind w:left="0" w:right="0" w:firstLine="495"/>
        <w:jc w:val="left"/>
        <w:rPr/>
      </w:pPr>
      <w:r>
        <w:rPr>
          <w:rFonts w:ascii="Times New Roman;sans-serif" w:hAnsi="Times New Roman;sans-serif"/>
          <w:b/>
          <w:color w:val="000000"/>
          <w:sz w:val="20"/>
        </w:rPr>
        <w:t>Wellbore</w:t>
      </w:r>
      <w:r>
        <w:rPr>
          <w:rFonts w:ascii="Times New Roman;sans-serif" w:hAnsi="Times New Roman;sans-serif"/>
          <w:b w:val="false"/>
          <w:color w:val="000000"/>
          <w:sz w:val="20"/>
        </w:rPr>
        <w:t>. The hole made by a well.</w:t>
      </w:r>
    </w:p>
    <w:p>
      <w:pPr>
        <w:pStyle w:val="TextBody"/>
        <w:bidi w:val="0"/>
        <w:spacing w:lineRule="auto" w:line="288" w:before="120" w:after="283"/>
        <w:ind w:left="0" w:right="0" w:firstLine="495"/>
        <w:jc w:val="left"/>
        <w:rPr/>
      </w:pPr>
      <w:r>
        <w:rPr>
          <w:rFonts w:ascii="Times New Roman;sans-serif" w:hAnsi="Times New Roman;sans-serif"/>
          <w:b/>
          <w:color w:val="000000"/>
          <w:sz w:val="20"/>
        </w:rPr>
        <w:t>Working interest</w:t>
      </w:r>
      <w:r>
        <w:rPr>
          <w:rFonts w:ascii="Times New Roman;sans-serif" w:hAnsi="Times New Roman;sans-serif"/>
          <w:b w:val="false"/>
          <w:color w:val="000000"/>
          <w:sz w:val="20"/>
        </w:rPr>
        <w:t>. The operating interest that gives the owner the right to drill, produce and conduct operating activities on the property and receive a share of production.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21945"/>
                <wp:effectExtent l="0" t="0" r="0" b="0"/>
                <wp:wrapNone/>
                <wp:docPr id="109" name="Frame10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Matador Resources Company and Subsidiaries</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CONSOLIDATED FINANCIAL STATEMENTS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Index</w:t>
      </w:r>
    </w:p>
    <w:p>
      <w:pPr>
        <w:pStyle w:val="TextBody"/>
        <w:bidi w:val="0"/>
        <w:spacing w:lineRule="auto" w:line="288" w:before="0" w:after="0"/>
        <w:jc w:val="left"/>
        <w:rPr>
          <w:color w:val="000000"/>
        </w:rPr>
      </w:pPr>
      <w:r>
        <w:rPr>
          <w:color w:val="000000"/>
        </w:rPr>
        <w:t> </w:t>
      </w:r>
    </w:p>
    <w:tbl>
      <w:tblPr>
        <w:tblW w:w="10169" w:type="dxa"/>
        <w:jc w:val="left"/>
        <w:tblInd w:w="0" w:type="dxa"/>
        <w:tblLayout w:type="fixed"/>
        <w:tblCellMar>
          <w:top w:w="28" w:type="dxa"/>
          <w:left w:w="28" w:type="dxa"/>
          <w:bottom w:w="28" w:type="dxa"/>
          <w:right w:w="28" w:type="dxa"/>
        </w:tblCellMar>
      </w:tblPr>
      <w:tblGrid>
        <w:gridCol w:w="3491"/>
        <w:gridCol w:w="3068"/>
        <w:gridCol w:w="3085"/>
        <w:gridCol w:w="154"/>
        <w:gridCol w:w="154"/>
        <w:gridCol w:w="217"/>
      </w:tblGrid>
      <w:tr>
        <w:trPr/>
        <w:tc>
          <w:tcPr>
            <w:tcW w:w="3491"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33">
              <w:r>
                <w:rPr>
                  <w:rStyle w:val="InternetLink"/>
                  <w:rFonts w:ascii="Times New Roman;sans-serif" w:hAnsi="Times New Roman;sans-serif"/>
                  <w:b w:val="false"/>
                  <w:color w:val="0000FF"/>
                  <w:sz w:val="20"/>
                  <w:u w:val="single"/>
                </w:rPr>
                <w:t>Report of Independent Registered Public Accounting Firm</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133">
              <w:r>
                <w:rPr>
                  <w:rStyle w:val="InternetLink"/>
                  <w:rFonts w:ascii="Times New Roman;sans-serif" w:hAnsi="Times New Roman;sans-serif"/>
                  <w:b w:val="false"/>
                  <w:color w:val="0000FF"/>
                  <w:sz w:val="20"/>
                  <w:u w:val="single"/>
                </w:rPr>
                <w:t>F-2</w:t>
              </w:r>
            </w:hyperlink>
          </w:p>
        </w:tc>
      </w:tr>
      <w:tr>
        <w:trPr/>
        <w:tc>
          <w:tcPr>
            <w:tcW w:w="9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36">
              <w:r>
                <w:rPr>
                  <w:rStyle w:val="InternetLink"/>
                  <w:rFonts w:ascii="Times New Roman;sans-serif" w:hAnsi="Times New Roman;sans-serif"/>
                  <w:b w:val="false"/>
                  <w:color w:val="0000FF"/>
                  <w:sz w:val="20"/>
                  <w:u w:val="single"/>
                </w:rPr>
                <w:t>Consolidated Balance Sheets as of December 31, 2024 and 2023</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136">
              <w:r>
                <w:rPr>
                  <w:rStyle w:val="InternetLink"/>
                  <w:rFonts w:ascii="Times New Roman;sans-serif" w:hAnsi="Times New Roman;sans-serif"/>
                  <w:b w:val="false"/>
                  <w:color w:val="0000FF"/>
                  <w:sz w:val="20"/>
                  <w:u w:val="single"/>
                </w:rPr>
                <w:t>F-5</w:t>
              </w:r>
            </w:hyperlink>
          </w:p>
        </w:tc>
      </w:tr>
      <w:tr>
        <w:trPr/>
        <w:tc>
          <w:tcPr>
            <w:tcW w:w="9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39">
              <w:r>
                <w:rPr>
                  <w:rStyle w:val="InternetLink"/>
                  <w:rFonts w:ascii="Times New Roman;sans-serif" w:hAnsi="Times New Roman;sans-serif"/>
                  <w:b w:val="false"/>
                  <w:color w:val="0000FF"/>
                  <w:sz w:val="20"/>
                  <w:u w:val="single"/>
                </w:rPr>
                <w:t>Consolidated Statements of Income for the Years Ended December 31, 2024, 2023 and 2022</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139">
              <w:r>
                <w:rPr>
                  <w:rStyle w:val="InternetLink"/>
                  <w:rFonts w:ascii="Times New Roman;sans-serif" w:hAnsi="Times New Roman;sans-serif"/>
                  <w:b w:val="false"/>
                  <w:color w:val="0000FF"/>
                  <w:sz w:val="20"/>
                  <w:u w:val="single"/>
                </w:rPr>
                <w:t>F-6</w:t>
              </w:r>
            </w:hyperlink>
          </w:p>
        </w:tc>
      </w:tr>
      <w:tr>
        <w:trPr/>
        <w:tc>
          <w:tcPr>
            <w:tcW w:w="9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42">
              <w:r>
                <w:rPr>
                  <w:rStyle w:val="InternetLink"/>
                  <w:rFonts w:ascii="Times New Roman;sans-serif" w:hAnsi="Times New Roman;sans-serif"/>
                  <w:b w:val="false"/>
                  <w:color w:val="0000FF"/>
                  <w:sz w:val="20"/>
                  <w:u w:val="single"/>
                </w:rPr>
                <w:t>Consolidated Statements of Changes in Shareholders’ Equity for the Years Ended December 31, 2024, 2023 and 2022</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3066dd5fa40c4bbaf283102a34c7a_142">
              <w:r>
                <w:rPr>
                  <w:rStyle w:val="InternetLink"/>
                  <w:rFonts w:ascii="Times New Roman;sans-serif" w:hAnsi="Times New Roman;sans-serif"/>
                  <w:b w:val="false"/>
                  <w:color w:val="0000FF"/>
                  <w:sz w:val="20"/>
                  <w:u w:val="single"/>
                </w:rPr>
                <w:t>F-7</w:t>
              </w:r>
            </w:hyperlink>
          </w:p>
        </w:tc>
      </w:tr>
      <w:tr>
        <w:trPr/>
        <w:tc>
          <w:tcPr>
            <w:tcW w:w="9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45">
              <w:r>
                <w:rPr>
                  <w:rStyle w:val="InternetLink"/>
                  <w:rFonts w:ascii="Times New Roman;sans-serif" w:hAnsi="Times New Roman;sans-serif"/>
                  <w:b w:val="false"/>
                  <w:color w:val="0000FF"/>
                  <w:sz w:val="20"/>
                  <w:u w:val="single"/>
                </w:rPr>
                <w:t>Consolidated Statements of Cash Flows for the Years Ended December 31, 2024, 2023 and 2022</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efd3066dd5fa40c4bbaf283102a34c7a_145">
              <w:r>
                <w:rPr>
                  <w:rStyle w:val="InternetLink"/>
                  <w:rFonts w:ascii="Times New Roman;sans-serif" w:hAnsi="Times New Roman;sans-serif"/>
                  <w:b w:val="false"/>
                  <w:color w:val="000080"/>
                  <w:sz w:val="20"/>
                  <w:u w:val="single"/>
                </w:rPr>
                <w:t>8</w:t>
              </w:r>
            </w:hyperlink>
          </w:p>
        </w:tc>
      </w:tr>
      <w:tr>
        <w:trPr/>
        <w:tc>
          <w:tcPr>
            <w:tcW w:w="9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148">
              <w:r>
                <w:rPr>
                  <w:rStyle w:val="InternetLink"/>
                  <w:rFonts w:ascii="Times New Roman;sans-serif" w:hAnsi="Times New Roman;sans-serif"/>
                  <w:b w:val="false"/>
                  <w:color w:val="0000FF"/>
                  <w:sz w:val="20"/>
                  <w:u w:val="single"/>
                </w:rPr>
                <w:t>Notes to Consolidated Financial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efd3066dd5fa40c4bbaf283102a34c7a_148">
              <w:r>
                <w:rPr>
                  <w:rStyle w:val="InternetLink"/>
                  <w:rFonts w:ascii="Times New Roman;sans-serif" w:hAnsi="Times New Roman;sans-serif"/>
                  <w:b w:val="false"/>
                  <w:color w:val="000080"/>
                  <w:sz w:val="20"/>
                  <w:u w:val="single"/>
                </w:rPr>
                <w:t>9</w:t>
              </w:r>
            </w:hyperlink>
          </w:p>
        </w:tc>
      </w:tr>
      <w:tr>
        <w:trPr/>
        <w:tc>
          <w:tcPr>
            <w:tcW w:w="9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3066dd5fa40c4bbaf283102a34c7a_220">
              <w:r>
                <w:rPr>
                  <w:rStyle w:val="InternetLink"/>
                  <w:rFonts w:ascii="Times New Roman;sans-serif" w:hAnsi="Times New Roman;sans-serif"/>
                  <w:b w:val="false"/>
                  <w:color w:val="0000FF"/>
                  <w:sz w:val="20"/>
                  <w:u w:val="single"/>
                </w:rPr>
                <w:t>Unaudited Supplementary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FF"/>
                <w:sz w:val="20"/>
                <w:u w:val="single"/>
              </w:rPr>
              <w:t>F-</w:t>
            </w:r>
            <w:hyperlink w:anchor="iefd3066dd5fa40c4bbaf283102a34c7a_220">
              <w:r>
                <w:rPr>
                  <w:rStyle w:val="InternetLink"/>
                  <w:rFonts w:ascii="Times New Roman;sans-serif" w:hAnsi="Times New Roman;sans-serif"/>
                  <w:b w:val="false"/>
                  <w:color w:val="000080"/>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21945"/>
                <wp:effectExtent l="0" t="0" r="0" b="0"/>
                <wp:wrapNone/>
                <wp:docPr id="110" name="Frame10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40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Matador Resources Company:</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Matador Resources Company and subsidiaries (the Company) as of December 31, 2024 and 2023, the related consolidated statements of income, changes in shareholders’ equity, and cash flows for each of the years in the three</w:t>
        <w:noBreakHyphen/>
        <w:t>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pStyle w:val="TextBody"/>
        <w:bidi w:val="0"/>
        <w:spacing w:lineRule="auto" w:line="288" w:before="0" w:after="200"/>
        <w:jc w:val="left"/>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25, 2025 expressed an unqualified opinion on the effectiveness of the Company’s internal control over financial reporting.</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Impact of estimated proved oil and natural gas reserves related to evaluated oil and natural gas properties on depletion expense and the ceiling test calculation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2 to the consolidated financial statements, the Company uses the full-cost method of accounting for its investments in oil and natural gas properties and amortizes capitalized costs of oil and natural gas properties using the unit-of-production method based on production and estimates of proved reserves quantities. The Company is required to perform a ceiling test calculation on a quarterly basis and the applicable ceiling is equal to the sum of (1) the present value, discounted at 10%, of future net revenues of proved oil and natural gas reserves, reduced by the estimated costs of developing these reserves, plus (2) unproved and unevaluated property costs not being amortized, plus (3) the lower of cost or estimated fair value of unproved and unevaluated properties included in the costs being amortized, if any, less (4) any income tax effects related to the properties involved. Any excess of the Company’s net capitalized costs above the cost center ceiling is charged to operations as a full-cost ceiling impairment. Estimates of economically recoverable oil and natural gas reserves depend upon a number of factors and assumptions, including quantities of oil and natural gas that are ultimately recovered, the timing of the recovery of oil and natural gas reserves, the operating costs incurred, the amount of future development expenditures, and the price received for the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21945"/>
                <wp:effectExtent l="0" t="0" r="0" b="0"/>
                <wp:wrapNone/>
                <wp:docPr id="111" name="Frame1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the Company recorded depletion expense of evaluated oil and natural gas properties of $925.6 million. Additionally, as discussed in Note 3 to the consolidated financial statements, the Company’s consolidated balance sheet includes $12.5 billion of gross evaluated oil and natural gas properties as of December 31, 2024. The Company’s internal reservoir engineers prepare an estimate of the proved oil and natural gas reserves, and the Company engages external reservoir engineers to independently evaluate the proved oil and natural gas reserves estimated by the Company.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assessment of the impact of estimated proved oil and natural gas reserves related to evaluated oil and natural gas properties on both depletion expense and the ceiling test calculation as a critical audit matter. There is a high degree of subjectivity in evaluating the estimate of proved oil and natural gas reserves as auditor judgment was required to evaluate the assumptions used by the Company related to future production volumes, development costs, operating costs, and forecasted oil and natural gas prices inclusive of price differentials.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evaluated the design and tested the operating effectiveness of certain internal controls over the Company’s depletion and ceiling test processes. This included controls related to the development of the assumptions listed above used to estimate proved reserves used in the respective calculations. We evaluated (1) the professional qualifications of the Company’s internal reservoir engineers as well as the external reservoir engineers and external engineering firm, (2) the knowledge, skill, and ability of the Company’s internal and external reservoir engineers, and (3) the relationship of the external reservoir engineers and external engineering firm to the Company. We assessed the methodology used by the Company to estimate the reserves for consistency with industry and regulatory standards. We also compared the pricing assumptions, including price differentials, used in the reservoir engineers’ estimate of the proved reserves to publicly available oil and natural gas pricing data. We evaluated assumptions used in the reservoir engineers’ estimate regarding future operating and development costs based on historical actual results. In addition, we compared the Company’s historical production forecasts to actual production volumes to assess the Company’s ability to accurately forecast and compared the forecasted production assumption used by the Company in the current period to historical production. We read the findings of the Company’s external reservoir engineers in connection with our evaluation of the Company’s reserves estimates. We recalculated the depletion expense calculation and analyzed it for compliance with industry and regulatory standards. We also analyzed the ceiling test impairment calculation for compliance with industry and regulatory standards. In addition, we performed an independent calculation of the ceiling test impairment calculation and compared our results with the Company’s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 of evaluated oil and natural gas properties acquired in the Ameredev business combination</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2 and Note 6 to the consolidated financial statements, on September 18, 2024, the Company completed the acquisition of Ameredev Stateline II, LLC. As a result of the transaction, the Company acquired evaluated oil and natural gas properties with an acquisition-date fair value of $1.83 billion. The acquisition was accounted for under the acquisition method of accounting. Under the acquisition method of accounting, the purchase price is allocated to the assets acquired and liabilities assumed at their estimated fair values as of the acquisition date, with any excess purchase price allocated to goodwill. The fair value of evaluated oil and natural gas properties were measured using the discounted cash flow method. Significant inputs to the valuation of evaluated oil and natural gas properties included estimates of future production volumes and future commodity prices. The Company’s internal reservoir engineers estimated evaluated future production volumes and the Company engages a third-party reservoir engineering firm to perform an independent assessment.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fair value measurement of the evaluated oil and natural gas properties acquired in the Ameredev business combination as a critical audit matter. Subjective auditor judgment was required to evaluate future production volumes and future commodity prices used to estimate the fair value of such properties as changes to these assumptions could have had a significant impact on the determination of the fair value. Additionally, the audit effort associated with evaluating the future commodity prices required specialized skills and knowledge.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the primary procedures we performed to address this critical audit matter. We evaluated the design and tested the operating effectiveness of certain internal controls over the Company’s acquisition-date valuation process, including controls over the determination of the assumptions, as listed above, used to measure the initial fair value of the acquired evaluated oil and natural gas properties. We evaluated (1) the professional qualifications of the Company’s internal and external reservoir engineers and the external engineering firm, (2) the knowledge, skills, and ability of the Company’s internal and external reservoir engineers, and (3) the relationship of the external reservoir engineers and external engineering firm to the Company. We assessed compliance of the methodology used by the Company’s internal and external reservoir engineers to estimate future production volumes with industry and regulatory standards. We compared the historical production volumes of Ameredev used to estimate future production volumes to production volumes reported to third parties. We also compared the estimated future evaluated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21945"/>
                <wp:effectExtent l="0" t="0" r="0" b="0"/>
                <wp:wrapNone/>
                <wp:docPr id="112" name="Frame1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volumes used by the Company to historical Ameredev production volumes and to the future production assumptions made on the Company’s comparable assets. We tested the relevant basis differentials that were applied to the future commodity price assumptions by comparing to historical realized basis differentials from both Ameredev and the Company. In addition, we involved valuation professionals with specialized skills and knowledge, who assisted in evaluating the future commodity price assumptions by comparing to an independently developed range of forward price estimates from analysts and other industry 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25, 2025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1945"/>
                <wp:effectExtent l="0" t="0" r="0" b="0"/>
                <wp:wrapNone/>
                <wp:docPr id="113" name="Frame1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and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02"/>
        <w:gridCol w:w="2121"/>
        <w:gridCol w:w="2140"/>
        <w:gridCol w:w="109"/>
        <w:gridCol w:w="109"/>
        <w:gridCol w:w="109"/>
        <w:gridCol w:w="196"/>
        <w:gridCol w:w="961"/>
        <w:gridCol w:w="109"/>
        <w:gridCol w:w="109"/>
        <w:gridCol w:w="109"/>
        <w:gridCol w:w="109"/>
        <w:gridCol w:w="196"/>
        <w:gridCol w:w="871"/>
        <w:gridCol w:w="155"/>
      </w:tblGrid>
      <w:tr>
        <w:trPr/>
        <w:tc>
          <w:tcPr>
            <w:tcW w:w="2802"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Joint interest billings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715,872 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properties, full-cost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Evaluated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9,633,757 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Unproved and unevaluated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depletion,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(6,203,263)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(5,228,963)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9,764,096 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6,956,441 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10,850,109 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7,726,996 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365,848 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due to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685,275 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unsecured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1,184,627 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581,439 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4,397,320 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2,914,033 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 $0.01 par value, 160,000,000 shares authorized; 125,101,268 and 119,478,282 shares issued; and 125,048,396 and 119,458,674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2,133,172 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2,556,987 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52,872 and 19,608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Matador Resources Company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5,089,149 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3,910,862 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5,457,432 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4,127,688 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10,850,109 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7,726,996 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1945"/>
                <wp:effectExtent l="0" t="0" r="0" b="0"/>
                <wp:wrapNone/>
                <wp:docPr id="114" name="Frame1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pPr>
      <w:r>
        <w:rPr>
          <w:rFonts w:ascii="Times New Roman;sans-serif" w:hAnsi="Times New Roman;sans-serif"/>
          <w:b/>
          <w:color w:val="000000"/>
          <w:sz w:val="20"/>
        </w:rPr>
        <w:t>(In thousands, except per share data)</w:t>
      </w:r>
      <w:r>
        <w:rPr>
          <w:color w:val="000000"/>
        </w:rPr>
        <w:t> </w:t>
      </w:r>
    </w:p>
    <w:tbl>
      <w:tblPr>
        <w:tblW w:w="10205" w:type="dxa"/>
        <w:jc w:val="left"/>
        <w:tblInd w:w="0" w:type="dxa"/>
        <w:tblLayout w:type="fixed"/>
        <w:tblCellMar>
          <w:top w:w="28" w:type="dxa"/>
          <w:left w:w="28" w:type="dxa"/>
          <w:bottom w:w="28" w:type="dxa"/>
          <w:right w:w="28" w:type="dxa"/>
        </w:tblCellMar>
      </w:tblPr>
      <w:tblGrid>
        <w:gridCol w:w="1952"/>
        <w:gridCol w:w="1664"/>
        <w:gridCol w:w="1674"/>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952"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2,905,738 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3,058,025 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transportation and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1,759,270 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asset sales and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1,685,674 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1,286,317 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1,214,206 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124,076 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21945"/>
                <wp:effectExtent l="0" t="0" r="0" b="0"/>
                <wp:wrapNone/>
                <wp:docPr id="115" name="Frame1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2024, 2023 and 2022</w:t>
      </w:r>
    </w:p>
    <w:p>
      <w:pPr>
        <w:pStyle w:val="TextBody"/>
        <w:bidi w:val="0"/>
        <w:spacing w:before="0" w:after="0"/>
        <w:jc w:val="center"/>
        <w:rPr/>
      </w:pPr>
      <w:r>
        <w:rPr/>
      </w:r>
    </w:p>
    <w:p>
      <w:pPr>
        <w:pStyle w:val="TextBody"/>
        <w:bidi w:val="0"/>
        <w:spacing w:before="0" w:after="0"/>
        <w:jc w:val="left"/>
        <w:rPr/>
      </w:pPr>
      <w:r>
        <w:rPr/>
      </w:r>
    </w:p>
    <w:tbl>
      <w:tblPr>
        <w:tblW w:w="17523" w:type="dxa"/>
        <w:jc w:val="center"/>
        <w:tblInd w:w="0" w:type="dxa"/>
        <w:tblLayout w:type="fixed"/>
        <w:tblCellMar>
          <w:top w:w="28" w:type="dxa"/>
          <w:left w:w="28" w:type="dxa"/>
          <w:bottom w:w="28" w:type="dxa"/>
          <w:right w:w="28" w:type="dxa"/>
        </w:tblCellMar>
      </w:tblPr>
      <w:tblGrid>
        <w:gridCol w:w="1316"/>
        <w:gridCol w:w="234"/>
        <w:gridCol w:w="236"/>
        <w:gridCol w:w="109"/>
        <w:gridCol w:w="109"/>
        <w:gridCol w:w="109"/>
        <w:gridCol w:w="368"/>
        <w:gridCol w:w="368"/>
        <w:gridCol w:w="196"/>
        <w:gridCol w:w="109"/>
        <w:gridCol w:w="109"/>
        <w:gridCol w:w="109"/>
        <w:gridCol w:w="196"/>
        <w:gridCol w:w="556"/>
        <w:gridCol w:w="109"/>
        <w:gridCol w:w="109"/>
        <w:gridCol w:w="109"/>
        <w:gridCol w:w="109"/>
        <w:gridCol w:w="109"/>
        <w:gridCol w:w="871"/>
        <w:gridCol w:w="109"/>
        <w:gridCol w:w="1111"/>
        <w:gridCol w:w="196"/>
        <w:gridCol w:w="871"/>
        <w:gridCol w:w="109"/>
        <w:gridCol w:w="109"/>
        <w:gridCol w:w="109"/>
        <w:gridCol w:w="109"/>
        <w:gridCol w:w="196"/>
        <w:gridCol w:w="871"/>
        <w:gridCol w:w="109"/>
        <w:gridCol w:w="109"/>
        <w:gridCol w:w="109"/>
        <w:gridCol w:w="109"/>
        <w:gridCol w:w="217"/>
        <w:gridCol w:w="219"/>
        <w:gridCol w:w="196"/>
        <w:gridCol w:w="109"/>
        <w:gridCol w:w="109"/>
        <w:gridCol w:w="109"/>
        <w:gridCol w:w="333"/>
        <w:gridCol w:w="741"/>
        <w:gridCol w:w="187"/>
        <w:gridCol w:w="230"/>
        <w:gridCol w:w="230"/>
        <w:gridCol w:w="231"/>
        <w:gridCol w:w="196"/>
        <w:gridCol w:w="871"/>
        <w:gridCol w:w="109"/>
        <w:gridCol w:w="360"/>
        <w:gridCol w:w="360"/>
        <w:gridCol w:w="361"/>
        <w:gridCol w:w="196"/>
        <w:gridCol w:w="736"/>
        <w:gridCol w:w="109"/>
        <w:gridCol w:w="109"/>
        <w:gridCol w:w="109"/>
        <w:gridCol w:w="109"/>
        <w:gridCol w:w="196"/>
        <w:gridCol w:w="871"/>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 retained earnings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2589" w:type="dxa"/>
            <w:gridSpan w:val="9"/>
            <w:tcBorders/>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vMerge w:val="continue"/>
            <w:tcBorders/>
            <w:tcMar>
              <w:top w:w="0" w:type="dxa"/>
              <w:left w:w="0" w:type="dxa"/>
              <w:bottom w:w="0" w:type="dxa"/>
              <w:right w:w="0" w:type="dxa"/>
            </w:tcMar>
            <w:vAlign w:val="center"/>
          </w:tcPr>
          <w:p>
            <w:pPr>
              <w:pStyle w:val="Normal"/>
              <w:bidi w:val="0"/>
              <w:jc w:val="left"/>
              <w:rPr/>
            </w:pPr>
            <w:r>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($0.30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directors’ and advisors’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$5.9 million (See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3,317,091 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($0.65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directors’ and advisors’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$8.0 million (See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119,478 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4,127,688 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tbl>
      <w:tblPr>
        <w:tblW w:w="17508" w:type="dxa"/>
        <w:jc w:val="center"/>
        <w:tblInd w:w="0" w:type="dxa"/>
        <w:tblLayout w:type="fixed"/>
        <w:tblCellMar>
          <w:top w:w="28" w:type="dxa"/>
          <w:left w:w="28" w:type="dxa"/>
          <w:bottom w:w="28" w:type="dxa"/>
          <w:right w:w="28" w:type="dxa"/>
        </w:tblCellMar>
      </w:tblPr>
      <w:tblGrid>
        <w:gridCol w:w="1316"/>
        <w:gridCol w:w="234"/>
        <w:gridCol w:w="236"/>
        <w:gridCol w:w="109"/>
        <w:gridCol w:w="109"/>
        <w:gridCol w:w="109"/>
        <w:gridCol w:w="368"/>
        <w:gridCol w:w="368"/>
        <w:gridCol w:w="196"/>
        <w:gridCol w:w="109"/>
        <w:gridCol w:w="109"/>
        <w:gridCol w:w="109"/>
        <w:gridCol w:w="196"/>
        <w:gridCol w:w="556"/>
        <w:gridCol w:w="109"/>
        <w:gridCol w:w="109"/>
        <w:gridCol w:w="109"/>
        <w:gridCol w:w="109"/>
        <w:gridCol w:w="109"/>
        <w:gridCol w:w="871"/>
        <w:gridCol w:w="109"/>
        <w:gridCol w:w="1111"/>
        <w:gridCol w:w="196"/>
        <w:gridCol w:w="871"/>
        <w:gridCol w:w="109"/>
        <w:gridCol w:w="109"/>
        <w:gridCol w:w="109"/>
        <w:gridCol w:w="109"/>
        <w:gridCol w:w="196"/>
        <w:gridCol w:w="871"/>
        <w:gridCol w:w="109"/>
        <w:gridCol w:w="109"/>
        <w:gridCol w:w="109"/>
        <w:gridCol w:w="109"/>
        <w:gridCol w:w="210"/>
        <w:gridCol w:w="211"/>
        <w:gridCol w:w="196"/>
        <w:gridCol w:w="109"/>
        <w:gridCol w:w="109"/>
        <w:gridCol w:w="109"/>
        <w:gridCol w:w="282"/>
        <w:gridCol w:w="821"/>
        <w:gridCol w:w="158"/>
        <w:gridCol w:w="230"/>
        <w:gridCol w:w="230"/>
        <w:gridCol w:w="231"/>
        <w:gridCol w:w="196"/>
        <w:gridCol w:w="871"/>
        <w:gridCol w:w="109"/>
        <w:gridCol w:w="360"/>
        <w:gridCol w:w="360"/>
        <w:gridCol w:w="361"/>
        <w:gridCol w:w="196"/>
        <w:gridCol w:w="736"/>
        <w:gridCol w:w="109"/>
        <w:gridCol w:w="109"/>
        <w:gridCol w:w="109"/>
        <w:gridCol w:w="109"/>
        <w:gridCol w:w="196"/>
        <w:gridCol w:w="871"/>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 retained earnings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2589" w:type="dxa"/>
            <w:gridSpan w:val="9"/>
            <w:tcBorders/>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vMerge w:val="continue"/>
            <w:tcBorders/>
            <w:tcMar>
              <w:top w:w="0" w:type="dxa"/>
              <w:left w:w="0" w:type="dxa"/>
              <w:bottom w:w="0" w:type="dxa"/>
              <w:right w:w="0" w:type="dxa"/>
            </w:tcMar>
            <w:vAlign w:val="center"/>
          </w:tcPr>
          <w:p>
            <w:pPr>
              <w:pStyle w:val="Normal"/>
              <w:bidi w:val="0"/>
              <w:jc w:val="left"/>
              <w:rPr/>
            </w:pPr>
            <w:r>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($0.85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issue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directors’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of Pronto to San Mateo (See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related to formation of San Mateo, net of tax of $5.0 million (See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125,101 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2,556,987 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5,089,149 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5,457,432 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1945"/>
                <wp:effectExtent l="0" t="0" r="0" b="0"/>
                <wp:wrapNone/>
                <wp:docPr id="116" name="Frame1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08"/>
        <w:gridCol w:w="1843"/>
        <w:gridCol w:w="1846"/>
        <w:gridCol w:w="109"/>
        <w:gridCol w:w="109"/>
        <w:gridCol w:w="109"/>
        <w:gridCol w:w="197"/>
        <w:gridCol w:w="745"/>
        <w:gridCol w:w="109"/>
        <w:gridCol w:w="109"/>
        <w:gridCol w:w="109"/>
        <w:gridCol w:w="109"/>
        <w:gridCol w:w="197"/>
        <w:gridCol w:w="745"/>
        <w:gridCol w:w="109"/>
        <w:gridCol w:w="109"/>
        <w:gridCol w:w="109"/>
        <w:gridCol w:w="109"/>
        <w:gridCol w:w="196"/>
        <w:gridCol w:w="871"/>
        <w:gridCol w:w="158"/>
      </w:tblGrid>
      <w:tr>
        <w:trPr/>
        <w:tc>
          <w:tcPr>
            <w:tcW w:w="220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1,286,317 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466,348 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344,480 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 and other debt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(228,378)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liabilities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1,978,739 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Drilling, completion and equipping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(771,830)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Advance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Ameredev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(80,051)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midstream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Expenditures for other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(3,672,114)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(3,211,192)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(1,037,477)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(3,969,500)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San Mateo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enter into or amend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 of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(344,302)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Pronto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related to formation of San Mateo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(480,852)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460,410 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547,330 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(Note 15)</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21945"/>
                <wp:effectExtent l="0" t="0" r="0" b="0"/>
                <wp:wrapNone/>
                <wp:docPr id="117" name="Frame1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2024, 2023 and 2022 </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 — NATURE OF OPERATIONS </w:t>
      </w:r>
    </w:p>
    <w:p>
      <w:pPr>
        <w:pStyle w:val="TextBody"/>
        <w:bidi w:val="0"/>
        <w:spacing w:lineRule="auto" w:line="288" w:before="6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 San Mateo Midstream, LLC and its subsidiaries (“San Mateo”) in support of, and to provide flow assurance for, the Company’s exploration, development and production operations and provides natural gas processing, oil transportation services, oil, natural gas and produced water gathering services and produced water disposal services to third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Basis of Presentation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The consolidated financial statements include the accounts of Matador and its wholly-owned and majority-owned subsidiaries. These consolidated financial statements have been prepared in accordance with generally accepted accounting principles in the United States of America (“U.S. GAAP”). Accordingly,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Times New Roman;sans-serif" w:hAnsi="Times New Roman;sans-serif"/>
          <w:b w:val="false"/>
          <w:i/>
          <w:color w:val="000000"/>
          <w:sz w:val="20"/>
        </w:rPr>
        <w:t>Consolidation (Topic 810)</w:t>
      </w:r>
      <w:r>
        <w:rPr>
          <w:rFonts w:ascii="Times New Roman;sans-serif" w:hAnsi="Times New Roman;sans-serif"/>
          <w:b w:val="false"/>
          <w:color w:val="000000"/>
          <w:sz w:val="20"/>
        </w:rPr>
        <w:t>. The Company proportionately consolidates certain joint ventures that are less-than-wholly-owned and are involved in oil and natural gas exploration. All intercompany accounts and transactions have been eliminated in consolidation.</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Use of Estimates</w:t>
      </w:r>
    </w:p>
    <w:p>
      <w:pPr>
        <w:pStyle w:val="TextBody"/>
        <w:bidi w:val="0"/>
        <w:spacing w:lineRule="auto" w:line="288" w:before="6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in the purchase price allocations and of asset retirement obligations and certain tax accruals. The Company’s oil and natural gas reserves estimates, which are inherently imprecise and based upon many factors that are beyond the Company’s control, including oil and natural gas prices, are prepared by the Company’s engineering staff in accordance with guidelines established by the Securities and Exchange Commission (“SEC”) and then audited for their reasonableness and conformance with SEC guidelines by Netherland, Sewell &amp; Associates, Inc., independent reservoir engineers. While the Company believes its estimates are reasonable, changes in facts and assumptions or the discovery of new information may result in revised estimates. Actual results could differ from these estimates.</w:t>
      </w:r>
    </w:p>
    <w:p>
      <w:pPr>
        <w:pStyle w:val="TextBody"/>
        <w:bidi w:val="0"/>
        <w:spacing w:lineRule="auto" w:line="288" w:before="120" w:after="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Cash</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represents a portion of the cash associated with the Company’s less-than-wholly-owned subsidiaries, primarily San Mateo. By contractual agreement, the cash in the accounts held by the Company’s less-than-wholly-owned subsidiaries is not to be commingled with other Company cash and is to be used only to fund the capital expenditures and operations of these less-than-wholly-owned subsidiaries.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Accounts Receivable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its operated oil, natural gas and natural gas liquids (“NGL”) production to various purchasers (see “—Revenues” below). In addition, the Company may participate with industry partners in the drilling, completion and operation of oil and natural gas wells. Substantially all of the Company’s accounts receivable are due from purchasers of oil, natural gas and NGLs, participants in oil and natural gas wells for which the Company serves as the operator, customers of San Mateo or the Company’s derivative counterparties. Accounts receivable are typically due within 30 to 60 days of the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1945"/>
                <wp:effectExtent l="0" t="0" r="0" b="0"/>
                <wp:wrapNone/>
                <wp:docPr id="118" name="Frame1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and 30 days of the billing date and are stated at amounts due from purchasers and industry partners. Amounts are considered past due if they have been outstanding for 60 days or more. No interest is typically charged on past due amounts.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its need for an allowance for doubtful accounts on a periodic basis and determines the allowance, if any, by considering the length of time past due, previous loss history, future net revenues associated with the debtor’s ownership interest in oil and natural gas properties operated by the Company and the debtor’s ability to pay its obligations, among other things. The Company has no allowance for doubtful accounts related to its accounts receivable for any reporting period presented.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three significant purchasers accounted for 79% of the Company’s total oil, natural gas and NGL revenues: Plains Marketing, L.P. (53%), Exxon Mobil Corporation (15%) and Enterprise Products Partners L.P. (11%). For the year ended December 31, 2023, three significant purchasers accounted for 76% of the Company’s total oil, natural gas and NGL revenues: Plains Marketing, L.P. (42%), Exxon Mobil Corporation (24%), and Enterprise Products Partners L.P. (10%). For the year ended December 31, 2022, three significant purchasers accounted for 70% of the Company’s total oil, natural gas and NGL revenues: Exxon Mobil Corporation (34%), Plains Marketing, L.P. (27%) and BP America Production Company (9%). If any one of Matador’s major customers were to stop purchasing its production, the Company believes there are a number of other purchasers to whom the Company could sell Matador’s production. If multiple significant customers were to discontinue purchasing Matador’s production abruptly, the Company believes it would have the resources needed to access alternative customers or markets and avoid or materially mitigate associated sales disruptions. At December 31, 2024, 2023 and 2022, approximately 32%, 38% and 29%, respectively, of the Company’s accounts receivable, including joint interest billings, related to the top three purchasers.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Lease and Well Equipment Inventory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Lease and well equipment inventory is stated at the lower of cost or net realizable value and consists entirely of materials or equipment scheduled for use in future well or midstream operations.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Oil and Natural Gas Properties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full-cost method of accounting for its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the Company’s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 The Company capitalized $66.6 million, $54.2 million and $47.8 million of its general and administrative costs into oil and natural gas properties in 2024, 2023 and 2022, respectively. The Company capitalized $17.5 million, $20.2 million and $10.1 million of its interest expense into oil and natural gas properties for the years ended December 31, 2024, 2023 and 2022, respectively.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of oil and natural gas properties are amortized using the unit-of-production method based upon production and estimates of proved reserves quantities. For the years ended December 31, 2024, 2023 and 2022, the Company recorded depletion expense of $925.6 million, $672.0 million and $428.9 million, respectively.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determination that the well is not productive.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Ceiling Test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net capitalized costs of oil and natural gas properties are limited to the lower of unamortized costs less related deferred income taxes or the cost center “ceiling.” The cost center ceiling is defined as the sum 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1945"/>
                <wp:effectExtent l="0" t="0" r="0" b="0"/>
                <wp:wrapNone/>
                <wp:docPr id="119" name="Frame1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present value, discounted at 10%, of future net revenues of proved oil and natural gas reserves, reduced by the estimated costs of developing these reserves, plus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unproved and unevaluated property costs not being amortized, plus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the lower of cost or estimated fair value of unproved and unevaluated properties included in the costs being amortized, if any, less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any income tax effects related to the properties involved.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Any excess of the Company’s net capitalized costs above the cost center ceiling as described above is charged to operations as a full-cost ceiling impairment. The Company’s derivative instruments are not considered in the ceiling test computations as the Company does not designate these instruments as hedge instruments for accounting purposes.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changes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 For the period from January through December 2024, these average oil and natural gas prices were $71.96 per Bbl and $2.13 per MMBtu, respectively. For the period from January through December 2023, these average oil and natural gas prices were $74.70 per Bbl and $2.64 per MMBtu, respectively. For the period from January through December 2022, these average oil and natural gas prices were $90.15 per Bbl and $6.36 per MMBtu, respectively. In estimating the present value of after-tax future net cash flows from proved oil and natural gas reserves, the average oil prices were further adjusted by property for quality, transportation and marketing fees and regional price differentials, and the average natural gas prices were further adjusted by property for energy content, transportation and marketing fees and regional price differentials.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the Company’s full-cost ceiling exceeded the net capitalized costs less related deferred income taxes. As a result, the Company recorded no impairment to its net capitalized costs during the years ended December 31, 2024, 2023 and 2022. Changes in oil and natural gas production rates, oil and natural gas prices, reserves estimates, future development costs and other factors will determine the Company’s actual ceiling test computation and impairment analyses in future periods.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Midstream Properties and Other Property and Equipment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Midstream properties and other property and equipment are recorded at historical cost or acquisition date fair value and include midstream equipment and facilities, including the Company’s pipelines, processing facilities and produced water disposal systems, and corporate assets, including furniture, fixtures, equipment, land and leasehold improvements. Midstream equipment and facilities are depreciated over a 30-year useful life using the straight-line, mid-month convention method. Leasehold improvements are depreciated over the lesser of their useful lives or the term of the lease. Software, furniture, fixtures and other equipment are depreciated over their useful life (five to 30 years) using the straight-line method. The Company capitalized $3.4 million, $2.9 million and $2.2 million of general and administrative costs into midstream properties in 2024, 2023 and 2022, respectively. The Company capitalized $12.2 million and $2.1 million of interest expense into midstream properties for the years ended December 31, 2024 and 2023, respectively. The Company did not capitalize any interest expense into midstream properties for the year ended December 31, 2022. Maintenance and repair costs that do not extend the useful life of the property or equipment are expensed as incurred. See Note 3 for a detail of midstream properties and other property and equipment.</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midstream properties and other property and equipment for potential impairment whenever events or changes in circumstances indicate that their carrying value may not be recoverable. The carrying amount of a long-lived asset is not recoverable when it exceeds the undiscounted sum of the future cash flows expected to result from the use and eventual disposition of the asset. Expected future cash flows represent management’s estimates based on reasonable and supportable assumptions.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associated with the disposition of midstream properties and other property and equipment are recognized as a component of other income (expense)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1945"/>
                <wp:effectExtent l="0" t="0" r="0" b="0"/>
                <wp:wrapNone/>
                <wp:docPr id="120" name="Frame1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Asset Retirement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the fair value of an asset retirement obligation in the period in which it is incurred if a reasonable estimate of fair value can be made. The asset retirement obligation is recorded as a liability at its estimated present value, with an offsetting increase recognized in oil and natural gas properties, midstream properties or other property and equipment on the consolidated balance sheets. Periodic accretion of the discounted value of the estimated liability is recorded as an expense in the consolidated statements of income.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uses derivative financial instruments to mitigate its exposure to commodity price risk associated with oil, natural gas and NGL prices. The Company’s derivative financial instruments are recorded on the consolidated balance sheets as either an asset or a liability measured at fair value. The Company has elected not to apply hedge accounting for its existing derivative financial instruments, and as a result, the Company recognizes the change in derivative fair value between reporting periods currently in its consolidated statements of income.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Realized gains and losses from the settlement of derivative financial instruments and unrealized gains and unrealized losses from valuation changes in the remaining unsettled derivative financial instruments are reported as a component of revenues in the consolidated statements of income. See Note 12 for additional information about the Company’s derivative instruments.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contracts with customers to sell its oil and natural gas production. Revenue from these contracts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oil and natural gas marketing contracts is typically received from the purchaser one to two months after production.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oil marketing contracts transfer physical custody and title at or near the wellhead or a central delivery point,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revenues on the statements of income, as they represent part of the transaction price of the contract. If the differentials, or other related costs, are incurred prior to the transfer of control of the oil, those costs are included in production taxes, transportation and processing expenses on the Company’s consolidated statements of income, as they represent payment for services performed outside of the contract with the customer.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natural gas is sold at the lease location, at the inlet or outlet of a natural gas processing plant or at an interconnect near a marketing hub following transportation from a processing plant. The majority of the Company’s natural gas is sold under fee-based contracts. When the natural gas is sold at the lease, the purchaser gathers the natural gas via pipeline to natural gas processing plants where, if necessary, NGLs are extracted. The NGLs and remaining residue natural gas are then sold by the purchaser, or if the Company elects to take in-kind the natural gas or the NGLs, the Company sells the natural gas or the NGLs to a third party. Under the fee-based contracts, the Company receives NGL and residue natural gas value, less the fee component, or is invoiced the fee component. To the extent control of the natural gas transfers upstream of the gathering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the Company’s consolidated statements of income.</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 xml:space="preserve">The Company recognizes midstream services revenues at the time services have been rendered and the price is fixed and determinable. Third-party midstream services revenues are those revenues from midstream operations related to third parties, including working interest owners in the Company’s operated wells. All midstream services revenues related to the Company’s 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Accounting Standards Update 2014-09, </w:t>
      </w:r>
      <w:r>
        <w:rPr>
          <w:rFonts w:ascii="Times New Roman;sans-serif" w:hAnsi="Times New Roman;sans-serif"/>
          <w:b w:val="false"/>
          <w:i/>
          <w:color w:val="000000"/>
          <w:sz w:val="20"/>
        </w:rPr>
        <w:t>Revenue from Contracts with Customers (Topic 606)</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1945"/>
                <wp:effectExtent l="0" t="0" r="0" b="0"/>
                <wp:wrapNone/>
                <wp:docPr id="121" name="Frame1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606”) that allows recognition of revenue in the amount for which there is a right to invoice the customer without estimating a transaction price for each contract and allocating that transaction price to the performance obligations within each contract.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enters into natural gas purchase transactions with third parties whereby the Company (i) purchases the third party’s natural gas and subsequently sells the natural gas to other purchasers or (ii) processes the third party’s natural gas at San Mateo’s Marlan cryogenic natural gas processing plant in Eddy County, New Mexico (the “Marlan Processing Plant”) or Black River cryogenic natural gas processing plant in Eddy County, New Mexico (the “Black River Processing Plant”) and then purchases, and subsequently sells, the residue natural gas and NGLs to other purchasers. Revenues and expenses from these transactions are presented on a gross basis on the Company’s consolidated statements of income as the Company acts as a principal in the transactions by assuming the risk and rewards of ownership, including credit risk, of the natural gas purchased and by assuming the responsibility to deliver and process the natural gas volumes to be sold.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as an owner of mineral interests, may enter into or extend a lease to a third-party lessee to develop the oil and natural gas attributable to certain of its mineral interests in return for a specified payment or lease bonus. In those instances, revenue is recognized in the period when the lease is signed and the Company has no further obligation to the lessee. The Company records these payments as “Lease bonus - mineral acreage” revenues on its consolidated statements of income.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revenues and revenues from contracts with customers on a disaggregated basis for the years ended December 31, 2024, 2023 and 2022 (in thousands).</w:t>
      </w:r>
    </w:p>
    <w:tbl>
      <w:tblPr>
        <w:tblW w:w="7962" w:type="dxa"/>
        <w:jc w:val="center"/>
        <w:tblInd w:w="0" w:type="dxa"/>
        <w:tblLayout w:type="fixed"/>
        <w:tblCellMar>
          <w:top w:w="28" w:type="dxa"/>
          <w:left w:w="28" w:type="dxa"/>
          <w:bottom w:w="28" w:type="dxa"/>
          <w:right w:w="28" w:type="dxa"/>
        </w:tblCellMar>
      </w:tblPr>
      <w:tblGrid>
        <w:gridCol w:w="1222"/>
        <w:gridCol w:w="1073"/>
        <w:gridCol w:w="1080"/>
        <w:gridCol w:w="211"/>
        <w:gridCol w:w="976"/>
        <w:gridCol w:w="109"/>
        <w:gridCol w:w="109"/>
        <w:gridCol w:w="109"/>
        <w:gridCol w:w="109"/>
        <w:gridCol w:w="211"/>
        <w:gridCol w:w="976"/>
        <w:gridCol w:w="109"/>
        <w:gridCol w:w="109"/>
        <w:gridCol w:w="109"/>
        <w:gridCol w:w="109"/>
        <w:gridCol w:w="211"/>
        <w:gridCol w:w="97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3,058,025 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8366" w:type="dxa"/>
        <w:jc w:val="center"/>
        <w:tblInd w:w="0" w:type="dxa"/>
        <w:tblLayout w:type="fixed"/>
        <w:tblCellMar>
          <w:top w:w="28" w:type="dxa"/>
          <w:left w:w="28" w:type="dxa"/>
          <w:bottom w:w="28" w:type="dxa"/>
          <w:right w:w="28" w:type="dxa"/>
        </w:tblCellMar>
      </w:tblPr>
      <w:tblGrid>
        <w:gridCol w:w="1368"/>
        <w:gridCol w:w="1204"/>
        <w:gridCol w:w="1207"/>
        <w:gridCol w:w="211"/>
        <w:gridCol w:w="976"/>
        <w:gridCol w:w="109"/>
        <w:gridCol w:w="109"/>
        <w:gridCol w:w="109"/>
        <w:gridCol w:w="109"/>
        <w:gridCol w:w="211"/>
        <w:gridCol w:w="976"/>
        <w:gridCol w:w="109"/>
        <w:gridCol w:w="109"/>
        <w:gridCol w:w="109"/>
        <w:gridCol w:w="109"/>
        <w:gridCol w:w="211"/>
        <w:gridCol w:w="97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3,196,699 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Stock-Based Compensation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grant equity-based and liability-based common stock, stock options, restricted stock, restricted stock units, performance stock units and other awards permitted under any long-term incentive plan of the Company then in effect to members of its Board of Directors (the “Board”) and certain employees, contractors and advisors. All equity-based awards are measured at fair value on the date of grant and are recognized on a straight-line basis over the awards’ vesting periods as either a component of general and administrative expenses in the consolidated statements of income or capitalized in accordance with the Company’s policy on capitalizing general and administrative expenses for employees involved in acquisition, exploration, development and midstream activities. Awards that are expected to be settled in cash are liability-based awards,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1945"/>
                <wp:effectExtent l="0" t="0" r="0" b="0"/>
                <wp:wrapNone/>
                <wp:docPr id="122" name="Frame1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measured at fair value at each reporting date and are recognized over the awards’ vesting periods either as a component of general and administrative expenses in the consolidated statements of income or capitalized in accordance with the Company’s policy on capitalizing general and administrative expenses for employees involved in acquisition, exploration, development and midstream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Monte Carlo simulation method to measure the fair value of performance units. The closing price of Matador’s common stock on the grant date is used to measure the fair value of restricted stock and restricted stock unit awards granted under the 2012 Long-Term Incentive Plan (as subsequently amended and restated, the “2012 Incentive Plan”), while the closing price of Matador’s common stock on the trading day prior to the grant date is used to measure the fair value of restricted stock and restricted stock unit awards granted under the 2019 Long-Term Incentive Plan (the “2019 Incentive Plan”).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statements of income for the years ended December 31, 2024, 2023 and 2022 include an equity-based compensation (non-cash) expense of $15.0 million, $13.7 million and $15.1 million, respectively. This equity-based compensation expense includes common stock issuances and restricted stock units expense totaling $1.3 million, $1.2 million and $1.0 million for the years ended December 31, 2024, 2023 and 2022, respectively, paid to independent members of the Board and advisors as compensation for their services to the Company.</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using the asset and liability approach for financial accounting and reporting. The Company evaluates the probability of realizing the future benefits of its deferred tax assets and records a valuation allowance for the portion of any deferred tax assets when it is more likely than not that the benefit from the deferred tax asset will not be realized.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tax benefits from an uncertain tax position on the basis of a two-step process in which (i) the Company determines whether it is more likely than not that the tax position will be sustained upon examination by the taxing authorities based upon the technical merits of the position and (ii) for those tax positions that meet the more-likely-than-not recognition threshold, the Company recognizes the largest amount of tax benefit that is more than 50% likely to be realized upon ultimate settlement with the related tax authority.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When necessary, the Company would include interest assessed by taxing authorities in “Interest expense” and penalties related to income taxes in “Other expense” on its consolidated statements of income. The Company did not record any interest or penalties related to income taxes for the years ended December 31, 2024, 2023 and 2022.</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Allocation of Purchase Price in Business Combinations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Company’s business strategy, it periodically pursues the acquisition of midstream assets and oil and natural gas properties. The purchase price in a business combination is allocated to the assets acquired and liabilities assumed based on their fair values as of the acquisition date, which may occur many months after the announcement date. Therefore, while the consideration to be paid may be fixed, the fair value of the assets acquired and liabilities assumed is subject to change during the period between the announcement date and the acquisition date. The most significant estimates in the allocation typically relate to the value assigned to proved oil and natural gas reserves and unproved and unevaluated properties. As the allocation of the purchase price is subject to significant estimates and subjective judgments, the accuracy of this assessment is inherently uncertain.</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Earnings Per Common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reports basic earnings attributable to Matador Resources Company shareholders per common share, which excludes the effect of potentially dilutive securities, and diluted earnings attributable to Matador Resources Company shareholders per common share, which includes the effect of all potentially dilutive securities, unless their impact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1945"/>
                <wp:effectExtent l="0" t="0" r="0" b="0"/>
                <wp:wrapNone/>
                <wp:docPr id="123" name="Frame1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reconciliations of the numerators and denominators used to compute the Company’s basic and diluted earnings per common share as reported for the years ended December 31, 2024, 2023 and 2022 (in thousands, except per share data).</w:t>
      </w:r>
    </w:p>
    <w:tbl>
      <w:tblPr>
        <w:tblW w:w="10205" w:type="dxa"/>
        <w:jc w:val="left"/>
        <w:tblInd w:w="0" w:type="dxa"/>
        <w:tblLayout w:type="fixed"/>
        <w:tblCellMar>
          <w:top w:w="28" w:type="dxa"/>
          <w:left w:w="28" w:type="dxa"/>
          <w:bottom w:w="28" w:type="dxa"/>
          <w:right w:w="28" w:type="dxa"/>
        </w:tblCellMar>
      </w:tblPr>
      <w:tblGrid>
        <w:gridCol w:w="2062"/>
        <w:gridCol w:w="1760"/>
        <w:gridCol w:w="1768"/>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206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 — 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1,214,206 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attributable to Matador Resources Company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color w:val="000000"/>
        </w:rPr>
        <w:t> </w:t>
      </w:r>
      <w:r>
        <w:rPr>
          <w:rFonts w:ascii="Times New Roman;sans-serif" w:hAnsi="Times New Roman;sans-serif"/>
          <w:b w:val="false"/>
          <w:i/>
          <w:color w:val="000000"/>
          <w:sz w:val="20"/>
          <w:u w:val="single"/>
        </w:rPr>
        <w:t>Credit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cash is held in financial institutions and at times these amounts exceed the insurance limits of the Federal Deposit Insurance Corporation. Management believes, however, that the Company’s counterparty risks are minimal based on the reputation and history of the institutions selected.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derivative financial instruments to mitigate its exposure to oil, natural gas and NGL price volatility. These transactions expose the Company to potential credit risk from its counterparties. The Company manages counterparty credit risk through established internal derivatives policies that are reviewed on an ongoing basis. Additionally, the Company’s commodity derivative contracts at December 31, 2024 were with Bank of America, PNC Bank, Truist Bank, The Bank of Nova Scotia, Royal Bank of Canada, Comerica Bank and BOKF (or affiliates thereof), which are all lenders under the Company’s reserves-based revolving credit agreement (the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constitute the principal component of additional credit risk to which the Company may be exposed. The Company attempts to minimize credit risk exposure to counterparties by monitoring the financial condition and payment history of its purchasers and joint interest partners.</w:t>
      </w:r>
    </w:p>
    <w:p>
      <w:pPr>
        <w:pStyle w:val="TextBody"/>
        <w:bidi w:val="0"/>
        <w:spacing w:before="0" w:after="0"/>
        <w:ind w:left="0" w:right="0" w:firstLine="495"/>
        <w:jc w:val="left"/>
        <w:rPr/>
      </w:pPr>
      <w:r>
        <w:rPr/>
      </w:r>
    </w:p>
    <w:p>
      <w:pPr>
        <w:pStyle w:val="TextBody"/>
        <w:bidi w:val="0"/>
        <w:spacing w:lineRule="auto" w:line="26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Recent Accounting Pronouncements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Segments</w:t>
      </w:r>
      <w:r>
        <w:rPr>
          <w:rFonts w:ascii="Times New Roman;sans-serif" w:hAnsi="Times New Roman;sans-serif"/>
          <w:b w:val="false"/>
          <w:color w:val="000000"/>
          <w:sz w:val="20"/>
        </w:rPr>
        <w:t xml:space="preserve">. In November 2023, the Financial Accounting Standards Board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enhances the disclosures required for operating segments in the Company’s annual and interim consolidated financial statements. This ASU is effective retrospectively for fiscal years beginning after December 15, 2023 and for interim periods within fiscal years beginning after December 15, 2024. During the fourth quarter of 2024, the Company adopted this ASU, which modified the Company’s disclosures but did not have an impact on the Company’s consolidated balance sheets, or statements of income or cash flows in its consolidated financial statements. See Note 16 for additional disclosures related to segments.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Income Taxes</w:t>
      </w:r>
      <w:r>
        <w:rPr>
          <w:rFonts w:ascii="Times New Roman;sans-serif" w:hAnsi="Times New Roman;sans-serif"/>
          <w:b w:val="false"/>
          <w:color w:val="000000"/>
          <w:sz w:val="20"/>
        </w:rPr>
        <w:t>. In December 2023, the FASB issued ASU 2023-09,</w:t>
      </w:r>
      <w:r>
        <w:rPr>
          <w:color w:val="000000"/>
        </w:rPr>
        <w:t xml:space="preserve">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The Company is currently evaluating the impact of this standard on its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1945"/>
                <wp:effectExtent l="0" t="0" r="0" b="0"/>
                <wp:wrapNone/>
                <wp:docPr id="124" name="Frame1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Climate-Related Disclosures.</w:t>
      </w:r>
      <w:r>
        <w:rPr>
          <w:color w:val="000000"/>
        </w:rPr>
        <w:t xml:space="preserve"> </w:t>
      </w:r>
      <w:r>
        <w:rPr>
          <w:rFonts w:ascii="Times New Roman;sans-serif" w:hAnsi="Times New Roman;sans-serif"/>
          <w:b w:val="false"/>
          <w:color w:val="000000"/>
          <w:sz w:val="20"/>
        </w:rPr>
        <w:t>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greenhouse gas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and on April 4, 2024, the SEC issued an order staying implementation of the final rules until judicial review is complete. The Company is currently evaluating the impact of the final rules, if implemented, on its disclosures.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Disaggregation of Income Statement Expenses. </w:t>
      </w: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rFonts w:ascii="Times New Roman;sans-serif" w:hAnsi="Times New Roman;sans-serif"/>
          <w:b w:val="false"/>
          <w:color w:val="000000"/>
          <w:sz w:val="20"/>
        </w:rPr>
        <w:t>. The amendments in this update require disclosure in the Company’s annual and interim consolidated financial statements of specified information about certain costs and expenses, including depreciation, depletion and amortization recognized as part of oil and gas producing activities and employee compensation. This ASU is effective for the Company to all annual periods beginning after December 15, 2026, and interim reporting periods beginning after December 15, 2027. The Company is currently evaluating the impact of this standard on its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3 — PROPERTY AND EQUIPMENT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Company’s property and equipment balances as of December 31, 2024 and 2023 (in thousands).</w:t>
      </w:r>
    </w:p>
    <w:tbl>
      <w:tblPr>
        <w:tblW w:w="8076" w:type="dxa"/>
        <w:jc w:val="left"/>
        <w:tblInd w:w="0" w:type="dxa"/>
        <w:tblLayout w:type="fixed"/>
        <w:tblCellMar>
          <w:top w:w="28" w:type="dxa"/>
          <w:left w:w="28" w:type="dxa"/>
          <w:bottom w:w="28" w:type="dxa"/>
          <w:right w:w="28" w:type="dxa"/>
        </w:tblCellMar>
      </w:tblPr>
      <w:tblGrid>
        <w:gridCol w:w="1695"/>
        <w:gridCol w:w="1487"/>
        <w:gridCol w:w="1498"/>
        <w:gridCol w:w="109"/>
        <w:gridCol w:w="109"/>
        <w:gridCol w:w="109"/>
        <w:gridCol w:w="211"/>
        <w:gridCol w:w="1081"/>
        <w:gridCol w:w="109"/>
        <w:gridCol w:w="109"/>
        <w:gridCol w:w="109"/>
        <w:gridCol w:w="109"/>
        <w:gridCol w:w="211"/>
        <w:gridCol w:w="976"/>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(subject to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 (not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natural gas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14,236,493 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10,827,014 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oil and natural gas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5,792,771 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equipment and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midstream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9,764,096 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6,956,441 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21945"/>
                <wp:effectExtent l="0" t="0" r="0" b="0"/>
                <wp:wrapNone/>
                <wp:docPr id="125" name="Frame1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PROPERTY AND EQUIPMENT — Continued</w:t>
      </w:r>
    </w:p>
    <w:p>
      <w:pPr>
        <w:pStyle w:val="TextBody"/>
        <w:bidi w:val="0"/>
        <w:spacing w:lineRule="auto" w:line="288" w:before="120" w:after="283"/>
        <w:ind w:left="0" w:right="0" w:firstLine="450"/>
        <w:jc w:val="left"/>
        <w:rPr/>
      </w:pPr>
      <w:r>
        <w:rPr>
          <w:color w:val="000000"/>
        </w:rPr>
        <w:t> </w:t>
      </w:r>
      <w:r>
        <w:rPr>
          <w:rFonts w:ascii="Times New Roman;sans-serif" w:hAnsi="Times New Roman;sans-serif"/>
          <w:b w:val="false"/>
          <w:color w:val="000000"/>
          <w:sz w:val="20"/>
        </w:rPr>
        <w:t>The following table provides a breakdown of the Company’s unproved and unevaluated property costs not subject to amortization as of December 31, 2024 and the year in which these costs were incurred (in thousands).</w:t>
      </w:r>
    </w:p>
    <w:tbl>
      <w:tblPr>
        <w:tblW w:w="10205" w:type="dxa"/>
        <w:jc w:val="left"/>
        <w:tblInd w:w="0" w:type="dxa"/>
        <w:tblLayout w:type="fixed"/>
        <w:tblCellMar>
          <w:top w:w="28" w:type="dxa"/>
          <w:left w:w="28" w:type="dxa"/>
          <w:bottom w:w="28" w:type="dxa"/>
          <w:right w:w="28" w:type="dxa"/>
        </w:tblCellMar>
      </w:tblPr>
      <w:tblGrid>
        <w:gridCol w:w="526"/>
        <w:gridCol w:w="365"/>
        <w:gridCol w:w="36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4"/>
        <w:gridCol w:w="839"/>
        <w:gridCol w:w="110"/>
        <w:gridCol w:w="109"/>
        <w:gridCol w:w="109"/>
        <w:gridCol w:w="109"/>
        <w:gridCol w:w="211"/>
        <w:gridCol w:w="976"/>
        <w:gridCol w:w="157"/>
      </w:tblGrid>
      <w:tr>
        <w:trPr/>
        <w:tc>
          <w:tcPr>
            <w:tcW w:w="52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Description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 and 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2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1,592,889 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wells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wells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476,875 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1,702,203 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 are costs incurred to purchase, lease or otherwise acquire oil and natural gas properties, but may also include broker and legal expenses, geological and geophysical expenses and capitalized internal costs associated with developing oil and natural gas prospects on these properties. Property acquisition costs are transferred into the amortization base on an ongoing basis as these properties are evaluated and proved reserves are established or impairment is determined. Unproved and unevaluated properties are assessed for possible impairment on a periodic basis based upon changes in operating or economic conditions.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 incurred that remain in unproved and unevaluated property at December 31, 2024 are related to the Company’s leasehold and mineral acquisitions in the Delaware Basin in Southeast New Mexico and West Texas. These costs are associated with acreage for which proved reserves have yet to be assigned. A significant portion of these costs are associated with properties that are held by production or have automatic lease renewal options. As the Company drills wells and assigns proved reserves to these properties or determines that certain portions of this acreage, if any, cannot be assigned proved reserves, portions of these costs are transferred to the amortization base.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Costs excluded from amortization also include those costs associated with exploration and development wells in progress or awaiting completion at year-end. These costs are transferred into the amortization base on an ongoing basis as these wells are completed and proved reserves are established or confirmed. These costs totaled $109.3 million at December 31, 2024. Of this total, $47.8 million was associated with exploration wells and $61.5 million was associated with development wells. The Company anticipates that most of the $109.3 million associated with these wells in progress at December 31, 2024 will be transferred to the amortization base during 2025. Unproved and unevaluated property costs for exploration and development wells incurred in years prior to 2024 are costs related to the advanced preparation for wells that the Company intends to drill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4 — LEASES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an arrangement is a lease at inception of the contract. If an arrangement is a lease, the present value of the related lease payments is recorded as a liability, and an equal amount is capitalized as a right of use asset on the Company’s consolidated balance sheets. The Company elected to include payments for non-lease components associated with certain leases when determining the present value of the lease payments.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The weighted average estimated incremental borrowing rates used for the year ended December 31, 2024 were 5.48% and 7.23% for operating leases and financing leases, respectively. For these purposes, the lease term includes options to extend the lease when it is reasonably certain that the Company will exercise such option. Leases with terms of 12 months or less at inception are not recorded on the consolidated balance sheets unless there is a significant cost to terminate the lease, including the cost of removal of the leased asset. As the Company is the responsible party under these arrangements, the Company records the resulting assets and liabilities on a gross basis in its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1945"/>
                <wp:effectExtent l="0" t="0" r="0" b="0"/>
                <wp:wrapNone/>
                <wp:docPr id="126" name="Frame1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LEASES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supplemental consolidated statement of income information related to lease expenses, on a gross basis, for the years ended December 31, 2024 and 2023, respectively (in thousands). Lease payments represent gross payments to vendors, which, for certain of the Company’s operating assets, are partially offset by amounts received from other working interest owners in the Company’s operated wells. </w:t>
      </w:r>
    </w:p>
    <w:tbl>
      <w:tblPr>
        <w:tblW w:w="5597" w:type="dxa"/>
        <w:jc w:val="left"/>
        <w:tblInd w:w="0" w:type="dxa"/>
        <w:tblLayout w:type="fixed"/>
        <w:tblCellMar>
          <w:top w:w="28" w:type="dxa"/>
          <w:left w:w="28" w:type="dxa"/>
          <w:bottom w:w="28" w:type="dxa"/>
          <w:right w:w="28" w:type="dxa"/>
        </w:tblCellMar>
      </w:tblPr>
      <w:tblGrid>
        <w:gridCol w:w="1059"/>
        <w:gridCol w:w="929"/>
        <w:gridCol w:w="937"/>
        <w:gridCol w:w="109"/>
        <w:gridCol w:w="109"/>
        <w:gridCol w:w="211"/>
        <w:gridCol w:w="721"/>
        <w:gridCol w:w="109"/>
        <w:gridCol w:w="109"/>
        <w:gridCol w:w="109"/>
        <w:gridCol w:w="109"/>
        <w:gridCol w:w="211"/>
        <w:gridCol w:w="72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operating leases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short-term leases</w:t>
            </w:r>
            <w:r>
              <w:rPr>
                <w:rFonts w:ascii="Times New Roman;sans-serif" w:hAnsi="Times New Roman;sans-serif"/>
                <w:b w:val="false"/>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Does not include gross payments related to drilling rig leases of $87.8 million and $84.1 million for the years ended December 31, 2024 and 2023, respectively, that were capitalized and recorded in “Oil and natural gas properties, full-cost method” in the consolidated balance sheets at December 31, 2024 and 2023, respectively.</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    These costs are related to leases that are not recorded as right of use assets or lease liabilities in the consolidated balance sheets as they are short-term leases.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    Does not include gross payments related to short-term drilling rig leases and other equipment rentals of $231.8 million and $159.7 million for the years ended December 31, 2024 and 2023, respectively, that were capitalized and recorded in “Oil and natural gas properties, full-cost method” in the consolidated balance sheets at December 31,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21945"/>
                <wp:effectExtent l="0" t="0" r="0" b="0"/>
                <wp:wrapNone/>
                <wp:docPr id="127" name="Frame1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LEASES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consolidated balance sheet information related to leases as of December 31, 2024 and 2023, respectively (in thousands).</w:t>
      </w:r>
    </w:p>
    <w:tbl>
      <w:tblPr>
        <w:tblW w:w="6215" w:type="dxa"/>
        <w:jc w:val="center"/>
        <w:tblInd w:w="0" w:type="dxa"/>
        <w:tblLayout w:type="fixed"/>
        <w:tblCellMar>
          <w:top w:w="28" w:type="dxa"/>
          <w:left w:w="28" w:type="dxa"/>
          <w:bottom w:w="28" w:type="dxa"/>
          <w:right w:w="28" w:type="dxa"/>
        </w:tblCellMar>
      </w:tblPr>
      <w:tblGrid>
        <w:gridCol w:w="1151"/>
        <w:gridCol w:w="1009"/>
        <w:gridCol w:w="1019"/>
        <w:gridCol w:w="109"/>
        <w:gridCol w:w="109"/>
        <w:gridCol w:w="109"/>
        <w:gridCol w:w="211"/>
        <w:gridCol w:w="901"/>
        <w:gridCol w:w="109"/>
        <w:gridCol w:w="109"/>
        <w:gridCol w:w="109"/>
        <w:gridCol w:w="109"/>
        <w:gridCol w:w="211"/>
        <w:gridCol w:w="796"/>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consolidated cash flow information related to lease payments for the years ended December 31, 2024 and 2023, respectively (in thousands).</w:t>
      </w:r>
    </w:p>
    <w:tbl>
      <w:tblPr>
        <w:tblW w:w="10205" w:type="dxa"/>
        <w:jc w:val="center"/>
        <w:tblInd w:w="0" w:type="dxa"/>
        <w:tblLayout w:type="fixed"/>
        <w:tblCellMar>
          <w:top w:w="28" w:type="dxa"/>
          <w:left w:w="28" w:type="dxa"/>
          <w:bottom w:w="28" w:type="dxa"/>
          <w:right w:w="28" w:type="dxa"/>
        </w:tblCellMar>
      </w:tblPr>
      <w:tblGrid>
        <w:gridCol w:w="2653"/>
        <w:gridCol w:w="2327"/>
        <w:gridCol w:w="2337"/>
        <w:gridCol w:w="109"/>
        <w:gridCol w:w="109"/>
        <w:gridCol w:w="109"/>
        <w:gridCol w:w="211"/>
        <w:gridCol w:w="826"/>
        <w:gridCol w:w="109"/>
        <w:gridCol w:w="109"/>
        <w:gridCol w:w="109"/>
        <w:gridCol w:w="109"/>
        <w:gridCol w:w="211"/>
        <w:gridCol w:w="721"/>
        <w:gridCol w:w="156"/>
      </w:tblGrid>
      <w:tr>
        <w:trPr/>
        <w:tc>
          <w:tcPr>
            <w:tcW w:w="265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7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related to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payments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cash payments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payments for 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obtained in exchange for lease obligations entered into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maturities of lease liabilities at December 31, 2024 (in years).</w:t>
      </w:r>
    </w:p>
    <w:tbl>
      <w:tblPr>
        <w:tblW w:w="5845" w:type="dxa"/>
        <w:jc w:val="center"/>
        <w:tblInd w:w="0" w:type="dxa"/>
        <w:tblLayout w:type="fixed"/>
        <w:tblCellMar>
          <w:top w:w="28" w:type="dxa"/>
          <w:left w:w="28" w:type="dxa"/>
          <w:bottom w:w="28" w:type="dxa"/>
          <w:right w:w="28" w:type="dxa"/>
        </w:tblCellMar>
      </w:tblPr>
      <w:tblGrid>
        <w:gridCol w:w="1359"/>
        <w:gridCol w:w="1194"/>
        <w:gridCol w:w="1196"/>
        <w:gridCol w:w="109"/>
        <w:gridCol w:w="109"/>
        <w:gridCol w:w="109"/>
        <w:gridCol w:w="517"/>
        <w:gridCol w:w="517"/>
        <w:gridCol w:w="735"/>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1945"/>
                <wp:effectExtent l="0" t="0" r="0" b="0"/>
                <wp:wrapNone/>
                <wp:docPr id="128" name="Frame1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LEASES — Continued</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following table presents a schedule of future minimum lease payments required under all lease agreements as of December 31, 2024 (in thousands).</w:t>
      </w:r>
      <w:r>
        <w:rPr>
          <w:color w:val="000000"/>
        </w:rPr>
        <w:t> </w:t>
      </w:r>
    </w:p>
    <w:tbl>
      <w:tblPr>
        <w:tblW w:w="6263" w:type="dxa"/>
        <w:jc w:val="center"/>
        <w:tblInd w:w="0" w:type="dxa"/>
        <w:tblLayout w:type="fixed"/>
        <w:tblCellMar>
          <w:top w:w="28" w:type="dxa"/>
          <w:left w:w="28" w:type="dxa"/>
          <w:bottom w:w="28" w:type="dxa"/>
          <w:right w:w="28" w:type="dxa"/>
        </w:tblCellMar>
      </w:tblPr>
      <w:tblGrid>
        <w:gridCol w:w="868"/>
        <w:gridCol w:w="761"/>
        <w:gridCol w:w="771"/>
        <w:gridCol w:w="109"/>
        <w:gridCol w:w="109"/>
        <w:gridCol w:w="109"/>
        <w:gridCol w:w="322"/>
        <w:gridCol w:w="1101"/>
        <w:gridCol w:w="166"/>
        <w:gridCol w:w="109"/>
        <w:gridCol w:w="109"/>
        <w:gridCol w:w="109"/>
        <w:gridCol w:w="348"/>
        <w:gridCol w:w="1016"/>
        <w:gridCol w:w="256"/>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Leases</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5 — ASSET RETIREMENT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 retirement obligations primarily relate to future costs associated with plugging and abandonment of its oil, natural gas and salt water disposal wells, removal of pipelines, equipment and facilities from leased acreage and returning such land to its original condition. The amounts recognized are based on numerous estimates and assumptions, including future retirement costs, future recoverable quantities of oil and natural gas, future inflation rates and the Company’s credit-adjusted risk-free interest rate. Revisions to the liability can occur due to changes in these estimates and assumptions or if federal or state regulators enact new plugging and abandonment requirements. At the time of the actual plugging and abandonment of its oil and natural gas wells, the Company includes any gain or loss associated with the operation in the amortization base to the extent the actual costs are different from the estimated liability.</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The following table summarizes the changes in the Company’s asset retirement obligations for the years ended </w:t>
        <w:br/>
        <w:t>December 31, 2024 and 2023 (in thousands).</w:t>
      </w:r>
      <w:r>
        <w:rPr>
          <w:color w:val="000000"/>
        </w:rPr>
        <w:t> </w:t>
      </w:r>
    </w:p>
    <w:tbl>
      <w:tblPr>
        <w:tblW w:w="6486" w:type="dxa"/>
        <w:jc w:val="left"/>
        <w:tblInd w:w="0" w:type="dxa"/>
        <w:tblLayout w:type="fixed"/>
        <w:tblCellMar>
          <w:top w:w="28" w:type="dxa"/>
          <w:left w:w="28" w:type="dxa"/>
          <w:bottom w:w="28" w:type="dxa"/>
          <w:right w:w="28" w:type="dxa"/>
        </w:tblCellMar>
      </w:tblPr>
      <w:tblGrid>
        <w:gridCol w:w="1305"/>
        <w:gridCol w:w="1144"/>
        <w:gridCol w:w="1151"/>
        <w:gridCol w:w="109"/>
        <w:gridCol w:w="109"/>
        <w:gridCol w:w="109"/>
        <w:gridCol w:w="211"/>
        <w:gridCol w:w="826"/>
        <w:gridCol w:w="109"/>
        <w:gridCol w:w="109"/>
        <w:gridCol w:w="109"/>
        <w:gridCol w:w="109"/>
        <w:gridCol w:w="211"/>
        <w:gridCol w:w="721"/>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current asset retirement obligations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(1)Included in “Accrued liabilities” in the Company’s consolidated balance sheets at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21945"/>
                <wp:effectExtent l="0" t="0" r="0" b="0"/>
                <wp:wrapNone/>
                <wp:docPr id="129" name="Frame1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 BUSINESS COMBINATIONS AND DIVESTITURES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Business Combinations</w:t>
      </w:r>
    </w:p>
    <w:p>
      <w:pPr>
        <w:pStyle w:val="TextBody"/>
        <w:bidi w:val="0"/>
        <w:spacing w:lineRule="auto" w:line="276" w:before="120" w:after="283"/>
        <w:ind w:left="0" w:right="0" w:firstLine="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Joint Venture</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2024, the Company completed a transaction with Five Point Energy, LLC and its affiliates (“Five Point”) in which the Company contributed Pronto Midstream, LLC and its subsidiary (“Pronto”), a wholly-owned subsidiary of the Company, to San Mateo, and Five Point made a cash contribution to San Mateo of $171.5 million (the “Pronto Transaction”). In connection with the Pronto Transaction, the Company received a special distribution from San Mateo of approximately $219.8 million. In addition, the Company has the potential to earn up to $75.0 million in incentive payments from Five Point over a five-year period. San Mateo continues to be owned 51% by the Company and 49% by Five Point with Five Point’s interest in San Mateo being accounted for as a non-controlling interest. </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Pronto owns and operates the Marlan Processing Plant, which has a designed inlet capacity of 60 MMcf of natural gas per day. Pronto is expanding the Marlan Processing Plant to add an additional plant with a designed inlet capacity of 200 MMcf of natural gas per day, which would increase the total capacity of the Marlan Processing Plant to 260 MMcf of natural gas per day. </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Pronto Transaction, the Company dedicated to Pronto its current and certain future leasehold interests in the Ranger and Antelope Ridge asset areas pursuant to 15-year, fixed fee natural gas gathering, compression, treating and processing agreements whereby Pronto will gather, compress, treat and process natural gas produced from the Company’s operated wells in northern Lea County, New Mexico. In addition, Pronto entered into certain agreements with Northwind Midstream Partners LLC (“Northwind”), an affiliate of Five Point, whereby Northwind will treat certain sour gas gathered and delivered by Pronto in northern Lea County, New Mexico. Under these agreements, Northwind will redeliver the treated sweet gas from Pronto and other third-party customers to Pronto for processing.</w:t>
      </w:r>
    </w:p>
    <w:p>
      <w:pPr>
        <w:pStyle w:val="TextBody"/>
        <w:bidi w:val="0"/>
        <w:spacing w:lineRule="auto" w:line="276" w:before="120" w:after="283"/>
        <w:ind w:left="0" w:right="0" w:firstLine="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Ameredev Acquisition</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18, 2024, a wholly-owned subsidiary of the Company completed the acquisition (the “Ameredev Acquisition”) of Ameredev Stateline II, LLC (“Ameredev”) from affiliates of EnCap Investments L.P., including (i) certain oil and natural gas producing properties and undeveloped acreage located in Lea County, New Mexico and Loving and Winkler Counties, Texas, and (ii) an approximate 19% stake (the “Piñon Investment”) in the parent company of Piñon Midstream, LLC (“Piñon”). The Ameredev Acquisition had an effective date of June 1, 2024 and an aggregate as-adjusted closing purchase price of approximately $1.83 billion in cash, which amount is subject to customary post-closing adjustments. The purchase price for the Ameredev Acquisition was funded by a combination of cash on hand and borrowings under the Company’s Credit Agreement, which was amended on September 18, 2024 to, among other things: (i) provide for a term loan of $250.0 million, the full amount of which was borrowed to fund the Ameredev Acquisition, and (ii) increase the elected borrowing commitments under the revolving credit facility from $1.50 billion to $2.25 billion. On September 25, 2024, the Company completed the sale of $750.0 million in aggregate principal amount of the Company’s 6.25% senior unsecured notes due 2033 (the “2033 Notes”) and used the net proceeds to partially repay borrowings outstanding under the Credit Agreement, including all of the $250.0 million in outstanding borrowings under the term loan.</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Ameredev Acquisition was accounted for under the acquisition method of accounting as a business combination in accordance with Accounting Standards Codification Topic 805, Business Combinations (“ASC Topic 805”). Under ASC Topic 805, the purchase price is allocated to the underlying tangible and intangible assets acquired and liabilities assumed based upon their estimated fair values as of the respective acquisition date, with any excess purchase price allocated to goodwill. As the Company acquired 100% of the membership interests of Ameredev, the acquisition was treated as an asset acquisition for tax purposes. The Company concluded that the Piñon Investment was an equity method investment. </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preliminary allocation of the total purchase price for the Ameredev Acquisition is set forth below (in thousands). As of the date of this filing, the valuation of the Piñon Investment and certain working capital adjustments in connection with the final settlement remain ongoing and adjustments may be made. The Company expects to complete the final purchase price allocation during the 12-month period subsequent to the Ameredev Acquisition closing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21945"/>
                <wp:effectExtent l="0" t="0" r="0" b="0"/>
                <wp:wrapNone/>
                <wp:docPr id="130" name="Frame1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 BUSINESS COMBINATIONS AND DIVESTITURES — Continued</w:t>
      </w:r>
    </w:p>
    <w:tbl>
      <w:tblPr>
        <w:tblW w:w="4173" w:type="dxa"/>
        <w:jc w:val="left"/>
        <w:tblInd w:w="0" w:type="dxa"/>
        <w:tblLayout w:type="fixed"/>
        <w:tblCellMar>
          <w:top w:w="28" w:type="dxa"/>
          <w:left w:w="28" w:type="dxa"/>
          <w:bottom w:w="28" w:type="dxa"/>
          <w:right w:w="28" w:type="dxa"/>
        </w:tblCellMar>
      </w:tblPr>
      <w:tblGrid>
        <w:gridCol w:w="906"/>
        <w:gridCol w:w="799"/>
        <w:gridCol w:w="800"/>
        <w:gridCol w:w="109"/>
        <w:gridCol w:w="109"/>
        <w:gridCol w:w="109"/>
        <w:gridCol w:w="211"/>
        <w:gridCol w:w="97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Allocation</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Allocation of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of assets acquired and liabilities assumed are based on inputs that are not observable in the market and therefore represent Level 3 inputs. The fair value of evaluated oil and natural gas properties and asset retirement obligations were measured using the discounted cash flow technique of valuation.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inputs to the valuation of oil and natural gas properties include estimates of: (i) future production volumes, (ii) future commodity prices and (iii) recent market comparable transactions for unproved acreage. These inputs require significant judgments and estimates and are the most sensitive and subject to change.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Ameredev Acquisition since the closing date have been included in the Company’s consolidated financial statements for the year ended December 31, 2024. The oil and natural gas production from Ameredev increased the Company’s revenues and net income for the period from September 18, 2024 through December 31, 2024 by $118.0 million and $34.8 million, respectively.</w:t>
      </w:r>
    </w:p>
    <w:p>
      <w:pPr>
        <w:pStyle w:val="TextBody"/>
        <w:bidi w:val="0"/>
        <w:spacing w:lineRule="auto" w:line="276"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 Forma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unaudited pro forma financial information represents a summary of the condensed consolidated results of operations for the years ended December 31, 2024 and 2023, assuming the Ameredev Acquisition had been completed as of January 1, 2023. The pro forma financial information is provided for illustrative purposes only and does not purport to represent what the actual consolidated results of operations or the consolidated financial position of the Company would have been had the Ameredev Acquisition occurred on the dates noted above, nor is it necessarily indicative of the future results of operations or consolidated financial position of the Company. Future results may vary significantly from the results reflected because of various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21945"/>
                <wp:effectExtent l="0" t="0" r="0" b="0"/>
                <wp:wrapNone/>
                <wp:docPr id="131" name="Frame1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 BUSINESS COMBINATIONS AND DIVESTITURES — Continued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below reflects certain nonrecurring pro forma adjustments that were directly related to the business combination based on currently available information and certain estimates and assumptions that the Company believes provide a reasonable basis for presenting the significant effects of the Ameredev Acquisition, including (i) the increase in depletion reflecting the relative fair values and production volumes attributable to Ameredev’s properties and the revision to the depletion rate reflecting the reserve volumes acquired, (ii) adjustments to interest expense as a result of the incremental borrowings necessary to finance the Ameredev Acquisition and (iii) the estimated tax impacts of the pro-forma adjustments. The pro forma financial information does not reflect the benefits of projected synergies, potential cost savings or the costs that may be necessary to achieve such savings, opportunities to increase revenue generation or other factors that may result from the Ameredev Acquisition and, accordingly, does not attempt to predict or suggest future results. Management cannot identify the timing, nature and amount of such savings, costs or other factors, any of which could affect the future consolidated results of operations or consolidated financial position of the Company.</w:t>
      </w:r>
    </w:p>
    <w:tbl>
      <w:tblPr>
        <w:tblW w:w="9608" w:type="dxa"/>
        <w:jc w:val="left"/>
        <w:tblInd w:w="0" w:type="dxa"/>
        <w:tblLayout w:type="fixed"/>
        <w:tblCellMar>
          <w:top w:w="28" w:type="dxa"/>
          <w:left w:w="28" w:type="dxa"/>
          <w:bottom w:w="28" w:type="dxa"/>
          <w:right w:w="28" w:type="dxa"/>
        </w:tblCellMar>
      </w:tblPr>
      <w:tblGrid>
        <w:gridCol w:w="2083"/>
        <w:gridCol w:w="1833"/>
        <w:gridCol w:w="1843"/>
        <w:gridCol w:w="109"/>
        <w:gridCol w:w="109"/>
        <w:gridCol w:w="109"/>
        <w:gridCol w:w="220"/>
        <w:gridCol w:w="1018"/>
        <w:gridCol w:w="113"/>
        <w:gridCol w:w="113"/>
        <w:gridCol w:w="113"/>
        <w:gridCol w:w="113"/>
        <w:gridCol w:w="220"/>
        <w:gridCol w:w="1018"/>
        <w:gridCol w:w="113"/>
        <w:gridCol w:w="109"/>
        <w:gridCol w:w="109"/>
        <w:gridCol w:w="109"/>
        <w:gridCol w:w="154"/>
      </w:tblGrid>
      <w:tr>
        <w:trPr/>
        <w:tc>
          <w:tcPr>
            <w:tcW w:w="208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3,778,470 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3,371,170 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Q1 2024 Acquisition</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2024, a wholly-owned subsidiary of the Company acquired oil and natural gas producing properties and undeveloped acreage located in Lea County, New Mexico (the “Q1 2024 Acquisition”). The Q1 2024 Acquisition had an effective date of October 1, 2023 and consideration for the acquisition consisted of an amount in cash equal to approximately $154.8 million.</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Q1 2024 Acquisition was accounted for under the acquisition method of accounting as a business combination in accordance with ASC Topic 805. Under ASC Topic 805, the purchase price is allocated to the underlying tangible and intangible assets acquired and liabilities assumed based upon their estimated fair values as of the acquisition date, with any excess purchase price allocated to goodwill. </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final allocation of the total purchase price for the Q1 2024 Acquisition is set forth below (in thousands).</w:t>
      </w:r>
    </w:p>
    <w:tbl>
      <w:tblPr>
        <w:tblW w:w="3696" w:type="dxa"/>
        <w:jc w:val="left"/>
        <w:tblInd w:w="0" w:type="dxa"/>
        <w:tblLayout w:type="fixed"/>
        <w:tblCellMar>
          <w:top w:w="28" w:type="dxa"/>
          <w:left w:w="28" w:type="dxa"/>
          <w:bottom w:w="28" w:type="dxa"/>
          <w:right w:w="28" w:type="dxa"/>
        </w:tblCellMar>
      </w:tblPr>
      <w:tblGrid>
        <w:gridCol w:w="906"/>
        <w:gridCol w:w="799"/>
        <w:gridCol w:w="800"/>
        <w:gridCol w:w="211"/>
        <w:gridCol w:w="82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Consideration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Allocation</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given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Allocation of purchase price</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45,778</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106,839</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of assets acquired and liabilities assumed are based on inputs that are not observable in the market and therefore represent Level 3 inputs. The fair value of evaluated oil and natural gas properties and asset retirement obligations were measured using the discounted cash flow technique of valuation.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21945"/>
                <wp:effectExtent l="0" t="0" r="0" b="0"/>
                <wp:wrapNone/>
                <wp:docPr id="132" name="Frame1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 BUSINESS COMBINATIONS AND DIVESTITURES — Continued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inputs to the valuation of oil and natural gas properties include estimates of: (i) future production volumes, (ii) future commodity prices and (iii) recent market comparable transactions for unproved acreage. These inputs require significant judgments and estimates and are the most sensitive and subject to change.</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Q1 2024 Acquisition since the closing date have been included in the Company’s consolidated financial statements for the year ended December 31, 2024. The pro forma impact of this business combination to revenues and net income for 2024 and 2023 would not be material to the Company’s 2024 or 2023 revenues and net income as reported.</w:t>
      </w:r>
    </w:p>
    <w:p>
      <w:pPr>
        <w:pStyle w:val="TextBody"/>
        <w:bidi w:val="0"/>
        <w:spacing w:lineRule="auto" w:line="288" w:before="120" w:after="283"/>
        <w:ind w:left="0" w:right="0" w:firstLine="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Advance Acquisition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2023, a wholly-owned subsidiary of the Company completed the acquisition of Advance Energy Partners Holdings, LLC (“Advance”) from affiliates of EnCap Investments L.P., including certain oil and natural gas producing properties, undeveloped acreage and midstream assets located primarily in Lea County, New Mexico and Ward County, Texas (the “Initial Advance Acquisition”). The Initial Advance Acquisition had an effective date of January 1, 2023 and an aggregate purchase price consisting of (i) an amount in cash equal to approximately $1.60 billion (which amount was subject to certain customary post-closing adjustments) (the “Cash Consideration”) and (ii) potential additional cash consideration of $7.5 million for each month of 2023 in which the average oil price (as defined in the securities purchase agreement) exceeded $85 per barrel (all such payments for the 12 months in 2023, the “Contingent Consideration”). The Cash Consideration was paid upon the closing of the Initial Advance Acquisition and was funded by a combination of cash on hand and borrowings under the Credit Agreement. The Company made no payments related to the Contingent Consideration during the first, second, or third quarters of 2023. In the fourth quarter of 2023, the Company paid Contingent Consideration of $15.0 million, as the average oil price for the months of September and October 2023 exceeded $85 per barrel. </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Contingent Consideration at fair value on the date of the business combination and recorded the change in the fair value in future periods as “Other income (expense)” in its consolidated statements of income. The fair value of the Contingent Consideration was $21.2 million at April 12, 2023. The change in fair value of the Contingent Consideration included in “Other income (expense)” during the year ended December 31, 2023 was income of $6.2 million. The Company used the Monte Carlo simulation method to measure the fair value of the Contingent Consideration, which has unobservable inputs and is thus classified at Level 3 in the fair value hierarchy (see Note 13 for discussion of the fair value hierarchy).</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 2023, the Company acquired additional interests from affiliates of EnCap Investments L.P., including overriding royalty interests and royalty interests in certain oil and natural gas properties located primarily in Lea County, New Mexico, most of which were included in the Initial Advance Acquisition (the “Advance Royalty Acquisition”). The Advance Royalty Acquisition had an effective date of October 1, 2023 and an aggregate purchase price of approximately $81.0 million (which amount was subject to certain customary post-closing adjustments), and was funded by cash on hand.</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Advance Acquisition and Advance Royalty Acquisition (collectively, the “Advance Acquisition”) were accounted for under the acquisition method of accounting as a business combination in accordance with ASC Topic 805. Under ASC Topic 805, the purchase price is allocated to the underlying tangible and intangible assets acquired and liabilities assumed based upon their estimated fair values as of the respective acquisition dates, with any excess purchase price allocated to goodwill. The Advance Acquisition was treated as an asset acquisition for tax purposes, as the Company acquired 100% of the membership interests of Advance in the Initial Advance Acquisition, and acquired additional overriding royalty interests and royalty interests in the Advance Royalty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21945"/>
                <wp:effectExtent l="0" t="0" r="0" b="0"/>
                <wp:wrapNone/>
                <wp:docPr id="133" name="Frame1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 BUSINESS COMBINATIONS AND DIVESTITURES — Continued</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final allocation of the total purchase price for the Advance Acquisition is set forth below (in thousands).</w:t>
      </w:r>
    </w:p>
    <w:tbl>
      <w:tblPr>
        <w:tblW w:w="5878" w:type="dxa"/>
        <w:jc w:val="left"/>
        <w:tblInd w:w="0" w:type="dxa"/>
        <w:tblLayout w:type="fixed"/>
        <w:tblCellMar>
          <w:top w:w="28" w:type="dxa"/>
          <w:left w:w="28" w:type="dxa"/>
          <w:bottom w:w="28" w:type="dxa"/>
          <w:right w:w="28" w:type="dxa"/>
        </w:tblCellMar>
      </w:tblPr>
      <w:tblGrid>
        <w:gridCol w:w="1717"/>
        <w:gridCol w:w="1509"/>
        <w:gridCol w:w="1513"/>
        <w:gridCol w:w="345"/>
        <w:gridCol w:w="345"/>
        <w:gridCol w:w="449"/>
      </w:tblGrid>
      <w:tr>
        <w:trPr/>
        <w:tc>
          <w:tcPr>
            <w:tcW w:w="171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0"/>
              <w:jc w:val="left"/>
              <w:rPr>
                <w:rFonts w:ascii="Times New Roman;sans-serif" w:hAnsi="Times New Roman;sans-serif"/>
                <w:b/>
                <w:color w:val="000000"/>
                <w:sz w:val="20"/>
                <w:u w:val="single"/>
              </w:rPr>
            </w:pPr>
            <w:r>
              <w:rPr>
                <w:rFonts w:ascii="Times New Roman;sans-serif" w:hAnsi="Times New Roman;sans-serif"/>
                <w:b/>
                <w:color w:val="000000"/>
                <w:sz w:val="20"/>
                <w:u w:val="single"/>
              </w:rPr>
              <w:t>Consideration given</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Allocation</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$1,676,132</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adjustments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 at April 12, 2023</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21,151</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2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given</w:t>
            </w:r>
          </w:p>
        </w:tc>
        <w:tc>
          <w:tcPr>
            <w:tcW w:w="11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$1,693,223</w:t>
            </w:r>
          </w:p>
        </w:tc>
      </w:tr>
      <w:tr>
        <w:trPr/>
        <w:tc>
          <w:tcPr>
            <w:tcW w:w="5878" w:type="dxa"/>
            <w:gridSpan w:val="6"/>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50"/>
              <w:jc w:val="left"/>
              <w:rPr>
                <w:rFonts w:ascii="Times New Roman;sans-serif" w:hAnsi="Times New Roman;sans-serif"/>
                <w:b/>
                <w:color w:val="000000"/>
                <w:sz w:val="20"/>
                <w:u w:val="single"/>
              </w:rPr>
            </w:pPr>
            <w:r>
              <w:rPr>
                <w:rFonts w:ascii="Times New Roman;sans-serif" w:hAnsi="Times New Roman;sans-serif"/>
                <w:b/>
                <w:color w:val="000000"/>
                <w:sz w:val="20"/>
                <w:u w:val="single"/>
              </w:rPr>
              <w:t>Allocation of purchase price</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$79,287</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Evaluated </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1,418,668</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213,835</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Midstream assets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63,644</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(73,885)</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2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11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$1,693,223</w:t>
            </w:r>
          </w:p>
        </w:tc>
      </w:tr>
    </w:tbl>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of assets acquired and liabilities assumed are based on inputs that are not observable in the market and therefore represent Level 3 inputs. The fair value of oil and natural gas properties and asset retirement obligations were measured using the discounted cash flow technique of valuation.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inputs to the valuation of oil and natural gas properties include estimates of: (i) future production volumes, (ii) expected operating and development costs, (iii) future commodity prices, (iv) recent market comparable transactions for unproved acreage and (v) a market-based weighted average cost of capital rate. These inputs require significant judgments and estimates and are the most sensitive and subject to change.</w:t>
      </w:r>
    </w:p>
    <w:p>
      <w:pPr>
        <w:pStyle w:val="TextBody"/>
        <w:bidi w:val="0"/>
        <w:spacing w:lineRule="auto" w:line="276" w:before="120" w:after="283"/>
        <w:jc w:val="left"/>
        <w:rPr/>
      </w:pPr>
      <w:r>
        <w:rPr>
          <w:rFonts w:ascii="Times New Roman;sans-serif" w:hAnsi="Times New Roman;sans-serif"/>
          <w:b w:val="false"/>
          <w:i/>
          <w:color w:val="000000"/>
          <w:sz w:val="20"/>
          <w:u w:val="single"/>
        </w:rPr>
        <w:t>Divestitures</w:t>
      </w:r>
      <w:r>
        <w:rPr>
          <w:color w:val="000000"/>
        </w:rPr>
        <w:t>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and 2023, the Company converted approximately $12.4 million and $0.7 million, respectively, of non-core assets to cash. These properties were primarily located in South Texas and Northwest Louisiana.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28, 2024, Piñon was acquired by an affiliate of Enterprise Products Partners L.P. The Company received $113.6 million from the sale of Piñon during the fourth quarter of 2024 and used these proceeds to reduce borrowings under the Credit Agreement. The Company currently expects to receive an additional $4.8 million from the sale of Piñon in the first half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21945"/>
                <wp:effectExtent l="0" t="0" r="0" b="0"/>
                <wp:wrapNone/>
                <wp:docPr id="134" name="Frame1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7 — DEBT</w:t>
      </w:r>
    </w:p>
    <w:p>
      <w:pPr>
        <w:pStyle w:val="TextBody"/>
        <w:bidi w:val="0"/>
        <w:spacing w:before="0" w:after="0"/>
        <w:jc w:val="left"/>
        <w:rPr/>
      </w:pPr>
      <w:r>
        <w:rPr/>
      </w:r>
    </w:p>
    <w:p>
      <w:pPr>
        <w:pStyle w:val="TextBody"/>
        <w:bidi w:val="0"/>
        <w:spacing w:lineRule="auto" w:line="288" w:before="12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debt, including the effects of issuance costs and discounts, net as of December 31, 2024 and 2023, are set forth below (in thousands).</w:t>
      </w:r>
    </w:p>
    <w:tbl>
      <w:tblPr>
        <w:tblW w:w="6099" w:type="dxa"/>
        <w:jc w:val="left"/>
        <w:tblInd w:w="0" w:type="dxa"/>
        <w:tblLayout w:type="fixed"/>
        <w:tblCellMar>
          <w:top w:w="28" w:type="dxa"/>
          <w:left w:w="28" w:type="dxa"/>
          <w:bottom w:w="28" w:type="dxa"/>
          <w:right w:w="28" w:type="dxa"/>
        </w:tblCellMar>
      </w:tblPr>
      <w:tblGrid>
        <w:gridCol w:w="1134"/>
        <w:gridCol w:w="999"/>
        <w:gridCol w:w="1002"/>
        <w:gridCol w:w="211"/>
        <w:gridCol w:w="976"/>
        <w:gridCol w:w="109"/>
        <w:gridCol w:w="109"/>
        <w:gridCol w:w="109"/>
        <w:gridCol w:w="109"/>
        <w:gridCol w:w="211"/>
        <w:gridCol w:w="97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agreements: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due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Credit Facility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5.875% senior notes due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6.875% senior notes due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6.500% senior notes due 2032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 and discounts,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unsecured notes payable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1,184,627 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2,206,627 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br/>
        <w:t>Credit Agreements</w:t>
      </w:r>
    </w:p>
    <w:p>
      <w:pPr>
        <w:pStyle w:val="TextBody"/>
        <w:bidi w:val="0"/>
        <w:spacing w:lineRule="auto" w:line="288" w:before="12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MRC Energy Company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18, 2021, the Company entered into its Fourth Amended and Restated Credit Agreement with the lenders party thereto, then led by Truist Bank as administrative agent. MRC Energy Company (“MRC”), a subsidiary of Matador that directly or indirectly holds the ownership interests in the Company’s other operating subsidiaries, other than its less-than-wholly-owned subsidiaries, is the borrower under the Credit Agreement. Borrowings are secured by mortgages on at least 85% of MRC’s and the Restricted Subsidiaries’ (as defined in the Credit Agreement) proved oil and natural gas properties and by the equity interests of certain of MRC’s wholly-owned subsidiaries, which are also guarantors. San Mateo is not a guarantor of the Credit Agreement. In addition, all obligations under the Credit Agreement are guaranteed by Matador, the parent corporation. Various commodity hedging agreements with certain of the lenders under the Credit Agreement (or affiliates thereof) are also secured by the collateral of and guaranteed by certain eligible subsidiaries of MRC. The outstanding borrowings under the Credit Agreement mature on March 22, 2029 or, if earlier, the date that is up to 180 days prior to the earliest stated redemption date of any senior notes of the Company if unused availability under the revolving credit facility on such date is less than 20% of the aggregate revolving commitments, on a pro forma basis after giving effect to the repayment of such senior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March 22, 2024, the Company and its lenders entered into an amendment to the Fourth Amended and Restated Credit Agreement, which amended the Credit Agreement to, among other things: (i) reaffirm the borrowing base at $2.50 billion, (ii) increase the elected borrowing commitments from $1.325 billion to $1.50 billion, (iii) increase the maximum facility amount from $2.00 billion to $3.50 billion, (iv) extend the maturity date from October 31, 2026 to March 22, 2029, (v) appoint PNC Bank, National Association as administrative agent thereunder and (vi) add five new banks to the lending group. This March 2024 reaffirmation of the borrowing base constituted the regularly scheduled May 1 redetermination.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18, 2024, the Company and its lenders entered into an amendment to the Fourth Amended and Restated Credit Agreement, which amended the Credit Agreement to, among other things: (i) provide for a term loan of $250.0 million, the full amount of which was borrowed to fund the Ameredev Acquisition, and (ii) increase the elected borrowing commitments under the revolving credit facility from $1.50 billion to $2.25 billion. On September 25, 2024, the Company completed the sale of $750.0 million in aggregate principal amount of the 2033 Notes and used the proceeds to partially repay borrowings under the Credit Agreement, including all of the $250.0 million in outstanding borrowings under the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21945"/>
                <wp:effectExtent l="0" t="0" r="0" b="0"/>
                <wp:wrapNone/>
                <wp:docPr id="135" name="Frame1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DEBT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21, 2024, the Company received notice from PNC Bank, National Association, as administrative agent under the Credit Agreement, that the lenders under the Credit Agreement completed their scheduled semi-annual review of the Company’s proved oil and natural gas reserves and unanimously determined to increase the borrowing base from $2.50 billion to $3.25 billion. The Company chose to maintain the elected borrowing commitments at $2.25 billion.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an increase in the elected borrowing commitment, the Company is required to pay a fee to the lenders equal to a percentage of the amount of the increase, which is determined based on market conditions at the time of the increase. If, upon a redetermination of the borrowing base, the borrowing base were to be less than the outstanding borrowings under the Credit Agreement at such time, the Company would be required to provide additional collateral satisfactory in nature and value to the lenders to increase the borrowing base to an amount sufficient to cover such excess or to repay the deficit in equal installments over a period of six months.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deferred loan costs were $28.2 million at December 31, 2024, and these costs are being amortized over the term of the Credit Agreement. At December 31, 2024, the Company had $595.5 million in borrowings outstanding under the Credit Agreement and approximately $52.9 million in outstanding letters of credit issued pursuant to the Credit Agreement. The Company’s effective interest rate under the Credit Agreement was 6.19% at December 31, 2024.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applicable interest rate margin for borrowings under the Credit Agreement ranges from 1.75% to 2.75% for borrowings bearing interest with reference to the Adjusted Term SOFR Rate (as defined in the Credit Agreement) and from 0.75% to 1.75% for borrowings bearing interest with reference to the Alternate Base Rate (as defined in the Credit Agreement), in each case depending on the level of borrowings under the Credit Agreement. In addition, the Adjusted Term SOFR Rate includes a credit spread adjustment of 0.10% for all interest periods. The interest period for Adjusted Term SOFR Rate borrowings may be one, three or six months as designated by MRC. If MRC has outstanding borrowings under the Credit Agreement and interest rates increase, so will MRC’s interest costs, which may have a material adverse effect on the Company’s results of operations and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commitment fee of 0.375% to 0.50%, depending on the level of borrowings under the Credit Agreement, is also paid quarterly in arrears. The Company includes this commitment fee, any amortization of deferred financing costs (including origination, borrowing base increase and amendment fees) and annual agency fees, if any, as interest expense and in its interest rate calculations and related disclosures. The Credit Agreement requires the Company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 million or 10% of the elected borrowing commitments of unrestricted cash and cash equivalents) divided by a rolling four quarter EBITDA calculation, of 3.50 or less at the end of each fiscal quarter.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Credit Agreement contains various covenants that limit MRC’s and its Restricted Subsidiaries’ (as defined in the Credit Agreement) ability to take certain actions, including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indebtedness or grant liens on any of its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commodity hedging agreements or interest rate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declare or pay dividends, distributions or redemptions;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merge or consolidate;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make any loans or investments;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engage in transactions with affiliates;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engage in certain asset dispositions, including a sale of all or substantially all of MRC’s assets;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take certain actions with respect to the Company’s senior unsecured notes.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an event of default exists under the Credit Agreement, the lenders will be able to terminate their commitments, accelerate the maturity of the borrowings and exercise other rights and remedies. Events of default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to pay any principal on the outstanding borrowings when due or any interest on the outstanding borrowings, any reimbursement obligation under any letter of credit or any fees or other amounts within certain grace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21945"/>
                <wp:effectExtent l="0" t="0" r="0" b="0"/>
                <wp:wrapNone/>
                <wp:docPr id="136" name="Frame1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DEBT — Continued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to perform or otherwise comply with the covenants and obligations in the Credit Agreement or other loan documents, subject, in certain instances, to certain grace periods;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bankruptcy or insolvency events involving the Company or any of the Restricted Subsidiaries;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change of control, as defined in the Credit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was in compliance with the terms of the Credit Agreement at December 31, 2024.</w:t>
      </w:r>
    </w:p>
    <w:p>
      <w:pPr>
        <w:pStyle w:val="TextBody"/>
        <w:bidi w:val="0"/>
        <w:spacing w:lineRule="auto" w:line="417" w:before="12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San Mateo Midstream, LLC</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19, 2018, San Mateo entered into a secured revolving credit facility (the “San Mateo Credit Facility”) with the lenders party thereto, currently led by Truist Bank as administrative agent. On November 26, 2024, San Mateo and its lenders entered into an amendment to the San Mateo Credit Facility to, among other things: (i) extend the maturity date of the facility from December 9, 2026 to November 26, 2029, (ii) increase the lender commitments from $535.0 million to $800.0 million and (iii) add six new banks to San Mateo’s lending group. The San Mateo Credit Facility includes an accordion feature, which provides for potential increases in lender commitments to up to $1.05 billion. The San Mateo Credit Facility is non-recourse with respect to Matador and its other subsidiaries, but is guaranteed by San Mateo’s subsidiaries and secured by substantially all of San Mateo’s assets, including real property.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loan costs were $8.9 million at December 31, 2024, and these costs are being amortized over the term of the San Mateo Credit Facility. San Mateo’s effective interest rate under the San Mateo Credit Facility was 6.44% at December 31, 2024. At December 31, 2024, San Mateo had $615.0 million in borrowings outstanding under the San Mateo Credit Facility and $9.0 million in outstanding letters of credit issued pursuant to the San Mateo Credit Facility. The outstanding borrowings under the San Mateo Credit Facility mature on November 26, 2029.</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San Mateo Credit Facility may be in the form of a base rate loan or an Adjusted Term SOFR Rate loan. If San Mateo borrows funds as a base rate loan, such borrowings will bear interest at a rate equal to the greatest of (i) the prime rate for such day, (ii) the Federal Funds Effective Rate (as defined in the San Mateo Credit Facility) on such day, plus 0.50%, and (iii) the Adjusted Term SOFR Rate (as defined in the San Mateo Credit Facility) for a one month tenor plus 1.0%, plus, in each case, an amount ranging from 1.00% to 2.00% depending on San Mateo’s Consolidated Total Leverage Ratio (as defined in the San Mateo Credit Facility). If San Mateo borrows funds as an Adjusted Term SOFR Rate loan, such borrowings will bear interest at a rate equal to (x) the Adjusted Term SOFR Rate for the chosen interest period plus (y) an amount ranging from 2.00% to 3.00%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commitment fee of 0.30% to 0.50%, depending on San Mateo’s Consolidated Total Leverage Ratio, is also paid quarterly in arrears. The Company includes this commitment fee, any amortization of deferred financing costs (including origination and amendment fees) and annual agency fees, if any, as interest expense and in its interest rate calculations and related disclosures.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debt to EBITDA ratio is greater than 4.50 or San Mateo’s liquidity is less than 10% of the lender commitments under the San Mateo Credit Facility.</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San Mateo Credit Facility contains various covenants that limit San Mateo’s and its restricted subsidiaries’ ability to take certain actions, including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indebtedness or grant liens on any of San Mateo’s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hedging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declare or pay dividends, distributions or redemptions;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merge or consolidate;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make any loans or investments;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engage in transactions with affiliates;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21945"/>
                <wp:effectExtent l="0" t="0" r="0" b="0"/>
                <wp:wrapNone/>
                <wp:docPr id="137" name="Frame1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DEBT — Continued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engage in certain asset dispositions, including a sale of all or substantially all of San Mateo’s assets;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issue equity interests in San Mateo or its restricted subsidiaries.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an event of default exists under the San Mateo Credit Facility, the lenders will be able to terminate their commitments, accelerate the maturity of the borrowings and exercise other rights and remedies. Events of default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to pay any principal or interest on the outstanding borrowings or any reimbursement obligation under any letter of credit when due or any fees or other amounts within certain grace periods;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to perform or otherwise comply with the covenants and obligations in the San Mateo Credit Facility or other loan documents, subject, in certain instances, to certain grace periods;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bankruptcy or insolvency events involving San Mateo or its subsidiaries;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change of control, as defined in the San Mateo Credit Facility.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San Mateo was in compliance with the terms of the San Mateo Credit Facility at December 31, 2024.</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Senior Unsecured Notes</w:t>
      </w:r>
    </w:p>
    <w:p>
      <w:pPr>
        <w:pStyle w:val="TextBody"/>
        <w:bidi w:val="0"/>
        <w:spacing w:lineRule="auto" w:line="288" w:before="120" w:after="283"/>
        <w:ind w:left="0" w:right="0" w:firstLine="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2026 Notes Tender Offer and Redemption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and April 4, 2024, the Company completed the repurchase of an aggregate principal amount of approximately $556.3 million of the $699.2 million of outstanding senior notes due 2026 (the “2026 Notes”) pursuant to the Company’s cash tender offer for the 2026 Notes announced on March 26, 2024 (the “2026 Notes Tender Offer”). On April 2, 2024, the Company exercised its optional right, under the indenture governing the 2026 Notes, to redeem the remaining aggregate principal amount of approximately $142.9 million of 2026 Notes outstanding on September 15, 2024 (the “2026 Notes Redemption”) and, in connection therewith, to satisfy and discharge the Company’s obligations under such indenture with respect to the 2026 Notes. In connection with the 2026 Notes Tender Offer and 2026 Notes Redemption, the Company incurred a loss of approximately $3.0 million included in interest expense for the year ended December 31, 2024.</w:t>
      </w:r>
    </w:p>
    <w:p>
      <w:pPr>
        <w:pStyle w:val="TextBody"/>
        <w:bidi w:val="0"/>
        <w:spacing w:lineRule="auto" w:line="288" w:before="120" w:after="283"/>
        <w:ind w:left="0" w:right="0" w:firstLine="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2028 Notes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the Company had $500.0 million in aggregate principal amount of senior unsecured notes due 2028 (the “2028 Notes”), which have a 6.875% coupon rate and mature on April 15, 2028. Interest on the 2028 Notes is payable semi-annually in arrears on each April 15 and October 15. The 2028 Notes are jointly and severally guaranteed on a senior unsecured basis by certain subsidiaries of the Company (the “Guarantors”). San Mateo is not a Restricted Subsidiary (as defined in the indenture governing the 2028 Notes (the “2028 Notes Indenture”)) or Guarantor of the 2028 Notes.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April 15, 2025, the Company may redeem up to 35% in aggregate principal amount of 2028 Notes at a redemption price of 106.875% of the principal amount thereof, plus accrued and unpaid interest, if any, to the redemption date, in an amount not greater than the net proceeds of certain equity offerings, so long as the redemption occurs within 180 days of completing such equity offering and at least 65% of the aggregate principal amount of the 2028 Notes remains outstanding after such redemption. In addition, at any time prior to April 15, 2025, the Company may redeem all or part of the 2028 Notes for cash at a redemption price equal to 100% of their principal amount plus an applicable make-whole premium and accrued and unpaid interest, if any, to the applicable redemption date.</w:t>
      </w:r>
    </w:p>
    <w:p>
      <w:pPr>
        <w:pStyle w:val="TextBody"/>
        <w:bidi w:val="0"/>
        <w:spacing w:lineRule="auto" w:line="288" w:before="120" w:after="10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April 15, 2025, the Company may redeem all or a part of the 2028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tbl>
      <w:tblPr>
        <w:tblW w:w="3685" w:type="dxa"/>
        <w:jc w:val="center"/>
        <w:tblInd w:w="0" w:type="dxa"/>
        <w:tblLayout w:type="fixed"/>
        <w:tblCellMar>
          <w:top w:w="28" w:type="dxa"/>
          <w:left w:w="28" w:type="dxa"/>
          <w:bottom w:w="28" w:type="dxa"/>
          <w:right w:w="28" w:type="dxa"/>
        </w:tblCellMar>
      </w:tblPr>
      <w:tblGrid>
        <w:gridCol w:w="612"/>
        <w:gridCol w:w="537"/>
        <w:gridCol w:w="545"/>
        <w:gridCol w:w="109"/>
        <w:gridCol w:w="109"/>
        <w:gridCol w:w="109"/>
        <w:gridCol w:w="487"/>
        <w:gridCol w:w="487"/>
        <w:gridCol w:w="690"/>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103.438%</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101.719%</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bl>
    <w:p>
      <w:pPr>
        <w:pStyle w:val="TextBody"/>
        <w:bidi w:val="0"/>
        <w:spacing w:before="12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21945"/>
                <wp:effectExtent l="0" t="0" r="0" b="0"/>
                <wp:wrapNone/>
                <wp:docPr id="138" name="Frame1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DEBT — Continued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2028 Notes Indenture contains various covenants that limit the Company’s and its Restricted Subsidiaries’ ability to take certain actions, including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additional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sell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pay dividends or make certain investments;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create liens that secure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transactions with affiliates;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merge or consolidate with another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case of an event of default arising from certain events of bankruptcy or insolvency with respect to Matador, any Restricted Subsidiary (as defined in the 2028 Notes Indenture) that is a Significant Subsidiary (as defined in the 2028 Notes Indenture) or any group of Restricted Subsidiaries that, taken together, would constitute a Significant Subsidiary, all outstanding 2028 Notes will become due and payable immediately without further action or notice. If any other event of default occurs and is continuing, the trustee or the holders of at least 25% in principal amount of the then outstanding 2028 Notes may declare all the 2028 Notes to be due and payable immediately. Events of default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default for 30 days in the payment when due of interest on the 2028 Notes;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default in the payment when due of the principal of, or premium, if any, on the 2028 Notes;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by the Company to comply with its obligations to offer to purchase or purchase 2028 Notes pursuant to the change of control or asset sale covenants of the 2028 Notes Indenture or to comply with the covenant relating to mergers;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by the Company for 180 days after notice to comply with its reporting obligations under the 2028 Notes Indenture;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failure by the Company for 60 days after notice to comply with any of the other agreements in the 2028 Notes Indenture;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payment defaults and accelerations with respect to other indebtedness of the Company and its Restricted Subsidiaries in the aggregate principal amount of $100.0 million or more;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by the Company or any Restricted Subsidiary to pay certain final judgments aggregating in excess of $100.0 million within 60 days;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subsidiary guarantee by a Guarantor ceases to be in full force and effect, is declared null and void in a judicial proceeding or is denied or disaffirmed by its maker;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certain events of bankruptcy or insolvency with respect to the Company or any Restricted Subsidiary that is a Significant Subsidiary or any group of Restricted Subsidiaries that, taken together, would constitute a Significant Subsidiary.</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2032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2024, the Company completed the sale of $900.0 million in aggregate principal amount of senior unsecured notes due 2032 (the “2032 Notes”), which have a 6.50% coupon rate and mature on April 15, 2032. Interest on the 2032 Notes is payable in arrears on each April 15 and October 15. The 2032 Notes are jointly and severally guaranteed on a senior unsecured basis by the Guarantors. San Mateo is not a Restricted Subsidiary (as defined in the indenture governing the 2032 Notes (the “2032 Notes Indenture”)) or Guarantor of the 2032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April 15, 2027, the Company may redeem up to 40% in aggregate principal amount of 2032 Notes at a redemption price of 106.500%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2032 Notes remains outstanding after such redemption. In addition, at any time prior to April 15, 2027, the Company may redeem all or part of the 2032 Notes for cash at a redemption price equal to 100% of their principal amount plus an applicable make-whole premium and accrued and unpaid interest, if any, to the applicable redemption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21945"/>
                <wp:effectExtent l="0" t="0" r="0" b="0"/>
                <wp:wrapNone/>
                <wp:docPr id="139" name="Frame1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DEBT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April 15, 2027, the Company may redeem all or a part of the 2032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tbl>
      <w:tblPr>
        <w:tblW w:w="3685" w:type="dxa"/>
        <w:jc w:val="center"/>
        <w:tblInd w:w="0" w:type="dxa"/>
        <w:tblLayout w:type="fixed"/>
        <w:tblCellMar>
          <w:top w:w="28" w:type="dxa"/>
          <w:left w:w="28" w:type="dxa"/>
          <w:bottom w:w="28" w:type="dxa"/>
          <w:right w:w="28" w:type="dxa"/>
        </w:tblCellMar>
      </w:tblPr>
      <w:tblGrid>
        <w:gridCol w:w="612"/>
        <w:gridCol w:w="537"/>
        <w:gridCol w:w="545"/>
        <w:gridCol w:w="109"/>
        <w:gridCol w:w="109"/>
        <w:gridCol w:w="109"/>
        <w:gridCol w:w="487"/>
        <w:gridCol w:w="487"/>
        <w:gridCol w:w="690"/>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103.250%</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101.625%</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bl>
    <w:p>
      <w:pPr>
        <w:pStyle w:val="TextBody"/>
        <w:bidi w:val="0"/>
        <w:spacing w:before="120" w:after="283"/>
        <w:ind w:left="0" w:right="0" w:firstLine="495"/>
        <w:jc w:val="center"/>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2032 Notes Indenture contains various covenants that limit the Company’s and its Restricted Subsidiaries’ ability to take certain actions, including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additional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sell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pay dividends or make certain investments;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create liens that secure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transactions with affiliates;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merge or consolidate with another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case of an event of default arising from certain events of bankruptcy or insolvency with respect to Matador, any Restricted Subsidiary (as defined in the 2032 Notes Indenture) that is a Significant Subsidiary (as defined in the 2032 Notes Indenture) or any group of Restricted Subsidiaries that, taken together, would constitute a Significant Subsidiary, all outstanding 2032 Notes will become due and payable immediately without further action or notice. If any other event of default occurs and is continuing, the trustee or the holders of at least 25% in principal amount of the then outstanding 2032 Notes may declare all the 2032 Notes to be due and payable immediately. Events of default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default for 30 days in the payment when due of interest on the 2032 Notes;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default in the payment when due of the principal of, or premium, if any, on the 2032 Notes;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by the Company to comply with its obligations to offer to purchase or purchase 2032 Notes pursuant to the change of control or asset sale covenants of the 2032 Notes Indenture or to comply with the covenant relating to mergers;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by the Company for 180 days after notice to comply with its reporting obligations under the 2032 Notes Indenture;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failure by the Company for 60 days after notice to comply with any of the other agreements in the 2032 Notes Indenture;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payment defaults and accelerations with respect to other indebtedness of the Company and its Restricted Subsidiaries in the aggregate principal amount of $100.0 million or more;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by the Company or any Restricted Subsidiary to pay certain final judgments aggregating in excess of $100.0 million within 60 days;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subsidiary guarantee by a Guarantor ceases to be in full force and effect, is declared null and void in a judicial proceeding or is denied or disaffirmed by its maker;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certain events of bankruptcy or insolvency with respect to the Company or any Restricted Subsidiary that is a Significant Subsidiary or any group of Restricted Subsidiaries that, taken together, would constitute a Significant Subsidiary.</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21945"/>
                <wp:effectExtent l="0" t="0" r="0" b="0"/>
                <wp:wrapNone/>
                <wp:docPr id="140" name="Frame1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DEBT —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2033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25, 2024, the Company completed the sale of $750.0 million in aggregate principal amount of the 2033 Notes, which have a 6.25% coupon rate and mature on April 15, 2033. Interest on the 2033 Notes is payable in arrears on each April 15 and October 15. The first interest payment date for the 2033 Notes will be April 15, 2025. The 2033 Notes are jointly and severally guaranteed on a senior unsecured basis by the Guarantors. San Mateo is not a Restricted Subsidiary (as defined in the indenture governing the 2033 Notes (the “2033 Notes Indenture”)) or Guarantor of the 2033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April 15, 2028, the Company may redeem up to 40% in aggregate principal amount of 2033 Notes at a redemption price of 106.250%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2033 Notes remains outstanding after such redemption. In addition, at any time prior to April 15, 2028, the Company may redeem all or part of the 2033 Notes for cash at a redemption price equal to 100% of their principal amount plus an applicable make-whole premium and accrued and unpaid interest, if any, to the applicable redemption date.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April 15, 2028, the Company may redeem all or a part of the 2033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tbl>
      <w:tblPr>
        <w:tblW w:w="3685" w:type="dxa"/>
        <w:jc w:val="center"/>
        <w:tblInd w:w="0" w:type="dxa"/>
        <w:tblLayout w:type="fixed"/>
        <w:tblCellMar>
          <w:top w:w="28" w:type="dxa"/>
          <w:left w:w="28" w:type="dxa"/>
          <w:bottom w:w="28" w:type="dxa"/>
          <w:right w:w="28" w:type="dxa"/>
        </w:tblCellMar>
      </w:tblPr>
      <w:tblGrid>
        <w:gridCol w:w="612"/>
        <w:gridCol w:w="537"/>
        <w:gridCol w:w="545"/>
        <w:gridCol w:w="109"/>
        <w:gridCol w:w="109"/>
        <w:gridCol w:w="109"/>
        <w:gridCol w:w="487"/>
        <w:gridCol w:w="487"/>
        <w:gridCol w:w="690"/>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103.125%</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101.563%</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2033 Notes Indenture contains various covenants that limit the Company’s and its Restricted Subsidiaries’ ability to take certain actions, including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additional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sell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pay dividends or make certain investments;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create liens that secure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transactions with affiliates;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merge or consolidate with another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case of an event of default arising from certain events of bankruptcy or insolvency with respect to Matador, any Restricted Subsidiary (as defined in the 2033 Notes Indenture) that is a Significant Subsidiary (as defined in the 2033 Notes Indenture) or any group of Restricted Subsidiaries that, taken together, would constitute a Significant Subsidiary, all outstanding 2033 Notes will become due and payable immediately without further action or notice. If any other event of default occurs and is continuing, the trustee or the holders of at least 25% in principal amount of the then outstanding 2033 Notes may declare all the 2033 Notes to be due and payable immediately. Events of default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default for 30 days in the payment when due of interest on the 2033 Notes;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default in the payment when due of the principal of, or premium, if any, on the 2033 Notes;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by the Company to comply with its obligations to offer to purchase or purchase 2032 Notes pursuant to the change of control or asset sale covenants of the 2033 Notes Indenture or to comply with the covenant relating to mergers;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by the Company for 180 days after notice to comply with its reporting obligations under the 2033 Notes Indenture;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failure by the Company for 60 days after notice to comply with any of the other agreements in the 2033 Notes Indenture;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payment defaults and accelerations with respect to other indebtedness of the Company and its Restricted Subsidiaries in the aggregate principal amount of $100.0 million or more;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21945"/>
                <wp:effectExtent l="0" t="0" r="0" b="0"/>
                <wp:wrapNone/>
                <wp:docPr id="141" name="Frame1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DEBT — Continued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by the Company or any Restricted Subsidiary to pay certain final judgments aggregating in excess of $100.0 million within 60 days;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subsidiary guarantee by a Guarantor ceases to be in full force and effect, is declared null and void in a judicial proceeding or is denied or disaffirmed by its maker;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certain events of bankruptcy or insolvency with respect to the Company or any Restricted Subsidiary that is a Significant Subsidiary or any group of Restricted Subsidiaries that, taken together, would constitute a Significant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pPr>
      <w:r>
        <w:rPr>
          <w:rFonts w:ascii="Times New Roman;sans-serif" w:hAnsi="Times New Roman;sans-serif"/>
          <w:b/>
          <w:color w:val="000000"/>
          <w:sz w:val="20"/>
        </w:rPr>
        <w:t>NOTE 8 — INCOME TAXES</w:t>
      </w:r>
      <w:r>
        <w:rPr>
          <w:color w:val="000000"/>
        </w:rPr>
        <w:t xml:space="preserve"> </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the result of temporary differences between the financial statement carrying values and the tax bases of assets and liabilities. The Company’s net deferred tax position as of December 31, 2024 and 2023 is as follows (in thousands).</w:t>
      </w:r>
    </w:p>
    <w:tbl>
      <w:tblPr>
        <w:tblW w:w="7506" w:type="dxa"/>
        <w:jc w:val="left"/>
        <w:tblInd w:w="0" w:type="dxa"/>
        <w:tblLayout w:type="fixed"/>
        <w:tblCellMar>
          <w:top w:w="28" w:type="dxa"/>
          <w:left w:w="28" w:type="dxa"/>
          <w:bottom w:w="28" w:type="dxa"/>
          <w:right w:w="28" w:type="dxa"/>
        </w:tblCellMar>
      </w:tblPr>
      <w:tblGrid>
        <w:gridCol w:w="1583"/>
        <w:gridCol w:w="1388"/>
        <w:gridCol w:w="1394"/>
        <w:gridCol w:w="109"/>
        <w:gridCol w:w="109"/>
        <w:gridCol w:w="109"/>
        <w:gridCol w:w="211"/>
        <w:gridCol w:w="901"/>
        <w:gridCol w:w="109"/>
        <w:gridCol w:w="109"/>
        <w:gridCol w:w="109"/>
        <w:gridCol w:w="109"/>
        <w:gridCol w:w="211"/>
        <w:gridCol w:w="901"/>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experimental tax credits, net of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carryforward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on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wholly-owned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(581,439)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current income tax provision and the deferred income tax provision for the years ended December 31, 2024, 2023 and 2022 were comprised of the following (in thousands).</w:t>
      </w:r>
      <w:r>
        <w:rPr>
          <w:color w:val="000000"/>
        </w:rPr>
        <w:t> </w:t>
      </w:r>
    </w:p>
    <w:tbl>
      <w:tblPr>
        <w:tblW w:w="7343" w:type="dxa"/>
        <w:jc w:val="left"/>
        <w:tblInd w:w="0" w:type="dxa"/>
        <w:tblLayout w:type="fixed"/>
        <w:tblCellMar>
          <w:top w:w="28" w:type="dxa"/>
          <w:left w:w="28" w:type="dxa"/>
          <w:bottom w:w="28" w:type="dxa"/>
          <w:right w:w="28" w:type="dxa"/>
        </w:tblCellMar>
      </w:tblPr>
      <w:tblGrid>
        <w:gridCol w:w="1042"/>
        <w:gridCol w:w="916"/>
        <w:gridCol w:w="921"/>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income tax provision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21945"/>
                <wp:effectExtent l="0" t="0" r="0" b="0"/>
                <wp:wrapNone/>
                <wp:docPr id="142" name="Frame1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INCOME TAXES — Continued</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Reconciliations of the tax expense computed at the statutory federal rate to the Company’s total income tax provision for the years ended December 31, 2024, 2023 and 2022 is as follows (in thousands).</w:t>
      </w:r>
      <w:r>
        <w:rPr>
          <w:color w:val="000000"/>
        </w:rPr>
        <w:t> </w:t>
      </w:r>
    </w:p>
    <w:tbl>
      <w:tblPr>
        <w:tblW w:w="8199" w:type="dxa"/>
        <w:jc w:val="left"/>
        <w:tblInd w:w="0" w:type="dxa"/>
        <w:tblLayout w:type="fixed"/>
        <w:tblCellMar>
          <w:top w:w="28" w:type="dxa"/>
          <w:left w:w="28" w:type="dxa"/>
          <w:bottom w:w="28" w:type="dxa"/>
          <w:right w:w="28" w:type="dxa"/>
        </w:tblCellMar>
      </w:tblPr>
      <w:tblGrid>
        <w:gridCol w:w="1351"/>
        <w:gridCol w:w="1190"/>
        <w:gridCol w:w="1194"/>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Federal tax expense at statutory rate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experimental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reserve on 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state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statutory federal tax rate was 21% for the years ended December 31, 2024, 2023 and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files a United States federal income tax return and several state tax returns, a number of which remain open for examination. The earliest tax year open for examination for the federal, the State of New Mexico and the State of Louisiana tax returns is 2021. The earliest tax year open for examination for the State of Texas tax return is 2020.</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had unrecognized tax benefits (“UTBs”) of $34.3 million and $35.3 million, respectively, as a result of research and experimental expenditures, which would reduce the Company’s effective tax rate in future periods if and when realized. There were no UTBs as of December 31, 2022. As of December 31, 2024 and 2023, $31.1 million and $27.0 million, respectively, of the Company’s UTBs were recorded as other long-term liabilities on the consolidated balance sheets. Although the Company does not anticipate a material change in UTBs within the next 12 months, the timing as to when the Company will substantially resolve the uncertainties associated with the UTBs is unknown.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UTBs for the years ended December 31, 2024, 2023 and 2022 is as follows (in thousands).</w:t>
      </w:r>
    </w:p>
    <w:tbl>
      <w:tblPr>
        <w:tblW w:w="7553" w:type="dxa"/>
        <w:jc w:val="left"/>
        <w:tblInd w:w="0" w:type="dxa"/>
        <w:tblLayout w:type="fixed"/>
        <w:tblCellMar>
          <w:top w:w="28" w:type="dxa"/>
          <w:left w:w="28" w:type="dxa"/>
          <w:bottom w:w="28" w:type="dxa"/>
          <w:right w:w="28" w:type="dxa"/>
        </w:tblCellMar>
      </w:tblPr>
      <w:tblGrid>
        <w:gridCol w:w="1347"/>
        <w:gridCol w:w="1184"/>
        <w:gridCol w:w="1188"/>
        <w:gridCol w:w="109"/>
        <w:gridCol w:w="109"/>
        <w:gridCol w:w="109"/>
        <w:gridCol w:w="211"/>
        <w:gridCol w:w="721"/>
        <w:gridCol w:w="109"/>
        <w:gridCol w:w="109"/>
        <w:gridCol w:w="109"/>
        <w:gridCol w:w="109"/>
        <w:gridCol w:w="211"/>
        <w:gridCol w:w="721"/>
        <w:gridCol w:w="109"/>
        <w:gridCol w:w="109"/>
        <w:gridCol w:w="109"/>
        <w:gridCol w:w="109"/>
        <w:gridCol w:w="211"/>
        <w:gridCol w:w="40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beginning of period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tax positions of prior periods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Balance at end of period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(1)At December 31, 2024, the UTBs related to the U.S. federal and state of Texas jurisdictions were $30.2 million and $4.1 million, respectively. At December 31, 2023, the UTBs related to the U.S. federal and state of Texas jurisdictions were $30.7 million and $4.6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9 — STOCK-BASED COMPENSATION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2012, the Company’s Board adopted and shareholders approved the 2012 Incentive Plan. The 2012 Incentive Plan provided for a maximum of 8,700,000 shares of common stock in the aggregate that could be issued pursuant to options, restricted stock, stock appreciation rights, restricted stock units or other performance award grants.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the Board adopted and shareholders approved the 2019 Incentive Plan. In 2022, the Board adopted and shareholders approved the first amendment to the 2019 Incentive Plan authorizing an additional 3,725,000 shares of common stock for issuance to employees, directors, contractors or advisors of the Company. As of December 31, 2024, the 2019 Incentive Plan provided for a maximum of 3,959,799 shares of common stock in the aggregate that may be issued pursuant to grants of options, restricted stock, stock appreciation rights, restricted stock units or other performance award grants. The persons eligible to receive awards under the 2019 Incentive Plan include employees, directors, contractors or advisors of the Company. The primary purpose of the 2019 Incentive Plan is to attract and retain key employees, directors, contractors or advisors of the Company. With the adoption of the 2019 Incentive Plan, the Company does not expect to make any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21945"/>
                <wp:effectExtent l="0" t="0" r="0" b="0"/>
                <wp:wrapNone/>
                <wp:docPr id="143" name="Frame1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STOCK-BASED COMPENSATION — Continued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under the 2012 Incentive Plan, but the 2012 Incentive Plan will remain in place until all awards outstanding under that plan have been settled.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2012 Incentive Plan and 2019 Incentive Plan (collectively, the “LTIPs”) are administered by the independent members of the Board, who, upon recommendation of the Strategic Planning and Compensation Committee of the Board, determine the number of options, restricted shares or other awards to be granted, the effective dates, the terms of the grants and the vesting periods. The Company typically uses newly issued shares of common stock to satisfy option exercises or restricted share grants.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the Company granted both equity-based and liability-based awards under the 2019 Incentive Plan. The fair value of equity-based awards is fixed at the grant date, while the fair value of liability-based awards is remeasured at each reporting period.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Board adopted and shareholders approved an Employee Stock Purchase Plan (the “ESPP”), which authorizes a maximum of 4.0 million shares of common stock to be purchased. The purpose of the ESPP is to encourage and enable the Company’s eligible employees to acquire an interest in the Company through the ownership of common stock. At December 31, 2024, the Company had 3,891,108 remaining shares available for issuance under the ESPP.</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Service-Based Restricted Stock, Restricted Stock Units and Common Stock</w:t>
      </w:r>
    </w:p>
    <w:p>
      <w:pPr>
        <w:pStyle w:val="TextBody"/>
        <w:bidi w:val="0"/>
        <w:spacing w:lineRule="auto" w:line="288" w:before="10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granted stock, restricted stock and restricted stock unit awards to employees, consultants, outside directors and advisors of the Company under the LTIPs. The stock and restricted stock are issued upon grant, with the restrictions, if any, being removed upon vesting. The equity-based restricted stock units are issued upon vesting, unless the recipient makes an election to defer issuance for a set term after vesting. Liability-based restricted stock units are settled in cash upon vesting. Restricted stock and restricted stock units granted in 2024, 2023 and 2022 were service-based awards, which will settle in cash or equity, and vest over a one-year to three-year period. Performance-based restricted stock units granted in 2024 and 2023 vest in an amount between zero and 200% of the target units granted based on the Company’s relative total shareholder return over the three-year periods ending December 31, 2026 and 2025, respectively, as compared to a designated peer group, and will be settled in equity.</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Equity-Based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non-vested equity-based restricted stock and restricted stock units as of December 31, 2024 is presented below (in thousands, except fair value).</w:t>
      </w:r>
    </w:p>
    <w:tbl>
      <w:tblPr>
        <w:tblW w:w="10205" w:type="dxa"/>
        <w:jc w:val="left"/>
        <w:tblInd w:w="0" w:type="dxa"/>
        <w:tblLayout w:type="fixed"/>
        <w:tblCellMar>
          <w:top w:w="28" w:type="dxa"/>
          <w:left w:w="28" w:type="dxa"/>
          <w:bottom w:w="28" w:type="dxa"/>
          <w:right w:w="28" w:type="dxa"/>
        </w:tblCellMar>
      </w:tblPr>
      <w:tblGrid>
        <w:gridCol w:w="839"/>
        <w:gridCol w:w="737"/>
        <w:gridCol w:w="740"/>
        <w:gridCol w:w="109"/>
        <w:gridCol w:w="109"/>
        <w:gridCol w:w="109"/>
        <w:gridCol w:w="258"/>
        <w:gridCol w:w="259"/>
        <w:gridCol w:w="226"/>
        <w:gridCol w:w="109"/>
        <w:gridCol w:w="109"/>
        <w:gridCol w:w="109"/>
        <w:gridCol w:w="211"/>
        <w:gridCol w:w="616"/>
        <w:gridCol w:w="109"/>
        <w:gridCol w:w="109"/>
        <w:gridCol w:w="109"/>
        <w:gridCol w:w="109"/>
        <w:gridCol w:w="109"/>
        <w:gridCol w:w="109"/>
        <w:gridCol w:w="109"/>
        <w:gridCol w:w="109"/>
        <w:gridCol w:w="225"/>
        <w:gridCol w:w="225"/>
        <w:gridCol w:w="226"/>
        <w:gridCol w:w="109"/>
        <w:gridCol w:w="109"/>
        <w:gridCol w:w="109"/>
        <w:gridCol w:w="211"/>
        <w:gridCol w:w="616"/>
        <w:gridCol w:w="109"/>
        <w:gridCol w:w="109"/>
        <w:gridCol w:w="109"/>
        <w:gridCol w:w="109"/>
        <w:gridCol w:w="233"/>
        <w:gridCol w:w="233"/>
        <w:gridCol w:w="226"/>
        <w:gridCol w:w="116"/>
        <w:gridCol w:w="116"/>
        <w:gridCol w:w="116"/>
        <w:gridCol w:w="225"/>
        <w:gridCol w:w="659"/>
        <w:gridCol w:w="116"/>
        <w:gridCol w:w="109"/>
        <w:gridCol w:w="109"/>
        <w:gridCol w:w="109"/>
        <w:gridCol w:w="160"/>
      </w:tblGrid>
      <w:tr>
        <w:trPr/>
        <w:tc>
          <w:tcPr>
            <w:tcW w:w="83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Units</w:t>
            </w:r>
          </w:p>
        </w:tc>
        <w:tc>
          <w:tcPr>
            <w:tcW w:w="2854" w:type="dxa"/>
            <w:gridSpan w:val="16"/>
            <w:tcBorders/>
          </w:tcPr>
          <w:p>
            <w:pPr>
              <w:pStyle w:val="TableContents"/>
              <w:bidi w:val="0"/>
              <w:spacing w:before="0" w:after="283"/>
              <w:jc w:val="left"/>
              <w:rPr>
                <w:sz w:val="4"/>
                <w:szCs w:val="4"/>
              </w:rPr>
            </w:pPr>
            <w:r>
              <w:rPr>
                <w:sz w:val="4"/>
                <w:szCs w:val="4"/>
              </w:rPr>
            </w:r>
          </w:p>
        </w:tc>
      </w:tr>
      <w:tr>
        <w:trPr/>
        <w:tc>
          <w:tcPr>
            <w:tcW w:w="2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854" w:type="dxa"/>
            <w:gridSpan w:val="16"/>
            <w:tcBorders/>
          </w:tcPr>
          <w:p>
            <w:pPr>
              <w:pStyle w:val="TableContents"/>
              <w:bidi w:val="0"/>
              <w:spacing w:before="0" w:after="283"/>
              <w:jc w:val="left"/>
              <w:rPr>
                <w:sz w:val="4"/>
                <w:szCs w:val="4"/>
              </w:rPr>
            </w:pPr>
            <w:r>
              <w:rPr>
                <w:sz w:val="4"/>
                <w:szCs w:val="4"/>
              </w:rPr>
            </w:r>
          </w:p>
        </w:tc>
      </w:tr>
      <w:tr>
        <w:trPr/>
        <w:tc>
          <w:tcPr>
            <w:tcW w:w="2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Service Based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Service Based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Based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restricted stock and</w:t>
              <w:b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(1)On January 8, 2025 upon certification by the Board, 179,074 of the performance-based awards that were granted in 2022 vested. The vested units earned 172% for each vested award representing 307,992 aggregate shares of common stock, which were issued on January 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21945"/>
                <wp:effectExtent l="0" t="0" r="0" b="0"/>
                <wp:wrapNone/>
                <wp:docPr id="144" name="Frame1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STOCK-BASED COMPENSATION — Continued</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Liability-Based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non-vested liability-based restricted stock units as of December 31, 2024 is presented below (in thousands).</w:t>
      </w:r>
    </w:p>
    <w:tbl>
      <w:tblPr>
        <w:tblW w:w="5528" w:type="dxa"/>
        <w:jc w:val="left"/>
        <w:tblInd w:w="0" w:type="dxa"/>
        <w:tblLayout w:type="fixed"/>
        <w:tblCellMar>
          <w:top w:w="28" w:type="dxa"/>
          <w:left w:w="28" w:type="dxa"/>
          <w:bottom w:w="28" w:type="dxa"/>
          <w:right w:w="28" w:type="dxa"/>
        </w:tblCellMar>
      </w:tblPr>
      <w:tblGrid>
        <w:gridCol w:w="1038"/>
        <w:gridCol w:w="911"/>
        <w:gridCol w:w="915"/>
        <w:gridCol w:w="109"/>
        <w:gridCol w:w="109"/>
        <w:gridCol w:w="109"/>
        <w:gridCol w:w="109"/>
        <w:gridCol w:w="109"/>
        <w:gridCol w:w="109"/>
        <w:gridCol w:w="109"/>
        <w:gridCol w:w="109"/>
        <w:gridCol w:w="109"/>
        <w:gridCol w:w="109"/>
        <w:gridCol w:w="109"/>
        <w:gridCol w:w="269"/>
        <w:gridCol w:w="271"/>
        <w:gridCol w:w="22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10"/>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2024, 2023 and 2022, the Company settled 222,948, 378,852 and 587,251 liability-based awards, respectively, for $13.4 million, $20.5 million and $30.8 million in cash, respectively.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aggregate intrinsic value for the restricted stock and restricted stock units outstanding was $95.2 million, of which $27.4 million is expected to be settled in cash as calculated based on the maximum number of shares of restricted stock units vesting, based on the closing price of Matador’s common stock on the appropriate date under the LTIPs.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total remaining unrecognized compensation expense related to unvested restricted stock and restricted stock units was approximately $55.9 million, of which $18.3 million is expected to be settled in cash, based on the closing price of Matador’s common stock on the appropriate date under the LTIPs. The weighted average remaining requisite service period (vesting period) of all non-vested restricted stock and restricted stock units was 1.9 years.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restricted stock and restricted stock units vested during 2024, 2023 and 2022 was $29.4 million, $64.8 million and $99.6 million, respectively.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Summary</w:t>
      </w:r>
    </w:p>
    <w:p>
      <w:pPr>
        <w:pStyle w:val="TextBody"/>
        <w:bidi w:val="0"/>
        <w:spacing w:lineRule="auto" w:line="288" w:before="18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2024, 2023 and 2022, the total expense attributable to restricted stock and restricted stock units was $37.3 million, $33.0 million and $51.6 million, respectively. During the years ended December 31, 2024, 2023 and 2022, the Company capitalized $11.8 million, $7.4 million and $5.0 million, respectively, related to stock-based compensation and expensed the remaining $25.5 million, $25.6 million and $47.1 million, respectively.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total tax benefit recognized for all stock-based compensation was $8.0 million, $7.0 million and $11.0 million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10 — EMPLOYEE BENEFIT PLANS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401(k) Plan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full-time Company employees are eligible to join the Company’s defined contribution retirement plan the first day of the calendar month immediately following their date of employment. Each employee may contribute up to the maximum allowable under the Internal Revenue Code. Each year, the Company makes a contribution to the plan that equals 3% of the employee’s annual compensation, up to the maximum allowable under the Internal Revenue Code, referred to as the Employer’s Safe Harbor Non-Elective Contribution, which totaled $2.6 million, $2.2 million and $1.8 million in 2024, 2023 and 2022, respectively. In addition, each year, the Company may make a discretionary matching contribution, as well as additional contributions. The Company’s discretionary matching contributions totaled $3.3 million, $2.8 million and $2.3 million in 2024, 2023 and 2022, respectively. The Company made no additional contributions in any reporting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11 — EQUITY</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Offering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28, 2024, the Company completed an underwritten public offering of 5,250,000 shares of its common stock. After deducting underwriting discounts and offering expenses, the Company received net proceeds of approximately $342.1 million. The net proceeds from this offering were used for general corporate purposes, including the funding of acquisitions and the repayment of borrowings outstanding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21945"/>
                <wp:effectExtent l="0" t="0" r="0" b="0"/>
                <wp:wrapNone/>
                <wp:docPr id="145" name="Frame1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11 — EQUITY— Continued</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Dividend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Board declared a quarterly cash dividend of $0.20 per share of common stock in each of the first, second and third quarters of 2024. The first quarter dividend, which totaled $23.9 million, was paid on March 13, 2024 to shareholders of record as of February 23, 2024. The second quarter dividend, which totaled $24.9 million, was paid on June 7, 2024 to shareholders of record as of May 17, 2024. The third quarter dividend, which totaled $24.9 million, was paid on September 5, 2024 to shareholders of record as of August 15, 2024. On October 16, 2024, the Board amended the Company’s dividend policy to increase the quarterly dividend to $0.25 per share of common stock for future dividend payments and also declared a quarterly cash dividend of $0.25 per share of common stock. The fourth quarter dividend, which totaled $31.3 million, was paid on December 6, 2024 to shareholders of record as of November 15,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declared a quarterly cash dividend of $0.15 per share of common stock in each of the first three quarters of 2023 and the Board declared a quarterly cash dividend of $0.20 per share of common stock in the fourth quarter of 2023.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dividends declared and paid totaled $104.9 million and $77.2 million, respectively, during the years ended December 31, 2024 and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18, 2025, the Board amended the Company’s dividend policy to increase the quarterly dividend to $0.3125 per share of common stock for future dividend payments and declared a quarterly cash dividend of $0.3125 per share of common stock payable on March 14, 2025 to shareholders of record as of February 28, 2025.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Treasury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17, 2024, October 19, 2023 and October 20, 2022, Matador’s Board canceled all of the shares of treasury stock outstanding as of September 30, 2024, 2023 and 2022, respectively. These shares were restored to the status of authorized but unissued shares of common stock of the Company.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shares of treasury stock outstanding at December 31, 2024, 2023 and 2022 represent forfeitures of non-vested restricted stock awards and forfeitures of fully vested restricted stock awards due to net share settlements with employees.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Preferred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Amended and Restated Certificate of Formation authorizes 2,000,000 shares of preferred stock. Before any such shares are issued, the Board shall fix and determine the designations, preferences, limitations and relative rights, including voting rights of the shares of each such series.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San Mateo Distributions and Contributions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2024, 2023 and 2022, San Mateo distributed $321.2 million, $81.4 million and $89.5 million, respectively, to the Company and $97.5 million, $78.3 million and $86.0 million, respectively, to Five Point, the Company’s joint venture partner in San Mateo.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the Company contributed $19.9 million and $25.5 million, respectively, and Five Point contributed $190.6 million and $24.5 million, respectively, of cash to San Mateo. During the year ended December 31, 2022, neither the Company nor Five Point contributed cash to San Mateo.</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Mateo’s 2024 distributions to the Company included a special distribution of approximately $219.8 million, of which $171.5 million represented a special contribution by Five Point recorded within the Company’s statement of changes in shareholders’ equity in connection with the Pronto Transaction. San Mateo’s remaining special distribution to the Company of $48.3 million represented a reimbursement of certain capital expenditures for the Marlan Processing Plant expansion that were previously funded by Matador. See Note 6 for additional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21945"/>
                <wp:effectExtent l="0" t="0" r="0" b="0"/>
                <wp:wrapNone/>
                <wp:docPr id="146" name="Frame1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11 — EQUITY— Continued</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Incentives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joint venture with Five Point, the Company has had the potential to earn three different sets of performance incentives. These performance incentives are recorded as additional contributions related to the formation of San Mateo as they are received. Beginning in 2017, the Company had the potential to earn up to $73.5 million in performance incentives related to the Company’s performance in its Rustler Breaks asset area in Eddy County and the Wolf portion of its West Texas asset area in Loving County over a five-year period, which in October 2020 was extended by an additional year to January 31, 2023. Through January 31, 2023, the Company had earned all of the potential $73.5 million in performance incentives. Five Point paid the Company $14.7 million in performance incentives in each of the first quarters of 2018, 2019, 2020, 2021 and 2023. Beginning in 2019, the Company had the potential to earn up to $150.0 million in additional performance incentives in its Stebbins area and surrounding leaseholds in the southern portion of its Arrowhead asset area (the “Greater Stebbins Area”) and Stateline asset area through mid-2024. Through September 30, 2024, the Company earned $108.2 million of these performance incentives.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Pronto Transaction, the Company has the potential to earn up to $75.0 million in additional incentive payments from Five Point over a five-year period, of which $1.3 million was paid by Five Point during the fourth quarter of 2024.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Five Point paid the Company $23.8 million and $38.2 million, respectively, in performance incentives. These performance incentives are recorded when received, net of the $5.0 million and $8.0 million deferred tax impact to Matador for the years ended December 31, 2024 and 2023, respectively, in “Additional paid-in-capital” in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12 — 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uses derivative financial instruments to mitigate its exposure to commodity price risk associated with oil, natural gas and NGL prices. The Company records derivative financial instruments on its consolidated balance sheets as either assets or liabilities measured at fair value. The Company has elected not to apply hedge accounting for its existing derivative financial instruments. As a result, the Company recognizes the change in derivative fair value between reporting periods currently in its consolidated statements of income as an unrealized gain or loss.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The Company has evaluated and considered the credit standings of its counterparties in determining the fair value of its 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 had various costless collar contracts open and in place to mitigate its exposure to oil price volatility, each with an established price floor and ceiling. At December 31, 2024, the Company had natural gas basis differential swap contracts open and in place to mitigate its exposure to natural gas price volatility, with a specific term (calculation period), notional quantity (volume hedged) and fixed price. The Company had no open contracts associated with NGL prices at December 31,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open costless collar contracts at December 31, 2024.</w:t>
      </w:r>
    </w:p>
    <w:tbl>
      <w:tblPr>
        <w:tblW w:w="10205" w:type="dxa"/>
        <w:jc w:val="left"/>
        <w:tblInd w:w="0" w:type="dxa"/>
        <w:tblLayout w:type="fixed"/>
        <w:tblCellMar>
          <w:top w:w="28" w:type="dxa"/>
          <w:left w:w="28" w:type="dxa"/>
          <w:bottom w:w="28" w:type="dxa"/>
          <w:right w:w="28" w:type="dxa"/>
        </w:tblCellMar>
      </w:tblPr>
      <w:tblGrid>
        <w:gridCol w:w="455"/>
        <w:gridCol w:w="399"/>
        <w:gridCol w:w="401"/>
        <w:gridCol w:w="109"/>
        <w:gridCol w:w="109"/>
        <w:gridCol w:w="109"/>
        <w:gridCol w:w="454"/>
        <w:gridCol w:w="454"/>
        <w:gridCol w:w="456"/>
        <w:gridCol w:w="109"/>
        <w:gridCol w:w="109"/>
        <w:gridCol w:w="109"/>
        <w:gridCol w:w="692"/>
        <w:gridCol w:w="388"/>
        <w:gridCol w:w="389"/>
        <w:gridCol w:w="109"/>
        <w:gridCol w:w="109"/>
        <w:gridCol w:w="109"/>
        <w:gridCol w:w="312"/>
        <w:gridCol w:w="913"/>
        <w:gridCol w:w="161"/>
        <w:gridCol w:w="109"/>
        <w:gridCol w:w="109"/>
        <w:gridCol w:w="109"/>
        <w:gridCol w:w="468"/>
        <w:gridCol w:w="468"/>
        <w:gridCol w:w="469"/>
        <w:gridCol w:w="109"/>
        <w:gridCol w:w="109"/>
        <w:gridCol w:w="109"/>
        <w:gridCol w:w="361"/>
        <w:gridCol w:w="1056"/>
        <w:gridCol w:w="274"/>
      </w:tblGrid>
      <w:tr>
        <w:trPr/>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Quantity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Price Floor </w:t>
              <w:b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Price Ceiling </w:t>
              <w:b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of Asset (Liability) (thousands)</w:t>
            </w:r>
          </w:p>
        </w:tc>
      </w:tr>
      <w:tr>
        <w:trPr/>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Costless Collar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01/01/2025 - 06/30/2025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8,145,000 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open costless collar contracts</w:t>
            </w:r>
          </w:p>
        </w:tc>
        <w:tc>
          <w:tcPr>
            <w:tcW w:w="212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21945"/>
                <wp:effectExtent l="0" t="0" r="0" b="0"/>
                <wp:wrapNone/>
                <wp:docPr id="147" name="Frame1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DERIVATIVE FINANCIAL INSTRUMENTS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open basis differential swap contracts at December 31, 2024.</w:t>
      </w:r>
    </w:p>
    <w:tbl>
      <w:tblPr>
        <w:tblW w:w="10205" w:type="dxa"/>
        <w:jc w:val="left"/>
        <w:tblInd w:w="0" w:type="dxa"/>
        <w:tblLayout w:type="fixed"/>
        <w:tblCellMar>
          <w:top w:w="28" w:type="dxa"/>
          <w:left w:w="28" w:type="dxa"/>
          <w:bottom w:w="28" w:type="dxa"/>
          <w:right w:w="28" w:type="dxa"/>
        </w:tblCellMar>
      </w:tblPr>
      <w:tblGrid>
        <w:gridCol w:w="684"/>
        <w:gridCol w:w="600"/>
        <w:gridCol w:w="603"/>
        <w:gridCol w:w="109"/>
        <w:gridCol w:w="109"/>
        <w:gridCol w:w="109"/>
        <w:gridCol w:w="595"/>
        <w:gridCol w:w="595"/>
        <w:gridCol w:w="596"/>
        <w:gridCol w:w="109"/>
        <w:gridCol w:w="109"/>
        <w:gridCol w:w="109"/>
        <w:gridCol w:w="806"/>
        <w:gridCol w:w="533"/>
        <w:gridCol w:w="535"/>
        <w:gridCol w:w="109"/>
        <w:gridCol w:w="109"/>
        <w:gridCol w:w="109"/>
        <w:gridCol w:w="262"/>
        <w:gridCol w:w="654"/>
        <w:gridCol w:w="135"/>
        <w:gridCol w:w="109"/>
        <w:gridCol w:w="109"/>
        <w:gridCol w:w="109"/>
        <w:gridCol w:w="445"/>
        <w:gridCol w:w="1522"/>
        <w:gridCol w:w="332"/>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Quantity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Fixed Price </w:t>
              <w:br/>
              <w:t>($/MMBtu)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of Asset (Liability) (thousands)</w:t>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Commodity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Calculation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9"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10,950,000 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9" w:type="dxa"/>
            <w:gridSpan w:val="3"/>
            <w:tcBorders/>
            <w:vAlign w:val="center"/>
          </w:tcPr>
          <w:p>
            <w:pPr>
              <w:pStyle w:val="TableContents"/>
              <w:bidi w:val="0"/>
              <w:spacing w:before="0" w:after="283"/>
              <w:jc w:val="left"/>
              <w:rPr>
                <w:sz w:val="4"/>
                <w:szCs w:val="4"/>
              </w:rPr>
            </w:pPr>
            <w:r>
              <w:rPr>
                <w:sz w:val="4"/>
                <w:szCs w:val="4"/>
              </w:rPr>
            </w:r>
          </w:p>
        </w:tc>
      </w:tr>
      <w:tr>
        <w:trPr/>
        <w:tc>
          <w:tcPr>
            <w:tcW w:w="4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open basis differential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consolidated balance sheets.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gross asset and liability fair values of the Company’s commodity price derivative financial instruments and the location of these balances in the consolidated balance sheets as of December 31, 2024 and December 31, 2023 (in thousands). </w:t>
      </w:r>
    </w:p>
    <w:tbl>
      <w:tblPr>
        <w:tblW w:w="10205" w:type="dxa"/>
        <w:jc w:val="left"/>
        <w:tblInd w:w="0" w:type="dxa"/>
        <w:tblLayout w:type="fixed"/>
        <w:tblCellMar>
          <w:top w:w="28" w:type="dxa"/>
          <w:left w:w="28" w:type="dxa"/>
          <w:bottom w:w="28" w:type="dxa"/>
          <w:right w:w="28" w:type="dxa"/>
        </w:tblCellMar>
      </w:tblPr>
      <w:tblGrid>
        <w:gridCol w:w="575"/>
        <w:gridCol w:w="504"/>
        <w:gridCol w:w="507"/>
        <w:gridCol w:w="109"/>
        <w:gridCol w:w="109"/>
        <w:gridCol w:w="109"/>
        <w:gridCol w:w="339"/>
        <w:gridCol w:w="1160"/>
        <w:gridCol w:w="175"/>
        <w:gridCol w:w="109"/>
        <w:gridCol w:w="109"/>
        <w:gridCol w:w="109"/>
        <w:gridCol w:w="649"/>
        <w:gridCol w:w="1945"/>
        <w:gridCol w:w="340"/>
        <w:gridCol w:w="109"/>
        <w:gridCol w:w="109"/>
        <w:gridCol w:w="109"/>
        <w:gridCol w:w="587"/>
        <w:gridCol w:w="2007"/>
        <w:gridCol w:w="436"/>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amounts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amounts netted in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amounts presented in the consolidated balance sheets</w:t>
            </w:r>
          </w:p>
        </w:tc>
      </w:tr>
      <w:tr>
        <w:trPr/>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location and aggregate gain (loss) of all derivative financial instruments recorded in the consolidated statements of income for the periods presented (in thousands).</w:t>
      </w:r>
    </w:p>
    <w:tbl>
      <w:tblPr>
        <w:tblW w:w="10205" w:type="dxa"/>
        <w:jc w:val="left"/>
        <w:tblInd w:w="0" w:type="dxa"/>
        <w:tblLayout w:type="fixed"/>
        <w:tblCellMar>
          <w:top w:w="28" w:type="dxa"/>
          <w:left w:w="28" w:type="dxa"/>
          <w:bottom w:w="28" w:type="dxa"/>
          <w:right w:w="28" w:type="dxa"/>
        </w:tblCellMar>
      </w:tblPr>
      <w:tblGrid>
        <w:gridCol w:w="643"/>
        <w:gridCol w:w="563"/>
        <w:gridCol w:w="567"/>
        <w:gridCol w:w="109"/>
        <w:gridCol w:w="109"/>
        <w:gridCol w:w="109"/>
        <w:gridCol w:w="1254"/>
        <w:gridCol w:w="1229"/>
        <w:gridCol w:w="1231"/>
        <w:gridCol w:w="109"/>
        <w:gridCol w:w="109"/>
        <w:gridCol w:w="109"/>
        <w:gridCol w:w="211"/>
        <w:gridCol w:w="721"/>
        <w:gridCol w:w="109"/>
        <w:gridCol w:w="109"/>
        <w:gridCol w:w="109"/>
        <w:gridCol w:w="109"/>
        <w:gridCol w:w="211"/>
        <w:gridCol w:w="787"/>
        <w:gridCol w:w="109"/>
        <w:gridCol w:w="109"/>
        <w:gridCol w:w="109"/>
        <w:gridCol w:w="109"/>
        <w:gridCol w:w="211"/>
        <w:gridCol w:w="892"/>
        <w:gridCol w:w="159"/>
      </w:tblGrid>
      <w:tr>
        <w:trPr/>
        <w:tc>
          <w:tcPr>
            <w:tcW w:w="64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Type of Instrument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Statements of Income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Realized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8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gain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8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(138,674)</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21945"/>
                <wp:effectExtent l="0" t="0" r="0" b="0"/>
                <wp:wrapNone/>
                <wp:docPr id="148" name="Frame1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FAIR VALUE MEASUREMENTS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Unadjusted quoted prices for identical, unrestricted assets or liabilities in active markets.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that are not corroborated by market data that reflect a company’s own market assumptions.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following tables summarize the valuation of the Company’s financial assets and liabilities that were accounted for at fair value on a recurring basis in accordance with the classifications provided above as of December 31, 2024 and 2023 (in thousands).</w:t>
      </w:r>
      <w:r>
        <w:rPr>
          <w:color w:val="000000"/>
        </w:rPr>
        <w:t> </w:t>
      </w:r>
    </w:p>
    <w:tbl>
      <w:tblPr>
        <w:tblW w:w="7857"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0"/>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using</w:t>
            </w:r>
          </w:p>
        </w:tc>
      </w:tr>
      <w:tr>
        <w:trPr/>
        <w:tc>
          <w:tcPr>
            <w:tcW w:w="29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7" w:type="dxa"/>
        <w:jc w:val="center"/>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0"/>
        <w:gridCol w:w="109"/>
        <w:gridCol w:w="109"/>
        <w:gridCol w:w="109"/>
        <w:gridCol w:w="211"/>
        <w:gridCol w:w="616"/>
        <w:gridCol w:w="109"/>
        <w:gridCol w:w="109"/>
        <w:gridCol w:w="109"/>
        <w:gridCol w:w="109"/>
        <w:gridCol w:w="213"/>
        <w:gridCol w:w="411"/>
        <w:gridCol w:w="110"/>
        <w:gridCol w:w="109"/>
        <w:gridCol w:w="109"/>
        <w:gridCol w:w="109"/>
        <w:gridCol w:w="211"/>
        <w:gridCol w:w="61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 using</w:t>
            </w:r>
          </w:p>
        </w:tc>
      </w:tr>
      <w:tr>
        <w:trPr/>
        <w:tc>
          <w:tcPr>
            <w:tcW w:w="29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disclosures related to derivative financial instruments are provided in Note 12.</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Fair Value Measurements </w:t>
      </w:r>
    </w:p>
    <w:p>
      <w:pPr>
        <w:pStyle w:val="TextBody"/>
        <w:bidi w:val="0"/>
        <w:spacing w:lineRule="auto" w:line="288" w:before="120" w:after="283"/>
        <w:ind w:left="0" w:right="0" w:firstLine="450"/>
        <w:jc w:val="left"/>
        <w:rPr/>
      </w:pPr>
      <w:r>
        <w:rPr>
          <w:color w:val="000000"/>
        </w:rPr>
        <w:t> </w:t>
      </w:r>
      <w:r>
        <w:rPr>
          <w:rFonts w:ascii="Times New Roman;sans-serif" w:hAnsi="Times New Roman;sans-serif"/>
          <w:b w:val="false"/>
          <w:color w:val="000000"/>
          <w:sz w:val="20"/>
        </w:rPr>
        <w:t xml:space="preserve">At December 31, 2024 and 2023, the carrying values reported on the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and 2023,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the fair value of the 2028 Notes was $505.4 million and $510.9 million, respectively, based on quoted market prices, which represent Level 1 inputs in the fair value hierarchy.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fair value of the 2032 Notes was $890.7 million based on quoted market prices, which represent Level 1 inputs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21945"/>
                <wp:effectExtent l="0" t="0" r="0" b="0"/>
                <wp:wrapNone/>
                <wp:docPr id="149" name="Frame1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FAIR VALUE MEASUREMENTS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fair value of the 2033 Notes was $730.6 million based on quoted market prices, which represent Level 1 inputs in the fair value hierarchy.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The Company recorded no impairment to its lease and well equipment inventory or other property and equipment in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14 — COMMITMENTS AND CONTINGENCIES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Processing, Transportation and Produced Water Disposal Commitments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Firm Commitments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agreements with third parties whereby the Company commits to deliver anticipated natural gas and oil production and produced water from certain portions of its acreage for gathering, transportation, processing, fractionation, sales and disposal. The Company paid approximately $68.3 million and $51.5 million for deliveries under these agreements during the years ended December 31, 2024 and 2023, respectively. Certain of these agreements contain minimum volume commitments, including certain agreements with Northwind that were entered into in connection with the Pronto Transaction in 2024. See Note 6 for additional details. If the Company does not meet the minimum volume commitments under these agreements, it will be required to pay certain deficiency fees. If the Company ceased operations in the areas subject to these agreements at December 31, 2024, the total deficiencies required to be paid by the Company under these agreements would be approximately $692.6 million.</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San Mateo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dedicated to San Mateo its current and certain future leasehold interests in the Rustler Breaks asset area and the Wolf portion of the West Texas asset area and acreage in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including certain agreements with Pronto that were entered into in connection with the Pronto Transaction in 2024. See Note 6 for additional details. The remaining minimum contractual obligation under the Operational Agreements at December 31, 2024 was approximately $804.3 million.</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$20.4 million at December 31,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 had outstanding commitments to participate in the drilling and completion of various non-operated wells. If all of these wells are drilled and completed as proposed, the Company’s undiscounted minimum outstanding aggregate commitments for its participation in these non-operated wells were approximately $60.8 million at December 31, 2024. The Company expects these costs to be incurred within the next year.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San Mateo had outstanding midstream commitments of $67.7 million for the construction and installation of the Marlan Processing Plant expansion with a designed inlet processing capacity of 200 MMcf per day, including a nitrogen rejection unit and additional related facilities. The Company expects the majority of these costs to be incurred within the next year.</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party to several legal proceedings encountered in the ordinary course of its business. While the ultimate outcome and impact to the Company cannot be predicted with certainty, in the opinion of management, it is remote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21945"/>
                <wp:effectExtent l="0" t="0" r="0" b="0"/>
                <wp:wrapNone/>
                <wp:docPr id="150" name="Frame1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COMMITMENTS AND CONTINGENCIES — Continued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these legal proceedings will have a material adverse impact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NOTE 15 — SUPPLEMENTAL DISCLOSURES</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Accrued Liabilities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current accrued liabilities at December 31, 2024 and 2023 (in thousands).</w:t>
      </w:r>
    </w:p>
    <w:tbl>
      <w:tblPr>
        <w:tblW w:w="8375" w:type="dxa"/>
        <w:jc w:val="left"/>
        <w:tblInd w:w="0" w:type="dxa"/>
        <w:tblLayout w:type="fixed"/>
        <w:tblCellMar>
          <w:top w:w="28" w:type="dxa"/>
          <w:left w:w="28" w:type="dxa"/>
          <w:bottom w:w="28" w:type="dxa"/>
          <w:right w:w="28" w:type="dxa"/>
        </w:tblCellMar>
      </w:tblPr>
      <w:tblGrid>
        <w:gridCol w:w="1951"/>
        <w:gridCol w:w="1712"/>
        <w:gridCol w:w="1721"/>
        <w:gridCol w:w="109"/>
        <w:gridCol w:w="109"/>
        <w:gridCol w:w="109"/>
        <w:gridCol w:w="211"/>
        <w:gridCol w:w="826"/>
        <w:gridCol w:w="109"/>
        <w:gridCol w:w="109"/>
        <w:gridCol w:w="109"/>
        <w:gridCol w:w="109"/>
        <w:gridCol w:w="211"/>
        <w:gridCol w:w="826"/>
        <w:gridCol w:w="154"/>
      </w:tblGrid>
      <w:tr>
        <w:trPr/>
        <w:tc>
          <w:tcPr>
            <w:tcW w:w="195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evaluated and unproved and unevaluated property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midstream properties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partners’ share of joint interest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payable related to purchased 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Supplemental Cash Flow Information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disclosures of cash flow information for the years ended December 31, 2024, 2023 and 2022 (in thousands).</w:t>
      </w:r>
    </w:p>
    <w:tbl>
      <w:tblPr>
        <w:tblW w:w="10205" w:type="dxa"/>
        <w:jc w:val="left"/>
        <w:tblInd w:w="0" w:type="dxa"/>
        <w:tblLayout w:type="fixed"/>
        <w:tblCellMar>
          <w:top w:w="28" w:type="dxa"/>
          <w:left w:w="28" w:type="dxa"/>
          <w:bottom w:w="28" w:type="dxa"/>
          <w:right w:w="28" w:type="dxa"/>
        </w:tblCellMar>
      </w:tblPr>
      <w:tblGrid>
        <w:gridCol w:w="2169"/>
        <w:gridCol w:w="1802"/>
        <w:gridCol w:w="1815"/>
        <w:gridCol w:w="109"/>
        <w:gridCol w:w="109"/>
        <w:gridCol w:w="109"/>
        <w:gridCol w:w="211"/>
        <w:gridCol w:w="826"/>
        <w:gridCol w:w="109"/>
        <w:gridCol w:w="109"/>
        <w:gridCol w:w="109"/>
        <w:gridCol w:w="109"/>
        <w:gridCol w:w="211"/>
        <w:gridCol w:w="826"/>
        <w:gridCol w:w="109"/>
        <w:gridCol w:w="109"/>
        <w:gridCol w:w="109"/>
        <w:gridCol w:w="109"/>
        <w:gridCol w:w="211"/>
        <w:gridCol w:w="779"/>
        <w:gridCol w:w="156"/>
      </w:tblGrid>
      <w:tr>
        <w:trPr/>
        <w:tc>
          <w:tcPr>
            <w:tcW w:w="2169"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paid for income taxes, net of refunds received</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asset retirement obligations related to mineral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asset retirement obligations related to midstream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liabilities for drilling, completion and equipping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liabilities for acquisition of oil and natural gas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liabilities for midstream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as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inventory (to) from oil and natural gas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tax payments of $34.4 million, $13.5 million and $63.5 million for the years ended December 31, 2024, 2023 and 2022, respectively.</w:t>
      </w:r>
    </w:p>
    <w:p>
      <w:pPr>
        <w:pStyle w:val="TextBody"/>
        <w:bidi w:val="0"/>
        <w:spacing w:before="120" w:after="283"/>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recorded in the consolidated balance sheets to cash and restricted cash as presented on the consolidated statements of cash flows (in thousands).</w:t>
      </w:r>
    </w:p>
    <w:tbl>
      <w:tblPr>
        <w:tblW w:w="6864" w:type="dxa"/>
        <w:jc w:val="left"/>
        <w:tblInd w:w="0" w:type="dxa"/>
        <w:tblLayout w:type="fixed"/>
        <w:tblCellMar>
          <w:top w:w="28" w:type="dxa"/>
          <w:left w:w="28" w:type="dxa"/>
          <w:bottom w:w="28" w:type="dxa"/>
          <w:right w:w="28" w:type="dxa"/>
        </w:tblCellMar>
      </w:tblPr>
      <w:tblGrid>
        <w:gridCol w:w="902"/>
        <w:gridCol w:w="795"/>
        <w:gridCol w:w="808"/>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21945"/>
                <wp:effectExtent l="0" t="0" r="0" b="0"/>
                <wp:wrapNone/>
                <wp:docPr id="151" name="Frame1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16 — SEGMENT INFORMATION</w:t>
      </w:r>
    </w:p>
    <w:p>
      <w:pPr>
        <w:pStyle w:val="TextBody"/>
        <w:bidi w:val="0"/>
        <w:spacing w:before="100" w:after="283"/>
        <w:jc w:val="left"/>
        <w:rPr/>
      </w:pPr>
      <w:r>
        <w:rPr/>
      </w:r>
    </w:p>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two reportable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and provides flow assurance for,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Delaware Basin are conducted through San Mateo.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the Chairman and Chief Executive Officer. The CODM uses operating income to assess income generated from each segment to allocate resources by either reinvesting profits as midstream or drilling and completion capital expenditures, or for determining the appropriate amounts for acquisition spend, the repayment of debt and the payment of dividends.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 </w:t>
      </w:r>
    </w:p>
    <w:tbl>
      <w:tblPr>
        <w:tblW w:w="10205" w:type="dxa"/>
        <w:jc w:val="left"/>
        <w:tblInd w:w="0" w:type="dxa"/>
        <w:tblLayout w:type="fixed"/>
        <w:tblCellMar>
          <w:top w:w="28" w:type="dxa"/>
          <w:left w:w="28" w:type="dxa"/>
          <w:bottom w:w="28" w:type="dxa"/>
          <w:right w:w="28" w:type="dxa"/>
        </w:tblCellMar>
      </w:tblPr>
      <w:tblGrid>
        <w:gridCol w:w="685"/>
        <w:gridCol w:w="439"/>
        <w:gridCol w:w="441"/>
        <w:gridCol w:w="254"/>
        <w:gridCol w:w="1176"/>
        <w:gridCol w:w="131"/>
        <w:gridCol w:w="109"/>
        <w:gridCol w:w="109"/>
        <w:gridCol w:w="109"/>
        <w:gridCol w:w="211"/>
        <w:gridCol w:w="976"/>
        <w:gridCol w:w="109"/>
        <w:gridCol w:w="109"/>
        <w:gridCol w:w="109"/>
        <w:gridCol w:w="109"/>
        <w:gridCol w:w="211"/>
        <w:gridCol w:w="854"/>
        <w:gridCol w:w="109"/>
        <w:gridCol w:w="109"/>
        <w:gridCol w:w="109"/>
        <w:gridCol w:w="109"/>
        <w:gridCol w:w="493"/>
        <w:gridCol w:w="949"/>
        <w:gridCol w:w="256"/>
        <w:gridCol w:w="109"/>
        <w:gridCol w:w="109"/>
        <w:gridCol w:w="109"/>
        <w:gridCol w:w="233"/>
        <w:gridCol w:w="1195"/>
        <w:gridCol w:w="175"/>
      </w:tblGrid>
      <w:tr>
        <w:trPr/>
        <w:tc>
          <w:tcPr>
            <w:tcW w:w="68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3,143,834 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(312,437)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w:t>
            </w:r>
            <w:r>
              <w:rPr>
                <w:rFonts w:ascii="Times New Roman;sans-serif" w:hAnsi="Times New Roman;sans-serif"/>
                <w:b w:val="false"/>
                <w:color w:val="000000"/>
                <w:sz w:val="13"/>
              </w:rPr>
              <w:t>(1)</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color w:val="000000"/>
                <w:sz w:val="13"/>
              </w:rPr>
              <w:t>(2)</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(3)</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1,302,479 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1,434,698 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w:t>
            </w:r>
            <w:r>
              <w:rPr>
                <w:rFonts w:ascii="Times New Roman;sans-serif" w:hAnsi="Times New Roman;sans-serif"/>
                <w:b w:val="false"/>
                <w:color w:val="000000"/>
                <w:sz w:val="13"/>
              </w:rPr>
              <w:t>(4)</w:t>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9,117,095 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1,613,936 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10,850,109 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(5)</w:t>
            </w:r>
          </w:p>
        </w:tc>
        <w:tc>
          <w:tcPr>
            <w:tcW w:w="2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3,396,543 </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3,906,549 </w:t>
            </w:r>
          </w:p>
        </w:tc>
        <w:tc>
          <w:tcPr>
            <w:tcW w:w="1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(1)Operating expense includes lease operating expense for the exploration and production segment and plant and other midstream operating expense for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depletion, depreciation and amortization expenses of $929.0 million and $43.9 million for the exploration and production and midstream segments, respectively. Also includes corporate depletion, depreciation and amortization expenses of $1.4 million. Other expenses for each reportable segment also includes (i) production taxes, transportation and processing, (ii) general and administrative expenses, (iii) accretion of asset retirement obligations and (iv) purchased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$86.0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(5)Includes $2.08 billion attributable to land and seismic acquisition expenditures related to the exploration and production segment, $236.2 million in midstream acquisition expenditures and $29.5 million in capital expenditures attributable to non-controlling interest in subsidiaries related to the midstream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21945"/>
                <wp:effectExtent l="0" t="0" r="0" b="0"/>
                <wp:wrapNone/>
                <wp:docPr id="152" name="Frame1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16 — SEGMENT INFORMATION — Continued</w:t>
      </w:r>
    </w:p>
    <w:tbl>
      <w:tblPr>
        <w:tblW w:w="10205" w:type="dxa"/>
        <w:jc w:val="left"/>
        <w:tblInd w:w="0" w:type="dxa"/>
        <w:tblLayout w:type="fixed"/>
        <w:tblCellMar>
          <w:top w:w="28" w:type="dxa"/>
          <w:left w:w="28" w:type="dxa"/>
          <w:bottom w:w="28" w:type="dxa"/>
          <w:right w:w="28" w:type="dxa"/>
        </w:tblCellMar>
      </w:tblPr>
      <w:tblGrid>
        <w:gridCol w:w="700"/>
        <w:gridCol w:w="460"/>
        <w:gridCol w:w="462"/>
        <w:gridCol w:w="261"/>
        <w:gridCol w:w="1209"/>
        <w:gridCol w:w="134"/>
        <w:gridCol w:w="109"/>
        <w:gridCol w:w="109"/>
        <w:gridCol w:w="109"/>
        <w:gridCol w:w="211"/>
        <w:gridCol w:w="976"/>
        <w:gridCol w:w="109"/>
        <w:gridCol w:w="109"/>
        <w:gridCol w:w="109"/>
        <w:gridCol w:w="109"/>
        <w:gridCol w:w="211"/>
        <w:gridCol w:w="751"/>
        <w:gridCol w:w="109"/>
        <w:gridCol w:w="109"/>
        <w:gridCol w:w="109"/>
        <w:gridCol w:w="109"/>
        <w:gridCol w:w="509"/>
        <w:gridCol w:w="980"/>
        <w:gridCol w:w="264"/>
        <w:gridCol w:w="109"/>
        <w:gridCol w:w="109"/>
        <w:gridCol w:w="109"/>
        <w:gridCol w:w="243"/>
        <w:gridCol w:w="1124"/>
        <w:gridCol w:w="184"/>
      </w:tblGrid>
      <w:tr>
        <w:trPr/>
        <w:tc>
          <w:tcPr>
            <w:tcW w:w="70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2,538,813 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2,545,599 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(224,780)</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w:t>
            </w:r>
            <w:r>
              <w:rPr>
                <w:rFonts w:ascii="Times New Roman;sans-serif" w:hAnsi="Times New Roman;sans-serif"/>
                <w:b w:val="false"/>
                <w:color w:val="000000"/>
                <w:sz w:val="13"/>
              </w:rPr>
              <w:t>(1)</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(115,134)</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color w:val="000000"/>
                <w:sz w:val="13"/>
              </w:rPr>
              <w:t>(2)</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1,224,898 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(3)</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1,133,541 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1,209,322 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w:t>
            </w:r>
            <w:r>
              <w:rPr>
                <w:rFonts w:ascii="Times New Roman;sans-serif" w:hAnsi="Times New Roman;sans-serif"/>
                <w:b w:val="false"/>
                <w:color w:val="000000"/>
                <w:sz w:val="13"/>
              </w:rPr>
              <w:t>(4)</w:t>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6,385,762 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1,257,988 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7,726,996 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(5)</w:t>
            </w:r>
          </w:p>
        </w:tc>
        <w:tc>
          <w:tcPr>
            <w:tcW w:w="2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2,970,230 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3,228,259 </w:t>
            </w:r>
          </w:p>
        </w:tc>
        <w:tc>
          <w:tcPr>
            <w:tcW w:w="1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(1)Operating expense includes lease operating expense for the exploration and production segment and plant and other midstream operating expense for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depletion, depreciation and amortization expenses of $675.0 million and $40.4 million for the exploration and production and midstream segments, respectively. Also includes corporate depletion, depreciation and amortization expenses of $1.3 million. Other expenses for each reportable segment also includes (i) production taxes, transportation and processing, (ii) general and administrative expenses, (iii) accretion of asset retirement obligations and (iv) purchased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$64.3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(5)Includes $1.81 billion attributable to land and seismic acquisition expenditures related to the exploration and production segment, $63.6 million in midstream acquisition expenditures and $42.2 million in capital expenditures attributable to non-controlling interest in subsidiaries related to the midstream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21945"/>
                <wp:effectExtent l="0" t="0" r="0" b="0"/>
                <wp:wrapNone/>
                <wp:docPr id="153" name="Frame1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16 — SEGMENT INFORMATION — Continued</w:t>
      </w:r>
    </w:p>
    <w:tbl>
      <w:tblPr>
        <w:tblW w:w="10205" w:type="dxa"/>
        <w:jc w:val="left"/>
        <w:tblInd w:w="0" w:type="dxa"/>
        <w:tblLayout w:type="fixed"/>
        <w:tblCellMar>
          <w:top w:w="28" w:type="dxa"/>
          <w:left w:w="28" w:type="dxa"/>
          <w:bottom w:w="28" w:type="dxa"/>
          <w:right w:w="28" w:type="dxa"/>
        </w:tblCellMar>
      </w:tblPr>
      <w:tblGrid>
        <w:gridCol w:w="692"/>
        <w:gridCol w:w="449"/>
        <w:gridCol w:w="450"/>
        <w:gridCol w:w="257"/>
        <w:gridCol w:w="1190"/>
        <w:gridCol w:w="132"/>
        <w:gridCol w:w="109"/>
        <w:gridCol w:w="109"/>
        <w:gridCol w:w="109"/>
        <w:gridCol w:w="211"/>
        <w:gridCol w:w="976"/>
        <w:gridCol w:w="109"/>
        <w:gridCol w:w="109"/>
        <w:gridCol w:w="109"/>
        <w:gridCol w:w="109"/>
        <w:gridCol w:w="211"/>
        <w:gridCol w:w="855"/>
        <w:gridCol w:w="109"/>
        <w:gridCol w:w="109"/>
        <w:gridCol w:w="109"/>
        <w:gridCol w:w="109"/>
        <w:gridCol w:w="500"/>
        <w:gridCol w:w="962"/>
        <w:gridCol w:w="259"/>
        <w:gridCol w:w="109"/>
        <w:gridCol w:w="109"/>
        <w:gridCol w:w="109"/>
        <w:gridCol w:w="240"/>
        <w:gridCol w:w="1113"/>
        <w:gridCol w:w="182"/>
      </w:tblGrid>
      <w:tr>
        <w:trPr/>
        <w:tc>
          <w:tcPr>
            <w:tcW w:w="6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2,897,336 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2,905,738 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(207,578)</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w:t>
            </w:r>
            <w:r>
              <w:rPr>
                <w:rFonts w:ascii="Times New Roman;sans-serif" w:hAnsi="Times New Roman;sans-serif"/>
                <w:b w:val="false"/>
                <w:color w:val="000000"/>
                <w:sz w:val="13"/>
              </w:rPr>
              <w:t>(1)</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(104,671)</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expenses</w:t>
            </w:r>
            <w:r>
              <w:rPr>
                <w:rFonts w:ascii="Times New Roman;sans-serif" w:hAnsi="Times New Roman;sans-serif"/>
                <w:b w:val="false"/>
                <w:color w:val="000000"/>
                <w:sz w:val="13"/>
              </w:rPr>
              <w:t>(2)</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(3)</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1,698,330 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1,759,270 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w:t>
            </w:r>
            <w:r>
              <w:rPr>
                <w:rFonts w:ascii="Times New Roman;sans-serif" w:hAnsi="Times New Roman;sans-serif"/>
                <w:b w:val="false"/>
                <w:color w:val="000000"/>
                <w:sz w:val="13"/>
              </w:rPr>
              <w:t>(4)</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4,022,609 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5,554,505 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(5)</w:t>
            </w:r>
          </w:p>
        </w:tc>
        <w:tc>
          <w:tcPr>
            <w:tcW w:w="2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903,518 </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158,544 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1,063,275 </w:t>
            </w:r>
          </w:p>
        </w:tc>
        <w:tc>
          <w:tcPr>
            <w:tcW w:w="1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(1)Operating expense includes lease operating expense for the exploration and production segment and plant and other midstream operating expense for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depletion, depreciation and amortization expenses of $429.7 million and $34.7 million for the exploration and production and midstream segments, respectively. Also includes corporate depletion, depreciation and amortization expenses of $2.0 million. Other expenses for each reportable segment also includes (i) production taxes, transportation and processing, (ii) general and administrative expenses, (iii) accretion of asset retirement obligations and (iv) purchased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$72.1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(5)Includes $131.0 million attributable to land and seismic acquisition expenditures related to the exploration and production segment, $75.8 million in midstream acquisition expenditures and $39.6 million in capital expenditures attributable to non-controlling interest in subsidiaries related to the midstream segment.</w:t>
      </w:r>
    </w:p>
    <w:p>
      <w:pPr>
        <w:pStyle w:val="TextBody"/>
        <w:bidi w:val="0"/>
        <w:spacing w:before="12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21945"/>
                <wp:effectExtent l="0" t="0" r="0" b="0"/>
                <wp:wrapNone/>
                <wp:docPr id="154" name="Frame1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417"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OIL AND NATURAL GAS DISCLOSURES</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Costs Incurred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costs incurred and capitalized by the Company in the acquisition, exploration and development of oil and natural gas properties for the years ended December 31, 2024, 2023 and 2022 (in thousands).</w:t>
      </w:r>
    </w:p>
    <w:tbl>
      <w:tblPr>
        <w:tblW w:w="7089" w:type="dxa"/>
        <w:jc w:val="left"/>
        <w:tblInd w:w="0" w:type="dxa"/>
        <w:tblLayout w:type="fixed"/>
        <w:tblCellMar>
          <w:top w:w="28" w:type="dxa"/>
          <w:left w:w="28" w:type="dxa"/>
          <w:bottom w:w="28" w:type="dxa"/>
          <w:right w:w="28" w:type="dxa"/>
        </w:tblCellMar>
      </w:tblPr>
      <w:tblGrid>
        <w:gridCol w:w="841"/>
        <w:gridCol w:w="741"/>
        <w:gridCol w:w="743"/>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costs incurred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(1)Excludes midstream-related development and corporate costs of approximately $510.0 million, $258.0 million and $159.8 million for the years ended December 31, 2024, 2023 and 2022, respectively.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acquisition costs are costs incurred to purchase, lease or otherwise acquire oil and natural gas properties, including both unproved and unevaluated leasehold and purchases of reserves in place. For the year ended December 31, 2024, a majority of the Company’s property acquisition costs resulted from the Ameredev Acquisition. For the year ended December 31, 2023, a majority of the Company’s property acquisition costs resulted from the Advance Acquisition.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costs are costs incurred in identifying areas of these oil and natural gas properties that may warrant examination and in examining specific areas that are considered to have prospects of containing oil and natural gas reserves, including costs of drilling exploratory wells, geological and geophysical costs and costs of carrying and retaining unproved and unevaluated properties. Exploration costs may be incurred before or after acquiring the related oil and natural gas properties. For the year ended December 31, 2024, the Company capitalized $11.3 million of geological and geophysical costs, which are included as exploration costs in the table above. The Company did not capitalize any geological and geophysical costs in 2023 or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 are costs incurred to obtain access to proved reserves and to provide facilities for extracting, treating, gathering and storing oil and natural gas. Development costs include the costs of preparing well locations for drilling, completing and equipping development wells and acquiring, constructing and installing production facilities.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also include newly established asset retirement obligations, as well as changes to asset retirement obligations resulting from revisions in cost estimates or abandonment dates. Asset retirement obligations included in the table above were an increase of $25.1 million, an increase of $33.8 million and an increase of $10.7 million for the years ended December 31, 2024, 2023 and 2022, respectively. Capitalized general and administrative expenses that are directly related to acquisition, exploration and development activities are also included in the table above. The Company capitalized $66.6 million, $54.2 million and $47.8 million of these internal costs for the years ended December 31, 2024, 2023 and 2022, respectively, excluding midstream-related capitalized general and administrative expenses. Capitalized interest expense for qualifying projects is also included in the table above. The Company capitalized $17.5 million, $20.2 million and $10.1 million of its interest expense for the years ended December 31, 2024, 2023 and 2022, respectively, excluding midstream-related capitalized interest expense.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Oil and Natural Gas Reserves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Proved reserves are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of that data can vary. The process also requires certain economic assumptions, including assumptions related to oil and natural gas prices, drilling, completion and operating expenses, capital expenditures, taxes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21945"/>
                <wp:effectExtent l="0" t="0" r="0" b="0"/>
                <wp:wrapNone/>
                <wp:docPr id="155" name="Frame1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OIL AND NATURAL GAS DISCLOSURES — Continued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of funds. Actual future production, oil and natural gas prices, revenues, taxes, development expenditures, operating expenses and quantities of recoverable oil and natural gas most likely will vary from the Company’s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reports its production and proved reserves in two streams: oil and natural gas, including both dry and liquids-rich natural gas. Where the Company produces liquids-rich natural gas, such as in the Wolfcamp and Bone Spring plays in the Delaware Basin in Southeast New Mexico and West Texas and the Eagle Ford shale in South Texas, the economic value of the NGLs associated with the natural gas is included in the estimated wellhead natural gas price on those properties where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NGLs are extracted and sold. The Company’s oil and natural gas reserves estimates for the years ended December 31, 2024, 2023 and 2022 were prepared by the Company’s engineering staff in accordance with guidelines established by the SEC and then audited for their reasonableness and conformance with SEC guidelines by Netherland, Sewell &amp; Associates, Inc., independent reservoir engineers.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reserves are estimated using then-current operating and economic conditions, with no provision for price and cost escalations in future periods except by contractual arrangements. The commodity prices used to estimate oil and natural gas reserves are based on unweighted, arithmetic averages of first-day-of-the-month oil and natural gas prices for the previous 12-month period. For the period from January through December 2024, these average oil and natural gas prices were $71.96 per Bbl and $2.13 per MMBtu, respectively. For the period from January through December 2023, these average oil and natural gas prices were $74.70 per Bbl and $2.64 per MMBtu, respectively. For the period from January through December 2022, these average oil and natural gas prices were $90.15 per Bbl and $6.36 per MMBtu,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21945"/>
                <wp:effectExtent l="0" t="0" r="0" b="0"/>
                <wp:wrapNone/>
                <wp:docPr id="156" name="Frame1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OIL AND NATURAL GAS DISCLOSURES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ownership in estimated quantities of proved oil and natural gas reserves and changes in net proved reserves are summarized as follows. All of the Company’s oil and natural gas reserves are attributable to properties located in the United States. The estimated reserves shown below are proved reserves only and do not include any value for unproved reserves classified as probable or possible reserves that might exist for these properties, nor do they include any consideration that could be attributed to interests in unevaluated acreage beyond those tracts for which reserves have been estimated. In the tables presented throughout this section, natural gas is converted to oil equivalent using the ratio of one Bbl of oil to six Mcf of natural gas.</w:t>
      </w:r>
    </w:p>
    <w:tbl>
      <w:tblPr>
        <w:tblW w:w="8755" w:type="dxa"/>
        <w:jc w:val="left"/>
        <w:tblInd w:w="0" w:type="dxa"/>
        <w:tblLayout w:type="fixed"/>
        <w:tblCellMar>
          <w:top w:w="28" w:type="dxa"/>
          <w:left w:w="28" w:type="dxa"/>
          <w:bottom w:w="28" w:type="dxa"/>
          <w:right w:w="28" w:type="dxa"/>
        </w:tblCellMar>
      </w:tblPr>
      <w:tblGrid>
        <w:gridCol w:w="1528"/>
        <w:gridCol w:w="1343"/>
        <w:gridCol w:w="1344"/>
        <w:gridCol w:w="109"/>
        <w:gridCol w:w="109"/>
        <w:gridCol w:w="109"/>
        <w:gridCol w:w="413"/>
        <w:gridCol w:w="413"/>
        <w:gridCol w:w="208"/>
        <w:gridCol w:w="109"/>
        <w:gridCol w:w="109"/>
        <w:gridCol w:w="109"/>
        <w:gridCol w:w="487"/>
        <w:gridCol w:w="489"/>
        <w:gridCol w:w="336"/>
        <w:gridCol w:w="109"/>
        <w:gridCol w:w="109"/>
        <w:gridCol w:w="109"/>
        <w:gridCol w:w="413"/>
        <w:gridCol w:w="413"/>
        <w:gridCol w:w="387"/>
      </w:tblGrid>
      <w:tr>
        <w:trPr/>
        <w:tc>
          <w:tcPr>
            <w:tcW w:w="152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Proved Reserves</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w:t>
              <w:br/>
              <w:t>Equivalent</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(MBOE)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181,306 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852,547 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323,397 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prior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acquisitions (divestitures) of minerals-in-place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215,011 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(38,495)</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196,289 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962,594 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356,722 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prior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(88,779)</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(45,981)</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acquisitions of minerals-in-place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183,311 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109,102 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193,054 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(48,112)</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272,277 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1,126,760 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460,070 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prior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acquisitions of minerals-in-place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215,389 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(155,790)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(62,495)</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361,842 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1,498,169 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611,536 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Developed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546,173 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193,262 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632,858 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161,642 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782,733 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206,269 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366,797 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Undeveloped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79,073 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130,135 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80,259 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329,736 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344,026 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155,573 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534,999 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244,740 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the changes in the Company’s proved oil and natural gas reserves estimates for the years ended December 31, 2024, 2023 and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proved oil and natural gas reserves increased 33% from 460.1 million BOE at December 31, 2023 to 611.5 million BOE at December 31, 2024. The Company’s proved oil and natural gas reserves increased by 214.0 million BOE and the Company produced 62.5 million BOE during the year ended December 31, 2024, resulting in a net increase of 151.5 million BOE. This increase in proved oil and natural gas reserves was primarily attributable to the Ameredev Acquisition and the Company’s delineation and development operations in the Delaware Basin during 2024. The Company increased its total proved oil and natural gas reserves by 119.9 million BOE as a result of acquisitions and trades during 2024. The Company also added 99.9 million BOE in proved reserves through extensions and discoveries during 2024, of which 28.4 million BOE resulted from new well locations turned to sales during 2024 to establish proved developed reserves and 71.5 million BOE resulted primarily from new proved undeveloped locations identified as a result of drilling activities on the Company’s existing acreage in the Delaware Basin during 2024. These increases were partially offset by net downward revisions of prior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21945"/>
                <wp:effectExtent l="0" t="0" r="0" b="0"/>
                <wp:wrapNone/>
                <wp:docPr id="157" name="Frame1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OIL AND NATURAL GAS DISCLOSURES — Continued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proved oil and natural gas reserves, which primarily included the removal of 8.2 million BOE resulting from the 4% decrease in oil prices and the 19% decrease in natural gas prices used to estimate total proved reserves at December 31, 2024, as compared to December 31, 2023, and 15.3 million BOE in proved undeveloped reserves that were not developed or were no longer expected to be developed within five years of their initial booking resulting primarily from changes in development plans for certain of the Company’s properties in the Delaware Basin. As the Company continues to develop its Delaware Basin assets, the Company may reclassify some or all of this 15.3 million BOE to proved reserves at a future date. These downward revisions at December 31, 2024 were partially offset by positive forecast updates of 21.7 million BOE.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proved developed oil and natural gas reserves increased 26% from 292.1 million BOE at December 31, 2023 to 366.8 million BOE at December 31, 2024. The Company’s proved developed oil and natural gas reserves increased by 137.2 million BOE and the Company produced 62.5 million BOE during the year ended December 31, 2024, resulting in a net increase of 74.7 million BOE. The Company added 28.4 million BOE in proved developed reserves through extensions and discoveries during 2024, which resulted from new well locations drilled during 2024 to establish proved reserves. In addition, during 2024 the Company converted 54.6 million BOE of its proved undeveloped reserves to proved developed reserves primarily through its development activities in the Delaware Basin. The Company also increased its proved developed reserves by 59.3 million BOE at December 31, 2024 as a result of property acquisitions, including the Ameredev Acquisition, and trades completed during 2024. Additionally, the Company realized approximately 5.1 million BOE in net downward revisions of prior estimates in 2024, most of which was attributable to the lower commodity prices used to estimate proved reserves at December 31, 2024, which resulted in shorter estimated economic lives for certain of its producing properties.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proved undeveloped oil and natural gas reserves increased 46% from 168.0 million BOE at December 31, 2023 to 244.7 million at December 31, 2024. The Company added 71.5 million BOE in proved undeveloped reserves through extensions and discoveries during 2024, which resulted primarily from new proved undeveloped locations identified as a result of drilling activities on the Company’s existing acreage in the Delaware Basin during 2024. In addition, the Company increased its proved undeveloped reserves by 60.6 million BOE at December 31, 2024 as a result of property acquisitions, including the Ameredev Acquisition, and trades completed during 2024. These increases were partially offset by net downward revisions of prior estimates of proved undeveloped reserves, including the removal of 15.3 million BOE in proved undeveloped reserves that were not developed or were no longer expected to be developed within five years of their initial booking resulting primarily from changes in development plans for certain of the properties in the Delaware Basin and the removal of 2.1 million BOE for certain expense and pricing updates. These downward revisions were largely offset by positive forecast updates of 16.3 million BOE.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Company’s proved reserves were comprised of 59% oil and 41% natural gas and were approximately 60% proved developed and 40% proved undeveloped. The decrease in the Company’s proved developed reserves as a percentage of its total proved reserves at December 31, 2024, as compared to 63% and 62% proved developed reserves at December 31, 2023 and 2022, respectively, was primarily a result of extensions and discoveries of new proved undeveloped locations identified as a result of drilling activities on the Company’s existing acreage in the Delaware Basin and the Ameredev Acquisition.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proved oil and natural gas reserves increased 29% from 356.7 million BOE at December 31, 2022 to 460.1 million BOE at December 31, 2023. The Company’s proved oil and natural gas reserves increased by 151.5 million BOE and the Company produced 48.1 million BOE during the year ended December 31, 2023, resulting in a net increase of 103.3 million BOE. This increase in proved oil and natural gas reserves was primarily attributable to the Advance Acquisition and the Company’s delineation and development operations in the Delaware Basin during 2023. The Company increased its total proved oil and natural gas reserves by 109.1 million BOE as a result of acquisitions and trades during 2023. The Company also added 88.3 million BOE in proved reserves through extensions and discoveries during 2023, of which 27.6 million BOE resulted from new well locations drilled during 2023 to establish proved developed reserves and 60.7 million BOE resulted primarily from new proved undeveloped locations identified as a result of drilling activities on the Company’s existing acreage in the Delaware Basin during 2023. These increases were partially offset by the removal of 17.4 million BOE resulting from the 17% decrease in oil prices and the 58% decrease in natural gas prices used to estimate total proved reserves at December 31, 2023, as compared to December 31, 2022, and the removal of 31.5 million BOE in proved undeveloped reserves that were not developed or were no longer expected to be developed within five years of their initial booking resulting primarily from changes in development plans for certain of the Company’s properties in the Delaware Basin.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proved oil and natural gas reserves increased 10% from 323.4 million BOE at December 31, 2021 to 356.7 million BOE at December 31, 2022. The Company’s proved oil and natural gas reserves increased by 71.8 million BOE and the Company produced 38.5 million BOE during the year ended December 31, 2022, resulting in a net increase of 33.3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21945"/>
                <wp:effectExtent l="0" t="0" r="0" b="0"/>
                <wp:wrapNone/>
                <wp:docPr id="158" name="Frame1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OIL AND NATURAL GAS DISCLOSURES — Continued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BOE. The Company added 78.5 million BOE in proved reserves through extensions and discoveries during 2022, of which 24.7 million BOE resulted from new well locations drilled during 2022 to establish proved developed reserves and 53.8 million BOE resulted primarily from new proved undeveloped locations identified as a result of drilling activities on the Company’s existing acreage in the Delaware Basin during 2022. The Company realized approximately 7.7 million BOE in net downward revisions of prior estimates in 2022, due primarily to proved undeveloped reserves that were not developed or were no longer expected to be developed within five years of their initial booking as a result of changes in development plans for certain of the properties in the Delaware Basin at December 31, 2022. </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Standardized Measure of Discounted Future Net Cash Flows and Changes Therein Relating to Proved Oil and Natural Gas Reserves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standardized measure of discounted future net cash flows relating to proved oil and natural gas reserves is not intended to provide an estimate of the replacement cost or fair market value of the Company’s oil and natural gas properties. An estimate of fair market value would also take into account, among other things, the recovery of reserves not presently classified as proved, anticipated future changes in prices and costs, potential improvements in industry technology and operating practices, the risks inherent in reserves estimates and perhaps different discount rates.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noted previously, for the period from January through December 2024, the unweighted, arithmetic averages of first-day-of-the-month oil and natural gas prices were $71.96 per Bbl and $2.13 per MMBtu, respectively. For the period from January through December 2023, the comparable average oil and natural gas prices were $74.70 per Bbl and $2.64 per MMBtu, respectively. For the period from January through December 2022, the comparable average oil and natural gas prices were $90.15 per Bbl and $6.36 per MMBtu, respectively.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Future net cash flows were computed by applying these oil and natural gas prices, adjusted for all associated transportation and gathering costs, gravity and energy content and regional price differentials, to year-end quantities of proved oil and natural gas reserves and accounting for any future production, development and plugging and abandonment costs associated with producing these reserves; neither prices nor costs were escalated with time in these computations.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Future income taxes were computed by applying the statutory tax rate to the excess of future net cash flows relating to proved oil and natural gas reserves less the tax basis of the associated properties. Tax credits and net operating loss carryforwards available to the Company were also considered in the computation of future income taxes. Future net cash flows after income taxes were discounted using a 10% annual discount rate to derive the standardized measure of discounted future net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standardized measure of discounted future net cash flows relating to proved oil and natural gas reserves for the years ended December 31, 2024, 2023 and 2022 (in thousands).</w:t>
      </w:r>
    </w:p>
    <w:tbl>
      <w:tblPr>
        <w:tblW w:w="9983" w:type="dxa"/>
        <w:jc w:val="left"/>
        <w:tblInd w:w="0" w:type="dxa"/>
        <w:tblLayout w:type="fixed"/>
        <w:tblCellMar>
          <w:top w:w="28" w:type="dxa"/>
          <w:left w:w="28" w:type="dxa"/>
          <w:bottom w:w="28" w:type="dxa"/>
          <w:right w:w="28" w:type="dxa"/>
        </w:tblCellMar>
      </w:tblPr>
      <w:tblGrid>
        <w:gridCol w:w="1720"/>
        <w:gridCol w:w="1509"/>
        <w:gridCol w:w="1525"/>
        <w:gridCol w:w="109"/>
        <w:gridCol w:w="109"/>
        <w:gridCol w:w="109"/>
        <w:gridCol w:w="211"/>
        <w:gridCol w:w="1081"/>
        <w:gridCol w:w="109"/>
        <w:gridCol w:w="109"/>
        <w:gridCol w:w="109"/>
        <w:gridCol w:w="109"/>
        <w:gridCol w:w="211"/>
        <w:gridCol w:w="1081"/>
        <w:gridCol w:w="109"/>
        <w:gridCol w:w="109"/>
        <w:gridCol w:w="109"/>
        <w:gridCol w:w="109"/>
        <w:gridCol w:w="211"/>
        <w:gridCol w:w="1081"/>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cash inflows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24,952,118 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production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(10,284,800)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(6,752,752)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(3,935,271)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net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12,716,392 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annual discount for estimated timing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6,983,203 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21945"/>
                <wp:effectExtent l="0" t="0" r="0" b="0"/>
                <wp:wrapNone/>
                <wp:docPr id="159" name="Frame1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lineRule="auto" w:line="288" w:before="0" w:after="0"/>
        <w:jc w:val="left"/>
        <w:rPr/>
      </w:pPr>
      <w:hyperlink w:anchor="iefd3066dd5fa40c4bbaf283102a34c7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 SUPPLEMENTARY INFORMATION — CONTINUED</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OIL AND NATURAL GAS DISCLOSURES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standardized measure of discounted future net cash flows relating to proved oil and natural gas reserves for the years ended December 31, 2024, 2023 and 2022 (in thousands).</w:t>
      </w:r>
    </w:p>
    <w:tbl>
      <w:tblPr>
        <w:tblW w:w="10205" w:type="dxa"/>
        <w:jc w:val="left"/>
        <w:tblInd w:w="0" w:type="dxa"/>
        <w:tblLayout w:type="fixed"/>
        <w:tblCellMar>
          <w:top w:w="28" w:type="dxa"/>
          <w:left w:w="28" w:type="dxa"/>
          <w:bottom w:w="28" w:type="dxa"/>
          <w:right w:w="28" w:type="dxa"/>
        </w:tblCellMar>
      </w:tblPr>
      <w:tblGrid>
        <w:gridCol w:w="2008"/>
        <w:gridCol w:w="1638"/>
        <w:gridCol w:w="1644"/>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200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4,375,425 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sales and transfer prices and in production (lifting) costs related to future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4,046,504 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estimated future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transfers of oil and natural gas produced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(2,466,440)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purchases of reserves in 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due to extensions and discoveries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due to revisions in estimates of reserves quantities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estimated development costs incurred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6,983,203 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2.6</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21945"/>
                <wp:effectExtent l="0" t="0" r="0" b="0"/>
                <wp:wrapNone/>
                <wp:docPr id="160" name="Frame1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2</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TO SECURITIES PURCHASE AGREEMENT</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This AMENDMENT NO. 2 TO SECURITIES PURCHASE AGREEMENT (this “</w:t>
      </w:r>
      <w:r>
        <w:rPr>
          <w:rFonts w:ascii="Times New Roman;sans-serif" w:hAnsi="Times New Roman;sans-serif"/>
          <w:b/>
          <w:i/>
          <w:color w:val="000000"/>
          <w:sz w:val="20"/>
        </w:rPr>
        <w:t>Amendment</w:t>
      </w:r>
      <w:r>
        <w:rPr>
          <w:color w:val="000000"/>
        </w:rPr>
        <w:t>”</w:t>
      </w:r>
      <w:r>
        <w:rPr>
          <w:rFonts w:ascii="Times New Roman;sans-serif" w:hAnsi="Times New Roman;sans-serif"/>
          <w:b w:val="false"/>
          <w:color w:val="000000"/>
          <w:sz w:val="20"/>
        </w:rPr>
        <w:t>), dated as of February 14, 2025, is by and among Ameredev II Parent, LLC, a Delaware limited liability company (“</w:t>
      </w:r>
      <w:r>
        <w:rPr>
          <w:rFonts w:ascii="Times New Roman;sans-serif" w:hAnsi="Times New Roman;sans-serif"/>
          <w:b/>
          <w:i/>
          <w:color w:val="000000"/>
          <w:sz w:val="20"/>
        </w:rPr>
        <w:t>Ameredev Parent</w:t>
      </w:r>
      <w:r>
        <w:rPr>
          <w:color w:val="000000"/>
        </w:rPr>
        <w:t>”</w:t>
      </w:r>
      <w:r>
        <w:rPr>
          <w:rFonts w:ascii="Times New Roman;sans-serif" w:hAnsi="Times New Roman;sans-serif"/>
          <w:b w:val="false"/>
          <w:color w:val="000000"/>
          <w:sz w:val="20"/>
        </w:rPr>
        <w:t>), Ameredev Intermediate II, LLC, a Delaware limited liability company (“</w:t>
      </w:r>
      <w:r>
        <w:rPr>
          <w:rFonts w:ascii="Times New Roman;sans-serif" w:hAnsi="Times New Roman;sans-serif"/>
          <w:b/>
          <w:i/>
          <w:color w:val="000000"/>
          <w:sz w:val="20"/>
        </w:rPr>
        <w:t>Ameredev Intermediate</w:t>
      </w:r>
      <w:r>
        <w:rPr>
          <w:color w:val="000000"/>
        </w:rPr>
        <w:t xml:space="preserve">” </w:t>
      </w:r>
      <w:r>
        <w:rPr>
          <w:rFonts w:ascii="Times New Roman;sans-serif" w:hAnsi="Times New Roman;sans-serif"/>
          <w:b w:val="false"/>
          <w:color w:val="000000"/>
          <w:sz w:val="20"/>
        </w:rPr>
        <w:t>and together with Ameredev Parent, each a “</w:t>
      </w:r>
      <w:r>
        <w:rPr>
          <w:rFonts w:ascii="Times New Roman;sans-serif" w:hAnsi="Times New Roman;sans-serif"/>
          <w:b/>
          <w:i/>
          <w:color w:val="000000"/>
          <w:sz w:val="20"/>
        </w:rPr>
        <w:t>Seller</w:t>
      </w:r>
      <w:r>
        <w:rPr>
          <w:color w:val="000000"/>
        </w:rPr>
        <w:t xml:space="preserve">” </w:t>
      </w:r>
      <w:r>
        <w:rPr>
          <w:rFonts w:ascii="Times New Roman;sans-serif" w:hAnsi="Times New Roman;sans-serif"/>
          <w:b w:val="false"/>
          <w:color w:val="000000"/>
          <w:sz w:val="20"/>
        </w:rPr>
        <w:t>and collectively, “</w:t>
      </w:r>
      <w:r>
        <w:rPr>
          <w:rFonts w:ascii="Times New Roman;sans-serif" w:hAnsi="Times New Roman;sans-serif"/>
          <w:b/>
          <w:i/>
          <w:color w:val="000000"/>
          <w:sz w:val="20"/>
        </w:rPr>
        <w:t>Sellers</w:t>
      </w:r>
      <w:r>
        <w:rPr>
          <w:color w:val="000000"/>
        </w:rPr>
        <w:t>”</w:t>
      </w:r>
      <w:r>
        <w:rPr>
          <w:rFonts w:ascii="Times New Roman;sans-serif" w:hAnsi="Times New Roman;sans-serif"/>
          <w:b w:val="false"/>
          <w:color w:val="000000"/>
          <w:sz w:val="20"/>
        </w:rPr>
        <w:t>), and MRC Toro, LLC, a Delaware limited liability company (“</w:t>
      </w:r>
      <w:r>
        <w:rPr>
          <w:rFonts w:ascii="Times New Roman;sans-serif" w:hAnsi="Times New Roman;sans-serif"/>
          <w:b/>
          <w:i/>
          <w:color w:val="000000"/>
          <w:sz w:val="20"/>
        </w:rPr>
        <w:t>Purchaser</w:t>
      </w:r>
      <w:r>
        <w:rPr>
          <w:color w:val="000000"/>
        </w:rPr>
        <w:t>”</w:t>
      </w:r>
      <w:r>
        <w:rPr>
          <w:rFonts w:ascii="Times New Roman;sans-serif" w:hAnsi="Times New Roman;sans-serif"/>
          <w:b w:val="false"/>
          <w:color w:val="000000"/>
          <w:sz w:val="20"/>
        </w:rPr>
        <w:t>). Each Seller and Purchaser are sometimes referred to individually as a “</w:t>
      </w:r>
      <w:r>
        <w:rPr>
          <w:rFonts w:ascii="Times New Roman;sans-serif" w:hAnsi="Times New Roman;sans-serif"/>
          <w:b/>
          <w:i/>
          <w:color w:val="000000"/>
          <w:sz w:val="20"/>
        </w:rPr>
        <w:t>Party</w:t>
      </w:r>
      <w:r>
        <w:rPr>
          <w:color w:val="000000"/>
        </w:rPr>
        <w:t xml:space="preserve">” </w:t>
      </w:r>
      <w:r>
        <w:rPr>
          <w:rFonts w:ascii="Times New Roman;sans-serif" w:hAnsi="Times New Roman;sans-serif"/>
          <w:b w:val="false"/>
          <w:color w:val="000000"/>
          <w:sz w:val="20"/>
        </w:rPr>
        <w:t>and collectively as the “</w:t>
      </w:r>
      <w:r>
        <w:rPr>
          <w:rFonts w:ascii="Times New Roman;sans-serif" w:hAnsi="Times New Roman;sans-serif"/>
          <w:b/>
          <w:i/>
          <w:color w:val="000000"/>
          <w:sz w:val="20"/>
        </w:rPr>
        <w:t>Parties</w:t>
      </w:r>
      <w:r>
        <w:rPr>
          <w:color w:val="000000"/>
        </w:rPr>
        <w:t>”</w:t>
      </w:r>
      <w:r>
        <w:rPr>
          <w:rFonts w:ascii="Times New Roman;sans-serif" w:hAnsi="Times New Roman;sans-serif"/>
          <w:b w:val="false"/>
          <w:color w:val="000000"/>
          <w:sz w:val="20"/>
        </w:rPr>
        <w:t>.</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WHEREAS, Sellers, Ameredev Stateline II, LLC, a Delaware limited liability company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Purchaser and, solely for purposes of Section 14.18 thereof, MRC Energy Company, a Texas corporation, entered into that certain Securities Purchase Agreement, dated as of June 12, 2024 (the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WHEREAS, the Company merged with and into Purchaser, effective as of November 18, 2024; and</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WHEREAS, pursuant to and in accordance with Section 14.9 of the Agreement, the Sellers and Purchaser desire to amend the Agreement, on the terms and subject to the conditions set forth herein.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NOW, THEREFORE, in consideration of the premises and mutual covenants and agreements contained herein and in the Agreement, and other good and valuable consideration, the receipt and sufficiency of which are hereby acknowledged, the Parties agree as follows:</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Defined Terms</w:t>
      </w:r>
      <w:r>
        <w:rPr>
          <w:rFonts w:ascii="Times New Roman;sans-serif" w:hAnsi="Times New Roman;sans-serif"/>
          <w:b w:val="false"/>
          <w:color w:val="000000"/>
          <w:sz w:val="20"/>
        </w:rPr>
        <w:t>. Capitalized terms used but not defined in this Amendment shall have the meanings ascribed to them in the Agreement.</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Amendment to Section 1.1 of the Agreement</w:t>
      </w:r>
      <w:r>
        <w:rPr>
          <w:rFonts w:ascii="Times New Roman;sans-serif" w:hAnsi="Times New Roman;sans-serif"/>
          <w:b w:val="false"/>
          <w:color w:val="000000"/>
          <w:sz w:val="20"/>
        </w:rPr>
        <w:t>. Effective as of the Execution Date, the definition of “Cure Deadline” set forth in Section 1.1 of the Agreement is hereby amended and restated in its entirety as follows:</w:t>
      </w:r>
    </w:p>
    <w:p>
      <w:pPr>
        <w:pStyle w:val="TextBody"/>
        <w:bidi w:val="0"/>
        <w:spacing w:lineRule="auto" w:line="288" w:before="0" w:after="240"/>
        <w:jc w:val="both"/>
        <w:rPr/>
      </w:pPr>
      <w:r>
        <w:rPr>
          <w:color w:val="000000"/>
        </w:rPr>
        <w:t>““</w:t>
      </w:r>
      <w:r>
        <w:rPr>
          <w:rFonts w:ascii="Times New Roman;sans-serif" w:hAnsi="Times New Roman;sans-serif"/>
          <w:b/>
          <w:i/>
          <w:color w:val="000000"/>
          <w:sz w:val="20"/>
        </w:rPr>
        <w:t>Cure Deadline</w:t>
      </w:r>
      <w:r>
        <w:rPr>
          <w:color w:val="000000"/>
        </w:rPr>
        <w:t xml:space="preserve">” </w:t>
      </w:r>
      <w:r>
        <w:rPr>
          <w:rFonts w:ascii="Times New Roman;sans-serif" w:hAnsi="Times New Roman;sans-serif"/>
          <w:b w:val="false"/>
          <w:color w:val="000000"/>
          <w:sz w:val="20"/>
        </w:rPr>
        <w:t>means the date one hundred and eighty (180) days after the Closing Date.”</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Amendment to Section 3.2(i)(i) of the Agreement</w:t>
      </w:r>
      <w:r>
        <w:rPr>
          <w:rFonts w:ascii="Times New Roman;sans-serif" w:hAnsi="Times New Roman;sans-serif"/>
          <w:b w:val="false"/>
          <w:color w:val="000000"/>
          <w:sz w:val="20"/>
        </w:rPr>
        <w:t xml:space="preserve">. Effective as of the Execution Date, </w:t>
      </w:r>
      <w:r>
        <w:rPr>
          <w:rFonts w:ascii="Times New Roman;sans-serif" w:hAnsi="Times New Roman;sans-serif"/>
          <w:b w:val="false"/>
          <w:color w:val="000000"/>
          <w:sz w:val="20"/>
          <w:u w:val="single"/>
        </w:rPr>
        <w:t>Section 3.2(i)(i)</w:t>
      </w:r>
      <w:r>
        <w:rPr>
          <w:color w:val="000000"/>
        </w:rPr>
        <w:t xml:space="preserve"> </w:t>
      </w:r>
      <w:r>
        <w:rPr>
          <w:rFonts w:ascii="Times New Roman;sans-serif" w:hAnsi="Times New Roman;sans-serif"/>
          <w:b w:val="false"/>
          <w:color w:val="000000"/>
          <w:sz w:val="20"/>
        </w:rPr>
        <w:t>of the Agreement is hereby amended and restated in its entirety as follows:</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 xml:space="preserve">Sellers’ Representative and Purchaser shall use good faith efforts to agree prior to and after Closing on the interpretation and effect of this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and the validity and determination of all Title Benefits, Title Benefit Amounts, Defects and Defect Amounts (or the cure thereof). If Sellers’ Representative and Purchaser are unable to agree on the scope, interpretation and effect of this </w:t>
      </w:r>
      <w:r>
        <w:rPr>
          <w:rFonts w:ascii="Times New Roman;sans-serif" w:hAnsi="Times New Roman;sans-serif"/>
          <w:b w:val="false"/>
          <w:color w:val="000000"/>
          <w:sz w:val="20"/>
          <w:u w:val="single"/>
        </w:rPr>
        <w:t>Article 3</w:t>
      </w:r>
      <w:r>
        <w:rPr>
          <w:rFonts w:ascii="Times New Roman;sans-serif" w:hAnsi="Times New Roman;sans-serif"/>
          <w:b w:val="false"/>
          <w:color w:val="000000"/>
          <w:sz w:val="20"/>
        </w:rPr>
        <w:t xml:space="preserve">, the existence, cure, or amount of any Title Benefits, Title Benefit Amounts, Defects or Defect Amounts by the Closing Date, then, subject to </w:t>
      </w:r>
      <w:r>
        <w:rPr>
          <w:rFonts w:ascii="Times New Roman;sans-serif" w:hAnsi="Times New Roman;sans-serif"/>
          <w:b w:val="false"/>
          <w:color w:val="000000"/>
          <w:sz w:val="20"/>
          <w:u w:val="single"/>
        </w:rPr>
        <w:t>Section 3.2(d)</w:t>
      </w:r>
      <w:r>
        <w:rPr>
          <w:rFonts w:ascii="Times New Roman;sans-serif" w:hAnsi="Times New Roman;sans-serif"/>
          <w:b w:val="false"/>
          <w:color w:val="000000"/>
          <w:sz w:val="20"/>
        </w:rPr>
        <w:t xml:space="preserve">, Purchaser shall deliver the Defect Escrow Amount to the Escrow Agent at Closing to be held pursuant to the terms hereof and the terms of the Escrow Agreement. If Sellers’ Representative and Purchaser are unable to agree on the interpretation and effect of this </w:t>
      </w:r>
      <w:r>
        <w:rPr>
          <w:rFonts w:ascii="Times New Roman;sans-serif" w:hAnsi="Times New Roman;sans-serif"/>
          <w:b w:val="false"/>
          <w:color w:val="000000"/>
          <w:sz w:val="20"/>
          <w:u w:val="single"/>
        </w:rPr>
        <w:t>Article 3</w:t>
      </w:r>
      <w:r>
        <w:rPr>
          <w:rFonts w:ascii="Times New Roman;sans-serif" w:hAnsi="Times New Roman;sans-serif"/>
          <w:b w:val="false"/>
          <w:color w:val="000000"/>
          <w:sz w:val="20"/>
        </w:rPr>
        <w:t xml:space="preserve">, the existence, cure or amount of any Title Benefits, Title Benefit Amounts, Defects or Defect Amounts, the Allocated Value of any Lease or Well, or any other matter related to title to the Leases or Wells by the date one hundred and ninety (190) days after the Closing Date, then, subject to </w:t>
      </w:r>
      <w:r>
        <w:rPr>
          <w:rFonts w:ascii="Times New Roman;sans-serif" w:hAnsi="Times New Roman;sans-serif"/>
          <w:b w:val="false"/>
          <w:color w:val="000000"/>
          <w:sz w:val="20"/>
          <w:u w:val="single"/>
        </w:rPr>
        <w:t>Section 3.2(f)</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3.2(g)</w:t>
      </w:r>
      <w:r>
        <w:rPr>
          <w:rFonts w:ascii="Times New Roman;sans-serif" w:hAnsi="Times New Roman;sans-serif"/>
          <w:b w:val="false"/>
          <w:color w:val="000000"/>
          <w:sz w:val="20"/>
        </w:rPr>
        <w:t xml:space="preserve">, all such disputed interpretations and effect of this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and all Title Benefits, Title Benefit Amounts, Title Defects and Defect Amounts regarding Title Defects, the Allocated Value of any Lease or Well, or any other matter related to title to the Lease or Well in dispute shall be exclusively and finally resolved pursuant to this </w:t>
      </w:r>
      <w:r>
        <w:rPr>
          <w:rFonts w:ascii="Times New Roman;sans-serif" w:hAnsi="Times New Roman;sans-serif"/>
          <w:b w:val="false"/>
          <w:color w:val="000000"/>
          <w:sz w:val="20"/>
          <w:u w:val="single"/>
        </w:rPr>
        <w:t>Section 3.2(i)</w:t>
      </w:r>
      <w:r>
        <w:rPr>
          <w:rFonts w:ascii="Times New Roman;sans-serif" w:hAnsi="Times New Roman;sans-serif"/>
          <w:b w:val="false"/>
          <w:color w:val="000000"/>
          <w:sz w:val="20"/>
        </w:rPr>
        <w:t xml:space="preserve">. During the ten (10) Business Day period following the date one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50520"/>
                <wp:effectExtent l="0" t="0" r="0" b="0"/>
                <wp:wrapNone/>
                <wp:docPr id="161" name="Frame1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hundred and ninety (190) days after the Closing Date, (A) disputes as to the interpretation and effect of this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and all Title Benefits, Title Benefit Amounts, Defects, or Defect Amounts in dispute shall be submitted to a title attorney that has at least ten (10) years’ experience in oil and gas titles in the state where the applicable Asset is located as selected by mutual agreement of Purchaser and Sellers’ Representative or absent such agreement during such ten (10) Business Day period, by the Houston, Texas office of the AAA using customary procedures of the AAA (the “</w:t>
      </w:r>
      <w:r>
        <w:rPr>
          <w:rFonts w:ascii="Times New Roman;sans-serif" w:hAnsi="Times New Roman;sans-serif"/>
          <w:b/>
          <w:i/>
          <w:color w:val="000000"/>
          <w:sz w:val="20"/>
        </w:rPr>
        <w:t>Title Referee</w:t>
      </w:r>
      <w:r>
        <w:rPr>
          <w:color w:val="000000"/>
        </w:rPr>
        <w:t>”</w:t>
      </w:r>
      <w:r>
        <w:rPr>
          <w:rFonts w:ascii="Times New Roman;sans-serif" w:hAnsi="Times New Roman;sans-serif"/>
          <w:b w:val="false"/>
          <w:color w:val="000000"/>
          <w:sz w:val="20"/>
        </w:rPr>
        <w:t>) and (B) disputes with respect to Environmental Defects or Defect Amounts regarding Environmental Defects in dispute shall be submitted to a nationally recognized independent environmental consulting firm or environmental attorney experienced in resolving Environmental Liabilities mutually acceptable to Sellers’ Representative and Purchaser or, absent such agreement during such ten (10) Business Day period, by the Houston, Texas office of the AAA (the “</w:t>
      </w:r>
      <w:r>
        <w:rPr>
          <w:rFonts w:ascii="Times New Roman;sans-serif" w:hAnsi="Times New Roman;sans-serif"/>
          <w:b/>
          <w:i/>
          <w:color w:val="000000"/>
          <w:sz w:val="20"/>
        </w:rPr>
        <w:t>Environmental Referee</w:t>
      </w:r>
      <w:r>
        <w:rPr>
          <w:color w:val="000000"/>
        </w:rPr>
        <w:t xml:space="preserve">” </w:t>
      </w:r>
      <w:r>
        <w:rPr>
          <w:rFonts w:ascii="Times New Roman;sans-serif" w:hAnsi="Times New Roman;sans-serif"/>
          <w:b w:val="false"/>
          <w:color w:val="000000"/>
          <w:sz w:val="20"/>
        </w:rPr>
        <w:t>and collectively with the Title Referee, each a “</w:t>
      </w:r>
      <w:r>
        <w:rPr>
          <w:rFonts w:ascii="Times New Roman;sans-serif" w:hAnsi="Times New Roman;sans-serif"/>
          <w:b/>
          <w:i/>
          <w:color w:val="000000"/>
          <w:sz w:val="20"/>
        </w:rPr>
        <w:t>Defect Referee</w:t>
      </w:r>
      <w:r>
        <w:rPr>
          <w:color w:val="000000"/>
        </w:rPr>
        <w:t>”</w:t>
      </w:r>
      <w:r>
        <w:rPr>
          <w:rFonts w:ascii="Times New Roman;sans-serif" w:hAnsi="Times New Roman;sans-serif"/>
          <w:b w:val="false"/>
          <w:color w:val="000000"/>
          <w:sz w:val="20"/>
        </w:rPr>
        <w:t>). The Defect Referee shall not have worked as an employee, outside counsel or consultant, or in any other capacity, for any Party or any Affiliate of any Party during the ten (10) year period preceding the arbitration or have any financial interest in the dispute.”</w:t>
      </w:r>
    </w:p>
    <w:p>
      <w:pPr>
        <w:pStyle w:val="TextBody"/>
        <w:bidi w:val="0"/>
        <w:spacing w:lineRule="auto" w:line="288" w:before="0" w:after="240"/>
        <w:ind w:left="0" w:right="0" w:hanging="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Confirmation; Compliance with Agreement</w:t>
      </w:r>
      <w:r>
        <w:rPr>
          <w:rFonts w:ascii="Times New Roman;sans-serif" w:hAnsi="Times New Roman;sans-serif"/>
          <w:b w:val="false"/>
          <w:color w:val="000000"/>
          <w:sz w:val="20"/>
        </w:rPr>
        <w:t>. Except as expressly provided in this Amendment, all of the terms and conditions of the Agreement are and will remain in full force and effect, and are hereby ratified and confirmed by the Parties. Without limiting the generality of the foregoing, the amendments contained herein will not be construed as an amendment to or waiver of any other provision of the Agreement or as a waiver of or consent to any further or future action on the part of any Party that would require the waiver or consent of any other Party. Except as expressly provided herein or in the Agreement, this Amendment shall not release, waive or excuse, and each Party shall remain responsible and liable for, such Party’s respective rights and obligations (or breach thereof) under the Agreement, as amended by this Amendment, arising prior to, on or after the date hereof. The Parties acknowledge and agree that neither Sellers nor Purchaser has waived, and this Agreement and the amendments herein shall not be construed as a waiver by either Party of, any right to dispute or assert a defense pursuant to the Agreement with respect to any matter relating to Title Benefits, Title Benefit Amounts, Title Defects and Defect Amounts regarding Title Defects, the Allocated Value of any Lease or Well, or any other matter related to title to the Lease or Well. Each reference in the Agreement to “this Agreement,” “the Agreement,” “hereunder,” “hereof,” “herein” or words of similar import will mean and be a reference to the Agreement as amended by this Amendment. By executing this Amendment, each of the Parties certifies on its own behalf that this Amendment has been executed and delivered in compliance with Section 14.9 of the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following provisions of the Agreement are hereby incorporated into and specifically made applicable to this Amendment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construing such incorporated provisions, any reference to “this Agreement” shall be deemed to refer to this Amendment):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14.2    Governing Law</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14.3    Arbitration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14.4    Headings and Construction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14.9    Amendment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14.17    Counterparts</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Pages Follow.</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undersigned have executed this Amendment on the date first set forth above.</w:t>
      </w:r>
    </w:p>
    <w:tbl>
      <w:tblPr>
        <w:tblW w:w="3258" w:type="dxa"/>
        <w:jc w:val="left"/>
        <w:tblInd w:w="0" w:type="dxa"/>
        <w:tblLayout w:type="fixed"/>
        <w:tblCellMar>
          <w:top w:w="28" w:type="dxa"/>
          <w:left w:w="28" w:type="dxa"/>
          <w:bottom w:w="28" w:type="dxa"/>
          <w:right w:w="28" w:type="dxa"/>
        </w:tblCellMar>
      </w:tblPr>
      <w:tblGrid>
        <w:gridCol w:w="124"/>
        <w:gridCol w:w="109"/>
        <w:gridCol w:w="109"/>
        <w:gridCol w:w="412"/>
        <w:gridCol w:w="412"/>
        <w:gridCol w:w="412"/>
        <w:gridCol w:w="488"/>
        <w:gridCol w:w="488"/>
        <w:gridCol w:w="7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AMEREDEV PARENT</w:t>
            </w:r>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AMEREDEV II PARENT,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Parker D. Reese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Parker D. Reese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tbl>
      <w:tblPr>
        <w:tblW w:w="3683" w:type="dxa"/>
        <w:jc w:val="left"/>
        <w:tblInd w:w="0" w:type="dxa"/>
        <w:tblLayout w:type="fixed"/>
        <w:tblCellMar>
          <w:top w:w="28" w:type="dxa"/>
          <w:left w:w="28" w:type="dxa"/>
          <w:bottom w:w="28" w:type="dxa"/>
          <w:right w:w="28" w:type="dxa"/>
        </w:tblCellMar>
      </w:tblPr>
      <w:tblGrid>
        <w:gridCol w:w="124"/>
        <w:gridCol w:w="109"/>
        <w:gridCol w:w="109"/>
        <w:gridCol w:w="520"/>
        <w:gridCol w:w="520"/>
        <w:gridCol w:w="520"/>
        <w:gridCol w:w="520"/>
        <w:gridCol w:w="520"/>
        <w:gridCol w:w="7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AMEREDEV INTERMEDIATE</w:t>
            </w:r>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AMEREDEV INTERMEDIATE II,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Parker D. Reese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Parker D. Reese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No.2 to Securities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No.2 to Securities Purchase Agreement</w:t>
                      </w:r>
                    </w:p>
                  </w:txbxContent>
                </v:textbox>
                <w10:wrap type="none"/>
              </v:rect>
            </w:pict>
          </mc:Fallback>
        </mc:AlternateContent>
      </w:r>
    </w:p>
    <w:tbl>
      <w:tblPr>
        <w:tblW w:w="6563" w:type="dxa"/>
        <w:jc w:val="left"/>
        <w:tblInd w:w="0" w:type="dxa"/>
        <w:tblLayout w:type="fixed"/>
        <w:tblCellMar>
          <w:top w:w="28" w:type="dxa"/>
          <w:left w:w="28" w:type="dxa"/>
          <w:bottom w:w="28" w:type="dxa"/>
          <w:right w:w="28" w:type="dxa"/>
        </w:tblCellMar>
      </w:tblPr>
      <w:tblGrid>
        <w:gridCol w:w="124"/>
        <w:gridCol w:w="109"/>
        <w:gridCol w:w="109"/>
        <w:gridCol w:w="254"/>
        <w:gridCol w:w="254"/>
        <w:gridCol w:w="254"/>
        <w:gridCol w:w="1593"/>
        <w:gridCol w:w="1593"/>
        <w:gridCol w:w="22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PURCHASER</w:t>
            </w:r>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TORO,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A. 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A. Erman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General Counsel and Head of M&amp;A</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No. 2 to Securities 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No. 2 to Securities Purchase Agreement</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lineRule="auto" w:line="288" w:before="0" w:after="240"/>
        <w:jc w:val="both"/>
        <w:rPr/>
      </w:pPr>
      <w:r>
        <w:rPr>
          <w:rFonts w:ascii="Times New Roman;sans-serif" w:hAnsi="Times New Roman;sans-serif"/>
          <w:b w:val="false"/>
          <w:color w:val="000000"/>
          <w:sz w:val="20"/>
        </w:rPr>
        <w:t>This Insider Trading Policy (the “</w:t>
      </w:r>
      <w:r>
        <w:rPr>
          <w:rFonts w:ascii="Times New Roman;sans-serif" w:hAnsi="Times New Roman;sans-serif"/>
          <w:b/>
          <w:i/>
          <w:color w:val="000000"/>
          <w:sz w:val="20"/>
        </w:rPr>
        <w:t>Policy</w:t>
      </w:r>
      <w:r>
        <w:rPr>
          <w:color w:val="000000"/>
        </w:rPr>
        <w:t>”</w:t>
      </w:r>
      <w:r>
        <w:rPr>
          <w:rFonts w:ascii="Times New Roman;sans-serif" w:hAnsi="Times New Roman;sans-serif"/>
          <w:b w:val="false"/>
          <w:color w:val="000000"/>
          <w:sz w:val="20"/>
        </w:rPr>
        <w:t>) sets forth the Company’s policy for directors, special advisors to the board of directors, officers, employees and in-house direct contractors (collectively, “</w:t>
      </w:r>
      <w:r>
        <w:rPr>
          <w:rFonts w:ascii="Times New Roman;sans-serif" w:hAnsi="Times New Roman;sans-serif"/>
          <w:b/>
          <w:i/>
          <w:color w:val="000000"/>
          <w:sz w:val="20"/>
        </w:rPr>
        <w:t>Subject Persons</w:t>
      </w:r>
      <w:r>
        <w:rPr>
          <w:color w:val="000000"/>
        </w:rPr>
        <w:t>”</w:t>
      </w:r>
      <w:r>
        <w:rPr>
          <w:rFonts w:ascii="Times New Roman;sans-serif" w:hAnsi="Times New Roman;sans-serif"/>
          <w:b w:val="false"/>
          <w:color w:val="000000"/>
          <w:sz w:val="20"/>
        </w:rPr>
        <w:t>) of Matador Resources Company (“</w:t>
      </w:r>
      <w:r>
        <w:rPr>
          <w:rFonts w:ascii="Times New Roman;sans-serif" w:hAnsi="Times New Roman;sans-serif"/>
          <w:b/>
          <w:i/>
          <w:color w:val="000000"/>
          <w:sz w:val="20"/>
        </w:rPr>
        <w:t>MRC</w:t>
      </w:r>
      <w:r>
        <w:rPr>
          <w:color w:val="000000"/>
        </w:rPr>
        <w:t>”</w:t>
      </w:r>
      <w:r>
        <w:rPr>
          <w:rFonts w:ascii="Times New Roman;sans-serif" w:hAnsi="Times New Roman;sans-serif"/>
          <w:b w:val="false"/>
          <w:color w:val="000000"/>
          <w:sz w:val="20"/>
        </w:rPr>
        <w:t>) and its wholly owned subsidiaries (collectively,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with respect to transactions in MRC’s securities.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Applicability of Policy</w:t>
      </w:r>
    </w:p>
    <w:p>
      <w:pPr>
        <w:pStyle w:val="TextBody"/>
        <w:bidi w:val="0"/>
        <w:spacing w:lineRule="auto" w:line="288" w:before="0" w:after="240"/>
        <w:jc w:val="both"/>
        <w:rPr/>
      </w:pPr>
      <w:r>
        <w:rPr>
          <w:rFonts w:ascii="Times New Roman;sans-serif" w:hAnsi="Times New Roman;sans-serif"/>
          <w:b w:val="false"/>
          <w:color w:val="000000"/>
          <w:sz w:val="20"/>
        </w:rPr>
        <w:t>This Policy applies to all transactions in MRC’s securities, including common stock, preferred stock, options and warrants for common stock, notes and any other securities the Company may issue from time to time, such as convertible debentures and other derivative securities relating to MRC’s stock, whether or not issued by MRC, such as exchange-traded options. It applies to all Subject Persons. The Policy also applies to family members who reside with Subject Persons, anyone else who shares a household with Subject Persons and family members who do not share a household with Subject Persons but whose transactions in the Company’s securities are directed, influenced or controlled by Subject Persons (collectively, “</w:t>
      </w:r>
      <w:r>
        <w:rPr>
          <w:rFonts w:ascii="Times New Roman;sans-serif" w:hAnsi="Times New Roman;sans-serif"/>
          <w:b/>
          <w:i/>
          <w:color w:val="000000"/>
          <w:sz w:val="20"/>
        </w:rPr>
        <w:t>Family Members</w:t>
      </w:r>
      <w:r>
        <w:rPr>
          <w:color w:val="000000"/>
        </w:rPr>
        <w:t>”</w:t>
      </w:r>
      <w:r>
        <w:rPr>
          <w:rFonts w:ascii="Times New Roman;sans-serif" w:hAnsi="Times New Roman;sans-serif"/>
          <w:b w:val="false"/>
          <w:color w:val="000000"/>
          <w:sz w:val="20"/>
        </w:rPr>
        <w:t>) as well as corporations or other business entities controlled or managed by any Subject Person or their Family Members, and trusts for which any Subject Person or Family Member is the trustee or in which any Subject Person or Family Member has a beneficial pecuniary interest (together, “</w:t>
      </w:r>
      <w:r>
        <w:rPr>
          <w:rFonts w:ascii="Times New Roman;sans-serif" w:hAnsi="Times New Roman;sans-serif"/>
          <w:b/>
          <w:i/>
          <w:color w:val="000000"/>
          <w:sz w:val="20"/>
        </w:rPr>
        <w:t>Controlled Entities</w:t>
      </w:r>
      <w:r>
        <w:rPr>
          <w:color w:val="000000"/>
        </w:rPr>
        <w:t>”</w:t>
      </w:r>
      <w:r>
        <w:rPr>
          <w:rFonts w:ascii="Times New Roman;sans-serif" w:hAnsi="Times New Roman;sans-serif"/>
          <w:b w:val="false"/>
          <w:color w:val="000000"/>
          <w:sz w:val="20"/>
        </w:rPr>
        <w:t>). This group of Subject Persons, Family Members and Controlled Entities are sometimes referred to in this Policy as “</w:t>
      </w:r>
      <w:r>
        <w:rPr>
          <w:rFonts w:ascii="Times New Roman;sans-serif" w:hAnsi="Times New Roman;sans-serif"/>
          <w:b/>
          <w:i/>
          <w:color w:val="000000"/>
          <w:sz w:val="20"/>
        </w:rPr>
        <w:t>Insiders</w:t>
      </w:r>
      <w:r>
        <w:rPr>
          <w:rFonts w:ascii="Times New Roman;sans-serif" w:hAnsi="Times New Roman;sans-serif"/>
          <w:b w:val="false"/>
          <w:color w:val="000000"/>
          <w:sz w:val="20"/>
        </w:rPr>
        <w: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General Policy</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It is against Company policy for any Subject Person to make an unauthorized disclosure of any nonpublic information acquired in the workplace. It is also against Company policy for any Subject Person to misuse Material Nonpublic Information (as defined below) in securities trading. The Company has established procedures for releasing material information in a manner that is designed to achieve broad public dissemination of the information immediately upon its release. You may not, therefore, disclose Material Nonpublic Information to anyone outside the Company, including, but not limited to, family members and friends, other than in accordance with those procedures. You also may not discuss any Material Nonpublic Information regarding the Company or its business in any internet-based or online forum. You should carefully review the Company’s Social Media Policy and abide by the guidelines set forth therein.</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Specific Policies</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1.Transacting on Material Nonpublic Information</w:t>
      </w:r>
    </w:p>
    <w:p>
      <w:pPr>
        <w:pStyle w:val="TextBody"/>
        <w:bidi w:val="0"/>
        <w:spacing w:lineRule="auto" w:line="288" w:before="0" w:after="240"/>
        <w:jc w:val="both"/>
        <w:rPr/>
      </w:pPr>
      <w:r>
        <w:rPr>
          <w:rFonts w:ascii="Times New Roman;sans-serif" w:hAnsi="Times New Roman;sans-serif"/>
          <w:b w:val="false"/>
          <w:color w:val="000000"/>
          <w:sz w:val="20"/>
        </w:rPr>
        <w:t xml:space="preserve">It is illegal and against Company policy for any Insider to transact in the securities of MRC while he or she possesses Material Nonpublic Information about the Company. Transactions subject to this Policy include purchases, sales and </w:t>
      </w:r>
      <w:r>
        <w:rPr>
          <w:rFonts w:ascii="Times New Roman;sans-serif" w:hAnsi="Times New Roman;sans-serif"/>
          <w:b w:val="false"/>
          <w:i/>
          <w:color w:val="000000"/>
          <w:sz w:val="20"/>
        </w:rPr>
        <w:t>bona fide</w:t>
      </w:r>
      <w:r>
        <w:rPr>
          <w:color w:val="000000"/>
        </w:rPr>
        <w:t xml:space="preserve"> </w:t>
      </w:r>
      <w:r>
        <w:rPr>
          <w:rFonts w:ascii="Times New Roman;sans-serif" w:hAnsi="Times New Roman;sans-serif"/>
          <w:b w:val="false"/>
          <w:color w:val="000000"/>
          <w:sz w:val="20"/>
        </w:rPr>
        <w:t>gifts.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that may be necessary or justifiable for independent reasons (such as the need to raise money for an emergency expenditure) are not excepted from the Policy. The securities laws do not recognize such mitigating circumstances, and, in any event, even the appearance of an improper transaction must be avoided to preserve the Company’s reputation for adhering to the highest standards of conduct.</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2.Short Sales</w:t>
      </w:r>
    </w:p>
    <w:p>
      <w:pPr>
        <w:pStyle w:val="TextBody"/>
        <w:bidi w:val="0"/>
        <w:spacing w:lineRule="auto" w:line="288" w:before="0" w:after="240"/>
        <w:jc w:val="both"/>
        <w:rPr/>
      </w:pPr>
      <w:r>
        <w:rPr>
          <w:rFonts w:ascii="Times New Roman;sans-serif" w:hAnsi="Times New Roman;sans-serif"/>
          <w:b w:val="false"/>
          <w:color w:val="000000"/>
          <w:sz w:val="20"/>
        </w:rPr>
        <w:t>No Insider shall engage in a short sale of MRC’s stock. Furthermore, Section 16(c) of the Securities Exchange Act of 1934 (the “</w:t>
      </w:r>
      <w:r>
        <w:rPr>
          <w:rFonts w:ascii="Times New Roman;sans-serif" w:hAnsi="Times New Roman;sans-serif"/>
          <w:b/>
          <w:i/>
          <w:color w:val="000000"/>
          <w:sz w:val="20"/>
        </w:rPr>
        <w:t>Exchange Act</w:t>
      </w:r>
      <w:r>
        <w:rPr>
          <w:color w:val="000000"/>
        </w:rPr>
        <w:t>”</w:t>
      </w:r>
      <w:r>
        <w:rPr>
          <w:rFonts w:ascii="Times New Roman;sans-serif" w:hAnsi="Times New Roman;sans-serif"/>
          <w:b w:val="false"/>
          <w:color w:val="000000"/>
          <w:sz w:val="20"/>
        </w:rPr>
        <w:t>) prohibits officers and directors from engaging in short sales. A short sale is a sale of securities not owned by the seller or, if owned, not delivered against such sale within 20 days thereafter (commonly known as a “short against the box”). Transactions in certain put and call options for MRC’s securities may in some instances constitute a short sale.</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3.Publicly Traded Options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transaction in options is, in effect, a bet on the short-term movement of MRC’s stock and therefore may create the appearance that the Subject Person is trading based on inside information. Transactions in options also may focus the Subject Person’s attention on short-term performance at the expense of the Company’s long-term objectives. Accordingly, transactions in puts, calls, equity swaps, collars or other derivative securities, on an exchange or in any other organized market, are prohibited by this Policy.</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4.Standing Orders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Standing orders should be used only for a very brief period of time. A standing order placed with a broker to sell or purchase securities at a specified price leaves you with no control over the timing of the transaction. A standing order transaction executed by the broker when you are aware of Material Nonpublic Information may result in unlawful insider trading. Transactions pursuant to a plan adopted in accordance with Rule 10b5-1 of the Exchange Act, discussed below, may be excepted from this limitation on standing orders.</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5.Hedging Transactions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Subject Person or any designee of such Subject Person shall purchase or sell, or make any offer to purchase or offer to sell, derivative securities relating to MRC’s stock, whether or not issued by MRC, or financial instruments that are designed to hedge or offset any decrease in the market value of MRC’s stock (including but not limited to prepaid variable forward contracts, equity swaps, collars and exchange funds) or otherwise engage in transactions that hedge or offset, or are designed to hedge or offset, any decrease in the market value of Company equity securities (a) granted to the Subject Person by the Company as part of the compensation of such Subject Person; or (b) held, directly or indirectly, by the Subject Person.</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6.Margin Accounts and Pledges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held in a margin account may be sold by the broker without the customer’s consent if the customer fails to meet a margin call. Similarly, securities pledged (or hypothecated) as collateral for a loan may be sold in foreclosure if the borrower defaults on the loan. A margin or foreclosure sale that occurs when the pledgor is aware of Material Nonpublic Information may, under some circumstances, result in unlawful insider trading. Because of this danger, Insiders should exercise caution in holding MRC securities in a margin account or pledging MRC securities as collateral for a loan. In order to mitigate any risk to the Insider and the Company, an Insider who has pledged shares as collateral that are later foreclosed upon or sold by the lender or broker should promptly notify the Company. In addition, certain Insiders may be required to publicly disclose the amount of MRC securities pledged as collateral for a loan. No director or executive officer shall pledge, mortgage or hypothecate more than 25% of his or her holdings of MRC stock without the prior written consent of the Environmental, Social and Corporate Governance Committee of the Board of Directors.</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7.Tipping</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Insider shall disclose (commonly known as a “tip”) Material Nonpublic Information to any other person (including family members) where such information may be used by such person to his or her profit by transacting in the securities of companies to which such information relates, nor shall such Insider or related person make recommendations or express opinions on the basis of Material Nonpublic Information as to transacting in MRC’s securities, even if such Material Nonpublic Information is not actually disclosed to such other person.</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8.Confidentiality of Nonpublic Information</w:t>
      </w:r>
    </w:p>
    <w:p>
      <w:pPr>
        <w:pStyle w:val="TextBody"/>
        <w:bidi w:val="0"/>
        <w:spacing w:lineRule="auto" w:line="288" w:before="0" w:after="240"/>
        <w:jc w:val="both"/>
        <w:rPr/>
      </w:pPr>
      <w:r>
        <w:rPr>
          <w:rFonts w:ascii="Times New Roman;sans-serif" w:hAnsi="Times New Roman;sans-serif"/>
          <w:b w:val="false"/>
          <w:color w:val="000000"/>
          <w:sz w:val="20"/>
        </w:rPr>
        <w:t>Nonpublic information relating to the Company is the property of the Company and the unauthorized disclosure of such information is forbidden. In the event any Insider receives any inquiry for information from outside the Company, such as from a stock analyst or investor, the inquiry should be referred to the Company’s Chief Executive Officer (the “</w:t>
      </w:r>
      <w:r>
        <w:rPr>
          <w:rFonts w:ascii="Times New Roman;sans-serif" w:hAnsi="Times New Roman;sans-serif"/>
          <w:b/>
          <w:i/>
          <w:color w:val="000000"/>
          <w:sz w:val="20"/>
        </w:rPr>
        <w:t>CEO</w:t>
      </w:r>
      <w:r>
        <w:rPr>
          <w:color w:val="000000"/>
        </w:rPr>
        <w:t>”</w:t>
      </w:r>
      <w:r>
        <w:rPr>
          <w:rFonts w:ascii="Times New Roman;sans-serif" w:hAnsi="Times New Roman;sans-serif"/>
          <w:b w:val="false"/>
          <w:color w:val="000000"/>
          <w:sz w:val="20"/>
        </w:rPr>
        <w:t xml:space="preserve">) or any designee of the CEO who is responsible for coordinating and overseeing the release of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such information to the investing public, analysts and others in compliance with applicable laws and regulations. See the Company’s Regulation FD Policy for details.</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9.Post-Termination Transactions</w:t>
      </w:r>
    </w:p>
    <w:p>
      <w:pPr>
        <w:pStyle w:val="TextBody"/>
        <w:bidi w:val="0"/>
        <w:spacing w:lineRule="auto" w:line="288" w:before="0" w:after="240"/>
        <w:jc w:val="both"/>
        <w:rPr/>
      </w:pPr>
      <w:r>
        <w:rPr>
          <w:rFonts w:ascii="Times New Roman;sans-serif" w:hAnsi="Times New Roman;sans-serif"/>
          <w:b w:val="false"/>
          <w:color w:val="000000"/>
          <w:sz w:val="20"/>
        </w:rPr>
        <w:t>This Policy continues to apply to your transactions in MRC securities even after you have terminated your employment, directorship or status as a special advisor or in-house direct contractor of the Company, as applicable (your “</w:t>
      </w:r>
      <w:r>
        <w:rPr>
          <w:rFonts w:ascii="Times New Roman;sans-serif" w:hAnsi="Times New Roman;sans-serif"/>
          <w:b/>
          <w:i/>
          <w:color w:val="000000"/>
          <w:sz w:val="20"/>
        </w:rPr>
        <w:t>Association</w:t>
      </w:r>
      <w:r>
        <w:rPr>
          <w:color w:val="000000"/>
        </w:rPr>
        <w:t>”</w:t>
      </w:r>
      <w:r>
        <w:rPr>
          <w:rFonts w:ascii="Times New Roman;sans-serif" w:hAnsi="Times New Roman;sans-serif"/>
          <w:b w:val="false"/>
          <w:color w:val="000000"/>
          <w:sz w:val="20"/>
        </w:rPr>
        <w:t>). If you are in possession of Material Nonpublic Information when your employment or other Association with the Company terminates, you may not transact in MRC securities until that information has become public or is no longer material. The pre-clearance procedures specified under the heading “Pre-clearance of Transactions” below, however, will cease to apply to transactions in MRC securities upon the expiration of any Black-out Period (as defined below) or other Company-imposed trading restrictions applicable at the time of the termination of service.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Potential Criminal and Civil Liability and/or Disciplinary Action</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1.Liability for Insider Trading</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federal and state securities laws, Insiders may be subject to penalties of up to $5,000,000 and up to 20 years in jail for engaging in transactions in MRC’s securities at a time when they have knowledge of Material Nonpublic Information regarding the Company.</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2.Liability for Tipping</w:t>
      </w:r>
    </w:p>
    <w:p>
      <w:pPr>
        <w:pStyle w:val="TextBody"/>
        <w:bidi w:val="0"/>
        <w:spacing w:lineRule="auto" w:line="288" w:before="0" w:after="240"/>
        <w:jc w:val="both"/>
        <w:rPr/>
      </w:pPr>
      <w:r>
        <w:rPr>
          <w:rFonts w:ascii="Times New Roman;sans-serif" w:hAnsi="Times New Roman;sans-serif"/>
          <w:b w:val="false"/>
          <w:color w:val="000000"/>
          <w:sz w:val="20"/>
        </w:rPr>
        <w:t>Insiders may also be liable for improper transactions by any person (commonly referred to as a “tippee”) to whom they have disclosed Material Nonpublic Information regarding the Company or to whom they have made recommendations or expressed opinions on the basis of such information as to trading in MRC’s securities. The Securities and Exchange Commission (the “</w:t>
      </w:r>
      <w:r>
        <w:rPr>
          <w:rFonts w:ascii="Times New Roman;sans-serif" w:hAnsi="Times New Roman;sans-serif"/>
          <w:b/>
          <w:i/>
          <w:color w:val="000000"/>
          <w:sz w:val="20"/>
        </w:rPr>
        <w:t>SEC</w:t>
      </w:r>
      <w:r>
        <w:rPr>
          <w:color w:val="000000"/>
        </w:rPr>
        <w:t>”</w:t>
      </w:r>
      <w:r>
        <w:rPr>
          <w:rFonts w:ascii="Times New Roman;sans-serif" w:hAnsi="Times New Roman;sans-serif"/>
          <w:b w:val="false"/>
          <w:color w:val="000000"/>
          <w:sz w:val="20"/>
        </w:rPr>
        <w:t>) has imposed large penalties even when the disclosing person did not profit from the trading. The SEC, the stock exchanges and the Financial Industry Regulatory Authority use sophisticated electronic surveillance techniques to uncover insider trading.</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3.Liability of Control Persons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or its supervisory personnel fail to take appropriate steps to prevent illegal insider trading, they may be subject to civil and criminal penalties.</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4.Possible Disciplinary Actions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Subject Persons who violate this Policy may also be subject to disciplinary action by the Company, which may include ineligibility for future participation in the Company’s equity incentive plans or termination of employment or other Association with the Company.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Transaction Guidelines and Requirements</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1.Black-Out Periods</w:t>
      </w:r>
    </w:p>
    <w:p>
      <w:pPr>
        <w:pStyle w:val="TextBody"/>
        <w:bidi w:val="0"/>
        <w:spacing w:lineRule="auto" w:line="288" w:before="0" w:after="240"/>
        <w:jc w:val="both"/>
        <w:rPr/>
      </w:pPr>
      <w:r>
        <w:rPr>
          <w:rFonts w:ascii="Times New Roman;sans-serif" w:hAnsi="Times New Roman;sans-serif"/>
          <w:b w:val="false"/>
          <w:color w:val="000000"/>
          <w:sz w:val="20"/>
        </w:rPr>
        <w:t>The period beginning after the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of the last month of a fiscal quarter and ending at the commencement of trading on the next Trading Day (i.e., a day on which the New York Stock Exchange is open for trading) following two full Trading Days after the date of public disclosure of the financial results for that fiscal quarter is a particularly sensitive period of time for transactions in the Company’s stock from the perspective of compliance with applicable securities laws. This sensitivity arises because Insiders will often possess Material Nonpublic Information about the expected financial results for the quarter during that period. Accordingly, this period of time is referred to as a “black-out” period (“</w:t>
      </w:r>
      <w:r>
        <w:rPr>
          <w:rFonts w:ascii="Times New Roman;sans-serif" w:hAnsi="Times New Roman;sans-serif"/>
          <w:b/>
          <w:i/>
          <w:color w:val="000000"/>
          <w:sz w:val="20"/>
        </w:rPr>
        <w:t>Black-Out Period</w:t>
      </w:r>
      <w:r>
        <w:rPr>
          <w:color w:val="000000"/>
        </w:rPr>
        <w:t>”</w:t>
      </w:r>
      <w:r>
        <w:rPr>
          <w:rFonts w:ascii="Times New Roman;sans-serif" w:hAnsi="Times New Roman;sans-serif"/>
          <w:b w:val="false"/>
          <w:color w:val="000000"/>
          <w:sz w:val="20"/>
        </w:rPr>
        <w:t>). Accordingly, all directors, executive officers subject to Section 16 of the Exchange Act (“</w:t>
      </w:r>
      <w:r>
        <w:rPr>
          <w:rFonts w:ascii="Times New Roman;sans-serif" w:hAnsi="Times New Roman;sans-serif"/>
          <w:b/>
          <w:i/>
          <w:color w:val="000000"/>
          <w:sz w:val="20"/>
        </w:rPr>
        <w:t>executive officers</w:t>
      </w:r>
      <w:r>
        <w:rPr>
          <w:color w:val="000000"/>
        </w:rPr>
        <w:t>”</w:t>
      </w:r>
      <w:r>
        <w:rPr>
          <w:rFonts w:ascii="Times New Roman;sans-serif" w:hAnsi="Times New Roman;sans-serif"/>
          <w:b w:val="false"/>
          <w:color w:val="000000"/>
          <w:sz w:val="20"/>
        </w:rPr>
        <w:t xml:space="preserve">), and certain individuals identified from time to time in </w:t>
      </w:r>
      <w:r>
        <w:rPr>
          <w:rFonts w:ascii="Times New Roman;sans-serif" w:hAnsi="Times New Roman;sans-serif"/>
          <w:b w:val="false"/>
          <w:color w:val="000000"/>
          <w:sz w:val="20"/>
          <w:u w:val="single"/>
        </w:rPr>
        <w:t>Attachment 1</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i/>
          <w:color w:val="000000"/>
          <w:sz w:val="20"/>
        </w:rPr>
        <w:t>Other Individuals</w:t>
      </w:r>
      <w:r>
        <w:rPr>
          <w:color w:val="000000"/>
        </w:rPr>
        <w:t>”</w:t>
      </w:r>
      <w:r>
        <w:rPr>
          <w:rFonts w:ascii="Times New Roman;sans-serif" w:hAnsi="Times New Roman;sans-serif"/>
          <w:b w:val="false"/>
          <w:color w:val="000000"/>
          <w:sz w:val="20"/>
        </w:rPr>
        <w:t>) are prohibited from transacting during such period.</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It is understood that even outside of Black-Out Periods, the Company may also prohibit all or certain Subject Persons from transacting in securities of the Company because of material developments known to the Company and not yet disclosed to the public. Accordingly, upon receipt of written notice by email or otherwise from the General Counsel, all such designated directors, executive officers and Other Individuals and any other designated employees or contractors of the Company may not engage in any transaction involving MRC’s securities and may not disclose to any others the fact of such suspension until notified otherwise by the General Counsel.</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may prohibit executive officers and directors from directly or indirectly transacting in MRC securities during a Pension Plan Blackout Period pursuant to the Department of Labor rules and may temporarily prevent plan participants or beneficiaries from engaging in equity securities transactions (other than with respect to exempt securities) through their plan accounts.</w:t>
      </w:r>
    </w:p>
    <w:p>
      <w:pPr>
        <w:pStyle w:val="TextBody"/>
        <w:bidi w:val="0"/>
        <w:spacing w:lineRule="auto" w:line="288" w:before="0" w:after="240"/>
        <w:jc w:val="both"/>
        <w:rPr/>
      </w:pPr>
      <w:r>
        <w:rPr>
          <w:rFonts w:ascii="Times New Roman;sans-serif" w:hAnsi="Times New Roman;sans-serif"/>
          <w:b/>
          <w:color w:val="000000"/>
          <w:sz w:val="20"/>
        </w:rPr>
        <w:t xml:space="preserve">It should be noted, however, that even outside of a Black-Out Period, any person possessing Material Nonpublic Information concerning the Company should not engage in any transactions, except for those exceptions listed below, in MRC’s securities until such information has been known publicly for at least two Trading Days. Trading in MRC’s securities outside of a Black-Out Period should </w:t>
      </w:r>
      <w:r>
        <w:rPr>
          <w:rFonts w:ascii="Times New Roman;sans-serif" w:hAnsi="Times New Roman;sans-serif"/>
          <w:b/>
          <w:color w:val="000000"/>
          <w:sz w:val="20"/>
          <w:u w:val="single"/>
        </w:rPr>
        <w:t>not</w:t>
      </w:r>
      <w:r>
        <w:rPr>
          <w:color w:val="000000"/>
        </w:rPr>
        <w:t xml:space="preserve"> </w:t>
      </w:r>
      <w:r>
        <w:rPr>
          <w:rFonts w:ascii="Times New Roman;sans-serif" w:hAnsi="Times New Roman;sans-serif"/>
          <w:b/>
          <w:color w:val="000000"/>
          <w:sz w:val="20"/>
        </w:rPr>
        <w:t>be considered a “safe harbor,” and all directors, executive officers and Other Individuals should use good judgment at all times and pre-clear all transactions in accordance with the following paragraph.</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2.Pre-clearance of Transactions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all directors, executive officers and Other Individuals must refrain from transacting in MRC’s securities without first complying with the Company’s “pre-clearance” process, even if there is not a Black-Out Period. Each such person should contact the General Counsel prior to commencing any transaction in MRC’s securities to obtain pre-approval. The General Counsel will consult as necessary with senior management of the Company before clearing any proposed transaction.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When a request for pre-clearance is made, the requestor should carefully consider whether he or she may be aware of any Material Nonpublic Information about the Company, and should describe fully those circumstances to the General Counsel. The requestor should also indicate whether he or she has effected any non-exempt “opposite-way” transactions within the past six months, and should be prepared to report the proposed transaction on an appropriate Form 4 or Form 5. The requestor should also be prepared to comply with Rule 144 under the Securities Act of 1933, as amended, and file a Form 144, if necessary, at the time of any sale.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 transaction is approved under the pre-clearance policy, the transaction must be executed by the end of the third full Trading Day after the approval is obtained, but regardless may not be executed if you acquire Material Nonpublic Information concerning the Company during that time. If a transaction is not completed within the period described above, the transaction must be approved again before it may be executed. If a proposed transaction is not approved under this pre-clearance process, no transaction in Company stock can be initiated, and no one within or outside of the Company should be informed of the restriction. Any transaction under a Rule 10b5-1 trading plan (discussed below) will not require pre-clearance at the time of the transaction.</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3.Individual Responsibility</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Every Subject Person has the individual responsibility to comply with this Policy against insider trading. An Insider may, from time to time, have to forego a proposed transaction in MRC’s securities even if he or she planned to make the transaction before learning of the Material Nonpublic Information and even though the Insider believes he or she may suffer an economic loss or forego anticipated profit by waiting. Each Subject Person is also responsible for making sure that any Family Member and Controlled Entity also complies with this Policy. In all cases, the responsibility for determining whether an individual is in possession of Material Nonpublic Information rests with that individual, and any action on the part of the Company, the General Counsel or any other employee or director pursuant to this Policy (or otherwise) does not in any way constitute legal advice or insulate an individual from liability under applicable securities laws. You could be subject to legal penalties and disciplinary action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Company for any conduct prohibited by this Policy or applicable securities laws, as described above under the heading “Potential Criminal and Civil Liability and/or Disciplinary Action.”</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Applicability of Policy to Inside Information Regarding Other Companies</w:t>
      </w:r>
    </w:p>
    <w:p>
      <w:pPr>
        <w:pStyle w:val="TextBody"/>
        <w:bidi w:val="0"/>
        <w:spacing w:lineRule="auto" w:line="288" w:before="0" w:after="240"/>
        <w:jc w:val="both"/>
        <w:rPr/>
      </w:pPr>
      <w:r>
        <w:rPr>
          <w:rFonts w:ascii="Times New Roman;sans-serif" w:hAnsi="Times New Roman;sans-serif"/>
          <w:b w:val="false"/>
          <w:color w:val="000000"/>
          <w:sz w:val="20"/>
        </w:rPr>
        <w:t>This Policy also applies to Material Nonpublic Information relating to other companies with which the Company conducts business (“</w:t>
      </w:r>
      <w:r>
        <w:rPr>
          <w:rFonts w:ascii="Times New Roman;sans-serif" w:hAnsi="Times New Roman;sans-serif"/>
          <w:b/>
          <w:i/>
          <w:color w:val="000000"/>
          <w:sz w:val="20"/>
        </w:rPr>
        <w:t>business partners</w:t>
      </w:r>
      <w:r>
        <w:rPr>
          <w:color w:val="000000"/>
        </w:rPr>
        <w:t>”</w:t>
      </w:r>
      <w:r>
        <w:rPr>
          <w:rFonts w:ascii="Times New Roman;sans-serif" w:hAnsi="Times New Roman;sans-serif"/>
          <w:b w:val="false"/>
          <w:color w:val="000000"/>
          <w:sz w:val="20"/>
        </w:rPr>
        <w:t>), including proposed business combinations, when that information is obtained in the course of employment with, or other services performed on behalf of, the Company. Civil and criminal penalties, and termination of employment or other Association with the Company, may result from trading on inside information regarding the Company’s business partners. All Subject Persons should treat Material Nonpublic Information about the Company’s business partners with the same care required with respect to information related directly to the Company. Similarly, you must not discuss Material Nonpublic Information relating to the Company’s business partners in Internet-based forums, chat rooms or social media.</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Definition of “Material Nonpublic Information”</w:t>
      </w:r>
    </w:p>
    <w:p>
      <w:pPr>
        <w:pStyle w:val="TextBody"/>
        <w:bidi w:val="0"/>
        <w:spacing w:lineRule="auto" w:line="288" w:before="0" w:after="240"/>
        <w:jc w:val="both"/>
        <w:rPr/>
      </w:pPr>
      <w:r>
        <w:rPr>
          <w:rFonts w:ascii="Times New Roman;sans-serif" w:hAnsi="Times New Roman;sans-serif"/>
          <w:b/>
          <w:color w:val="000000"/>
          <w:sz w:val="20"/>
        </w:rPr>
        <w:t xml:space="preserve">Material Information. </w:t>
      </w:r>
      <w:r>
        <w:rPr>
          <w:rFonts w:ascii="Times New Roman;sans-serif" w:hAnsi="Times New Roman;sans-serif"/>
          <w:b w:val="false"/>
          <w:color w:val="000000"/>
          <w:sz w:val="20"/>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MRC’s securities.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 but are not limited to:</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Financial results, including material changes in revenues or operations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Known but unannounced future earnings or losses, or estimates or projections of future earnings or losses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Execution or termination of significant contracts with business partners or other parties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Pending or proposed mergers, acquisitions or joint ventures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The disposition, construction or acquisition of significant assets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Impending bankruptcy or financial liquidity problems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Positive or negative well results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Positive or negative reserve modifications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Significant developments involving corporate relationships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Plans for significant capital investments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Changes in dividend policy</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New project announcements or policies of a significant nature</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Significant actual or potential cybersecurity incidents or events that affect the Company or third-party providers that support the Company’s business operations, including computer system or network compromises, viruses or other destructive software and data breach incidents that may disclose personal, business or other confidential information</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Stock splits or other recapitalizations</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New equity or debt offerings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Redemptions or repurchases by the Company of its securities</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Positive or negative developments in outstanding litigation</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Significant litigation exposure due to actual or threatened litigation</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0"/>
        </w:rPr>
        <w:t>Changes in senior management, the Company’s auditors or the Board of Directors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Either positive or negative information may be material.</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If you are unsure whether information is material, you should either (1) consult the General Counsel before making any decision to disclose such information (other than to persons who need to know it) or to transact in or recommend securities to which that information relates or (2) assume that the information is material.</w:t>
      </w:r>
    </w:p>
    <w:p>
      <w:pPr>
        <w:pStyle w:val="TextBody"/>
        <w:bidi w:val="0"/>
        <w:spacing w:lineRule="auto" w:line="288" w:before="0" w:after="240"/>
        <w:jc w:val="both"/>
        <w:rPr/>
      </w:pPr>
      <w:r>
        <w:rPr>
          <w:rFonts w:ascii="Times New Roman;sans-serif" w:hAnsi="Times New Roman;sans-serif"/>
          <w:b/>
          <w:color w:val="000000"/>
          <w:sz w:val="20"/>
        </w:rPr>
        <w:t xml:space="preserve">Nonpublic Information. </w:t>
      </w:r>
      <w:r>
        <w:rPr>
          <w:rFonts w:ascii="Times New Roman;sans-serif" w:hAnsi="Times New Roman;sans-serif"/>
          <w:b w:val="false"/>
          <w:color w:val="000000"/>
          <w:sz w:val="20"/>
        </w:rPr>
        <w:t>Nonpublic information is information that has not been previously disclosed to the general public and is otherwise not available to the general public. The fact that information has been disclosed to a few members of the public does not make it public for insider trading purposes. We consider information to be available to the public only when: (1) it has been released to the public by the Company through appropriate channels designed to reach investors generally (e.g., by means of a press release, SEC filing or a widely disseminated statement from a senior officer); and (2) enough time has elapsed to permit the investment market to absorb and evaluate the information. As a general rule, you should consider information to be nonpublic until two full Trading Days have lapsed following public disclosure.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Certain Exceptions</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1.Employee Equity Awards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does not apply to the exercise of an employee stock option or vesting or settlement of restricted stock or restricted stock units acquired pursuant to a Company plan if the shares acquired are held rather than sold into the public market, or to the exercise of a tax withholding right pursuant to which you elect to have the Company withhold shares subject to an option exercise or vesting or settlement of restricted stock or restricted stock units to satisfy tax withholding requirements. This Policy does apply, however, to any sale of stock as part of a broker-assisted cashless exercise of an option, or any other market sale for the purpose of generating the cash needed to pay the exercise price of an option or to pay any tax liability.</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2.401(k) Plan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does not apply to transactions in MRC’s stock in the 401(k) plan resulting from your periodic contribution of money to the plan pursuant to your payroll deduction election. This Policy does apply to certain elections you may make under the 401(k) plan.</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3.Employee Stock Purchase Plan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does not apply to transactions in MRC’s stock in an employee stock purchase plan resulting from your periodic contribution of money to the plan pursuant to the election you made at the time of your enrollment in the plan. This Policy also does not apply to purchases of MRC’s stock resulting from lump sum contributions to the plan, provided that you elected to participate by lump-sum payment at the beginning of the applicable enrollment period.</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4.Pre-Arranged Trading Programs</w:t>
      </w:r>
    </w:p>
    <w:p>
      <w:pPr>
        <w:pStyle w:val="TextBody"/>
        <w:bidi w:val="0"/>
        <w:spacing w:lineRule="auto" w:line="288" w:before="0" w:after="240"/>
        <w:jc w:val="both"/>
        <w:rPr/>
      </w:pPr>
      <w:r>
        <w:rPr>
          <w:rFonts w:ascii="Times New Roman;sans-serif" w:hAnsi="Times New Roman;sans-serif"/>
          <w:b w:val="false"/>
          <w:color w:val="000000"/>
          <w:sz w:val="20"/>
        </w:rPr>
        <w:t xml:space="preserve">Rule 10b5-1 of the Exchange Act provides an affirmative defense against insider trading liability for a transaction, including a </w:t>
      </w:r>
      <w:r>
        <w:rPr>
          <w:rFonts w:ascii="Times New Roman;sans-serif" w:hAnsi="Times New Roman;sans-serif"/>
          <w:b w:val="false"/>
          <w:i/>
          <w:color w:val="000000"/>
          <w:sz w:val="20"/>
        </w:rPr>
        <w:t>bona fide</w:t>
      </w:r>
      <w:r>
        <w:rPr>
          <w:color w:val="000000"/>
        </w:rPr>
        <w:t xml:space="preserve"> </w:t>
      </w:r>
      <w:r>
        <w:rPr>
          <w:rFonts w:ascii="Times New Roman;sans-serif" w:hAnsi="Times New Roman;sans-serif"/>
          <w:b w:val="false"/>
          <w:color w:val="000000"/>
          <w:sz w:val="20"/>
        </w:rPr>
        <w:t>gift, done pursuant to a written plan, or a binding contract or instruction, entered into in good faith at a time when the Insider was not aware of Material Nonpublic Information, even though the transaction in question may occur at a time when the Insider is aware of Material Nonpublic Information.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in appropriate circumstances, permit executive officers, directors or Other Individuals to enter into a trading program that complies with Rule 10b5-1. If you are subject to the pre-clearance procedures or the Black-Out Periods of this Policy and you wish to establish a trading program, you must pre-clear it with the General Counsel. In general, a Rule 10b5-1 trading program must be entered into at a time when the person entering into the plan is not aware of Material Nonpublic Information. The program must include the required cooling-off period before transactions can commence.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In addition, any modification or termination of the Rule 10b5-1 trading program will require new pre-approval from the General Counsel. With respect to arrangements that result or may result in transactions taking place during Black-Out Periods, the General Counsel will review such arrangements in light of guidelines that it from time to time establishes, with input, if appropriate, from Company legal counsel.</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Inquiries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who has a question about this Policy or its application to any proposed transaction may obtain additional guidance from the General Counsel. Ultimately, however, the responsibility for adhering to this Policy and avoiding unlawful transactions rests with the individual Subject Person.</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All directors, officers, employees and in-house contractors must certify their understanding of, and intent to comply with, this Policy.</w:t>
      </w:r>
    </w:p>
    <w:p>
      <w:pPr>
        <w:pStyle w:val="TextBody"/>
        <w:bidi w:val="0"/>
        <w:spacing w:before="0" w:after="240"/>
        <w:jc w:val="both"/>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Effective as of October 17, 2024.</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ATTACHMENT 1</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br/>
        <w:t>PERSONNEL SUBJECT TO PRE-CLEARANCE</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1.Members of the Company’s Board of Directors</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2.Special advisors to the Company’s Board of Directors</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3.Executive Officers of the Company</w:t>
      </w:r>
    </w:p>
    <w:p>
      <w:pPr>
        <w:pStyle w:val="TextBody"/>
        <w:bidi w:val="0"/>
        <w:spacing w:lineRule="auto" w:line="240"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4.Additional Employees and In-House Direct Contractors Subject to Pre-Clearance of Transactions</w:t>
      </w:r>
    </w:p>
    <w:p>
      <w:pPr>
        <w:pStyle w:val="TextBody"/>
        <w:bidi w:val="0"/>
        <w:spacing w:lineRule="auto" w:line="288" w:before="0" w:after="240"/>
        <w:jc w:val="left"/>
        <w:rPr/>
      </w:pPr>
      <w:r>
        <w:rPr>
          <w:rFonts w:ascii="Times New Roman;sans-serif" w:hAnsi="Times New Roman;sans-serif"/>
          <w:b w:val="false"/>
          <w:color w:val="000000"/>
          <w:sz w:val="20"/>
          <w:u w:val="single"/>
        </w:rPr>
        <w:t>Name</w:t>
      </w:r>
      <w:r>
        <w:rPr>
          <w:color w:val="000000"/>
        </w:rPr>
        <w:t>    </w:t>
      </w:r>
      <w:r>
        <w:rPr>
          <w:rFonts w:ascii="Times New Roman;sans-serif" w:hAnsi="Times New Roman;sans-serif"/>
          <w:b w:val="false"/>
          <w:color w:val="000000"/>
          <w:sz w:val="20"/>
          <w:u w:val="single"/>
        </w:rPr>
        <w:t>Title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ALL EMPLOYEES AND IN-HOUSE DIRECT CONTRACTORS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well as such other persons as designated by the CEO from time to time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21.1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MATADOR RESOURCES COMPANY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List of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of December 31, 2024</w:t>
      </w:r>
    </w:p>
    <w:tbl>
      <w:tblPr>
        <w:tblW w:w="6343" w:type="dxa"/>
        <w:jc w:val="center"/>
        <w:tblInd w:w="0" w:type="dxa"/>
        <w:tblLayout w:type="fixed"/>
        <w:tblCellMar>
          <w:top w:w="28" w:type="dxa"/>
          <w:left w:w="28" w:type="dxa"/>
          <w:bottom w:w="28" w:type="dxa"/>
          <w:right w:w="28" w:type="dxa"/>
        </w:tblCellMar>
      </w:tblPr>
      <w:tblGrid>
        <w:gridCol w:w="1790"/>
        <w:gridCol w:w="1565"/>
        <w:gridCol w:w="1595"/>
        <w:gridCol w:w="109"/>
        <w:gridCol w:w="109"/>
        <w:gridCol w:w="109"/>
        <w:gridCol w:w="312"/>
        <w:gridCol w:w="312"/>
        <w:gridCol w:w="442"/>
      </w:tblGrid>
      <w:tr>
        <w:trPr/>
        <w:tc>
          <w:tcPr>
            <w:tcW w:w="179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Jurisdiction</w:t>
            </w:r>
          </w:p>
        </w:tc>
      </w:tr>
      <w:tr>
        <w:trPr/>
        <w:tc>
          <w:tcPr>
            <w:tcW w:w="4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Water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Greyhound Midstream,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Greyhound Resources,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Gathering and Disposal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Delaware,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South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Southeast,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Matador Production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Delaware Resources,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South Texas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Southeast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Hat Mesa,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Permian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Rockies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Royalties,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Toro,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Pronto Midstream,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Pronto Midstream Finance,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Black River Oil Pipeline,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Black River Oil Pipeline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Black River Water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DLK Black River Midstream,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Midstream,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RB Pipeline,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Stateline Water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Stebbins Water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Wolf Pipeline,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Mateo Wolf Water Resources,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Southeast Water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 Permian,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Toro Midstream,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Toro Pipeline,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 Permian,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Note: Inclusion of an entity on the list of subsidiaries is not a representation that such subsidiary is a significant subsidiary.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240" w:after="283"/>
        <w:jc w:val="right"/>
        <w:rPr/>
      </w:pPr>
      <w:r>
        <w:rPr/>
      </w:r>
    </w:p>
    <w:p>
      <w:pPr>
        <w:pStyle w:val="TextBody"/>
        <w:bidi w:val="0"/>
        <w:spacing w:lineRule="auto" w:line="288" w:before="240" w:after="30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(Nos. 333-204868, 333-231989, 333-180641 and 333-266409) on Form S-8 and registration statement (No. 333-278215) on Form S-3 of our reports dated February 25, 2025, with respect to the consolidated financial statements of Matador Resources Company and the effectiveness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bidi w:val="0"/>
        <w:spacing w:before="100" w:after="283"/>
        <w:jc w:val="left"/>
        <w:rPr/>
      </w:pPr>
      <w:r>
        <w:rPr/>
      </w:r>
    </w:p>
    <w:p>
      <w:pPr>
        <w:pStyle w:val="TextBody"/>
        <w:bidi w:val="0"/>
        <w:spacing w:before="0" w:after="0"/>
        <w:jc w:val="right"/>
        <w:rPr/>
      </w:pPr>
      <w:r>
        <w:rPr/>
      </w:r>
    </w:p>
    <w:p>
      <w:pPr>
        <w:pStyle w:val="TextBody"/>
        <w:bidi w:val="0"/>
        <w:spacing w:lineRule="auto" w:line="288" w:before="0" w:after="0"/>
        <w:jc w:val="center"/>
        <w:rPr/>
      </w:pPr>
      <w:r>
        <w:rPr>
          <w:color w:val="000000"/>
        </w:rPr>
        <w:t> </w:t>
      </w:r>
      <w:r>
        <w:rPr>
          <w:rFonts w:ascii="Arial;sans-serif" w:hAnsi="Arial;sans-serif"/>
          <w:b w:val="false"/>
          <w:color w:val="000000"/>
          <w:sz w:val="20"/>
          <w:u w:val="single"/>
        </w:rPr>
        <w:t>CONSENT OF INDEPENDENT PETROLEUM ENGINEERS AND GEOLOGISTS</w:t>
      </w:r>
    </w:p>
    <w:p>
      <w:pPr>
        <w:pStyle w:val="TextBody"/>
        <w:bidi w:val="0"/>
        <w:spacing w:lineRule="auto" w:line="288" w:before="180" w:after="283"/>
        <w:jc w:val="both"/>
        <w:rPr/>
      </w:pPr>
      <w:r>
        <w:rPr>
          <w:rFonts w:ascii="Arial;sans-serif" w:hAnsi="Arial;sans-serif"/>
          <w:b w:val="false"/>
          <w:color w:val="000000"/>
          <w:sz w:val="20"/>
        </w:rPr>
        <w:t>We hereby consent to the use of the name Netherland, Sewell &amp; Associates, Inc.; the references to our audit of Matador Resources Company’s proved oil and natural gas reserves estimates and future net revenue at December 31, 2024; and the inclusion of our corresponding audit le</w:t>
      </w:r>
      <w:r>
        <w:rPr>
          <w:rFonts w:ascii="Arial;sans-serif" w:hAnsi="Arial;sans-serif"/>
          <w:b w:val="false"/>
          <w:color w:val="000000"/>
          <w:sz w:val="20"/>
          <w:shd w:fill="FFFFFF" w:val="clear"/>
        </w:rPr>
        <w:t>tter, dated January 20, 2025,</w:t>
      </w:r>
      <w:r>
        <w:rPr>
          <w:color w:val="000000"/>
        </w:rPr>
        <w:t xml:space="preserve"> </w:t>
      </w:r>
      <w:r>
        <w:rPr>
          <w:rFonts w:ascii="Arial;sans-serif" w:hAnsi="Arial;sans-serif"/>
          <w:b w:val="false"/>
          <w:color w:val="000000"/>
          <w:sz w:val="20"/>
        </w:rPr>
        <w:t>in this Annual Report on Form 10-K of Matador Resources Company for the fiscal year ended December 31, 2024, as well as in the notes to the financial statements included therein. In addition, we hereby consent to the incorporation by reference of our audit let</w:t>
      </w:r>
      <w:r>
        <w:rPr>
          <w:rFonts w:ascii="Arial;sans-serif" w:hAnsi="Arial;sans-serif"/>
          <w:b w:val="false"/>
          <w:color w:val="000000"/>
          <w:sz w:val="20"/>
          <w:shd w:fill="FFFFFF" w:val="clear"/>
        </w:rPr>
        <w:t>ter, dated January 20, 2025, i</w:t>
      </w:r>
      <w:r>
        <w:rPr>
          <w:rFonts w:ascii="Arial;sans-serif" w:hAnsi="Arial;sans-serif"/>
          <w:b w:val="false"/>
          <w:color w:val="000000"/>
          <w:sz w:val="20"/>
        </w:rPr>
        <w:t>n Matador Resources Company’s Forms S-8 (File No. 333-180641, File No. 333-204868, File No. 333-231989 and File No. 333-266409) and Form S-3 (File No. 333-278215).</w:t>
      </w:r>
    </w:p>
    <w:p>
      <w:pPr>
        <w:pStyle w:val="TextBody"/>
        <w:bidi w:val="0"/>
        <w:spacing w:lineRule="auto" w:line="288" w:before="0" w:after="0"/>
        <w:jc w:val="right"/>
        <w:rPr>
          <w:color w:val="000000"/>
        </w:rPr>
      </w:pPr>
      <w:r>
        <w:rPr>
          <w:color w:val="000000"/>
        </w:rPr>
        <w:t> </w:t>
      </w:r>
    </w:p>
    <w:tbl>
      <w:tblPr>
        <w:tblW w:w="6276" w:type="dxa"/>
        <w:jc w:val="right"/>
        <w:tblInd w:w="0" w:type="dxa"/>
        <w:tblLayout w:type="fixed"/>
        <w:tblCellMar>
          <w:top w:w="28" w:type="dxa"/>
          <w:left w:w="28" w:type="dxa"/>
          <w:bottom w:w="28" w:type="dxa"/>
          <w:right w:w="28" w:type="dxa"/>
        </w:tblCellMar>
      </w:tblPr>
      <w:tblGrid>
        <w:gridCol w:w="532"/>
        <w:gridCol w:w="468"/>
        <w:gridCol w:w="468"/>
        <w:gridCol w:w="468"/>
        <w:gridCol w:w="468"/>
        <w:gridCol w:w="468"/>
        <w:gridCol w:w="996"/>
        <w:gridCol w:w="996"/>
        <w:gridCol w:w="1412"/>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NETHERLAND, SEWELL &amp; ASSOCIATES, INC.</w:t>
            </w:r>
          </w:p>
        </w:tc>
      </w:tr>
      <w:tr>
        <w:trPr/>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 xml:space="preserve">/s/ Eric J. Stevens </w:t>
            </w:r>
          </w:p>
        </w:tc>
      </w:tr>
      <w:tr>
        <w:trPr/>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Eric J. Stevens, P.E.</w:t>
            </w:r>
          </w:p>
        </w:tc>
      </w:tr>
      <w:tr>
        <w:trPr/>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Operating Officer</w:t>
            </w:r>
          </w:p>
        </w:tc>
      </w:tr>
    </w:tbl>
    <w:p>
      <w:pPr>
        <w:pStyle w:val="TextBody"/>
        <w:bidi w:val="0"/>
        <w:spacing w:before="0" w:after="0"/>
        <w:jc w:val="center"/>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Dallas, Texas</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February 25,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Joseph Wm. Foran, certify that: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Matador Resources Company;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185"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951"/>
        <w:gridCol w:w="951"/>
        <w:gridCol w:w="135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Brian J. Willey, certify that: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Matador Resources Company;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370"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1295"/>
        <w:gridCol w:w="1295"/>
        <w:gridCol w:w="1849"/>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br/>
              <w:t>Executive Vice President and 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Matador Resources Company (the “Company”) on Form 10-K for the year ended December 31, 2024 as filed with the Securities and Exchange Commission on the date hereof (the “Form 10-K”), I, Joseph Wm. Foran, Chairman and Chief Executive Officer of the Company, hereby certify, pursuant to 18 U.S.C. § 1350, as adopted pursuant to §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Form 10-K fully complies with the requirements of Section 13(a) or 15(d) of the Securities Exchange Act of 1934; and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10-K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185"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951"/>
        <w:gridCol w:w="951"/>
        <w:gridCol w:w="1352"/>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Matador Resources Company (the “Company”) on Form 10-K for the year ended December 31, 2024 as filed with the Securities and Exchange Commission on the date hereof (the “Form 10-K”), I, Brian J. Willey, Executive Vice President and Chief Financial Officer of the Company, hereby certify, pursuant to 18 U.S.C. § 1350, as adopted pursuant to §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Form 10-K fully complies with the requirements of Section 13(a) or 15(d) of the Securities Exchange Act of 1934; and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10-K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370"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1295"/>
        <w:gridCol w:w="1295"/>
        <w:gridCol w:w="1849"/>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[Netherland, Sewell &amp; Associates, Inc. Letterhead]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January 20,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Mr. Tanner Schulz</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MRC Energy Company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One Lincoln Centre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5400 LBJ Freeway, Suite 1500</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Dallas, Texas 75240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Dear Mr. Schulz:</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accordance with your request, we have audited the estimates prepared by MRC Energy Company (MRC), as of December 31, 2024, of the proved reserves and future revenue to the MRC interest in certain oil and gas properties located in Louisiana, New Mexico, and Texas. It is our understanding that the proved reserves estimates shown herein constitute all of the proved reserves owned by MRC.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conform to the FASB Accounting Standards Codification Topic 932, Extractive Activities—Oil and Gas, except that per-well overhead expenses are excluded for the operated properties and future income taxes are excluded for all properties. We completed our audit on or about the date of this letter. This report has been prepared for MRC's use in filing with the SEC; in our opinion the assumptions, data, methods, and procedures used in the preparation of this report are appropriate for such purpose.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sets forth MRC's estimates of the net reserves and future net revenue, as of December 31, 2024, for the audited properties:</w:t>
      </w:r>
    </w:p>
    <w:p>
      <w:pPr>
        <w:pStyle w:val="TextBody"/>
        <w:bidi w:val="0"/>
        <w:spacing w:before="0" w:after="0"/>
        <w:jc w:val="both"/>
        <w:rPr/>
      </w:pPr>
      <w:r>
        <w:rPr/>
      </w:r>
    </w:p>
    <w:tbl>
      <w:tblPr>
        <w:tblW w:w="9584" w:type="dxa"/>
        <w:jc w:val="center"/>
        <w:tblInd w:w="0" w:type="dxa"/>
        <w:tblLayout w:type="fixed"/>
        <w:tblCellMar>
          <w:top w:w="28" w:type="dxa"/>
          <w:left w:w="28" w:type="dxa"/>
          <w:bottom w:w="28" w:type="dxa"/>
          <w:right w:w="28" w:type="dxa"/>
        </w:tblCellMar>
      </w:tblPr>
      <w:tblGrid>
        <w:gridCol w:w="1099"/>
        <w:gridCol w:w="970"/>
        <w:gridCol w:w="976"/>
        <w:gridCol w:w="109"/>
        <w:gridCol w:w="109"/>
        <w:gridCol w:w="109"/>
        <w:gridCol w:w="355"/>
        <w:gridCol w:w="302"/>
        <w:gridCol w:w="304"/>
        <w:gridCol w:w="143"/>
        <w:gridCol w:w="143"/>
        <w:gridCol w:w="143"/>
        <w:gridCol w:w="372"/>
        <w:gridCol w:w="372"/>
        <w:gridCol w:w="382"/>
        <w:gridCol w:w="109"/>
        <w:gridCol w:w="109"/>
        <w:gridCol w:w="109"/>
        <w:gridCol w:w="564"/>
        <w:gridCol w:w="417"/>
        <w:gridCol w:w="250"/>
        <w:gridCol w:w="248"/>
        <w:gridCol w:w="248"/>
        <w:gridCol w:w="248"/>
        <w:gridCol w:w="408"/>
        <w:gridCol w:w="408"/>
        <w:gridCol w:w="578"/>
      </w:tblGrid>
      <w:tr>
        <w:trPr/>
        <w:tc>
          <w:tcPr>
            <w:tcW w:w="109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Future Net Revenue (M$)</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Oil</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Gas</w:t>
            </w:r>
            <w:r>
              <w:rPr>
                <w:rFonts w:ascii="Arial;sans-serif" w:hAnsi="Arial;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Present Worth</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(MBBL)</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at 10%</w:t>
            </w:r>
          </w:p>
        </w:tc>
      </w:tr>
      <w:tr>
        <w:trPr/>
        <w:tc>
          <w:tcPr>
            <w:tcW w:w="3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Proved Developed Producing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200,950.4</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947,913.7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9,746,703.4</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6,167,967.2</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Proved Developed Non-Producing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5,318.2</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275,349.4</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177,581.7</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Proved Undeveloped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155,573.0</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534,999.3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6,020,827.1</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2,888,227.1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Arial;sans-serif" w:hAnsi="Arial;sans-serif"/>
                <w:b w:val="false"/>
                <w:color w:val="000000"/>
                <w:sz w:val="20"/>
              </w:rPr>
              <w:t>Total Proved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361,841.6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1,498,168.8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16,042,882.0</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9,233,776.6</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4"/>
        </w:rPr>
      </w:pPr>
      <w:r>
        <w:rPr>
          <w:rFonts w:ascii="Arial;sans-serif" w:hAnsi="Arial;sans-serif"/>
          <w:b w:val="false"/>
          <w:i/>
          <w:color w:val="000000"/>
          <w:sz w:val="14"/>
        </w:rPr>
        <w:t>Totals may not add because of rounding.</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Gas reserves are inclusive of fuel gas volumes expected to be consumed in field operations.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oil volumes shown include crude oil and condensate. Oil volumes are expressed in thousands of barrels (MBBL); a barrel is equivalent to 42 United States gallons. Gas volumes are expressed in millions of cubic feet (MMCF) at standard temperature and pressure bases. </w:t>
      </w:r>
    </w:p>
    <w:p>
      <w:pPr>
        <w:pStyle w:val="TextBody"/>
        <w:bidi w:val="0"/>
        <w:spacing w:before="0" w:after="0"/>
        <w:jc w:val="both"/>
        <w:rPr/>
      </w:pPr>
      <w:r>
        <w:rPr/>
      </w:r>
    </w:p>
    <w:p>
      <w:pPr>
        <w:pStyle w:val="TextBody"/>
        <w:bidi w:val="0"/>
        <w:spacing w:lineRule="auto" w:line="268"/>
        <w:jc w:val="both"/>
        <w:rPr>
          <w:rFonts w:ascii="Arial;sans-serif" w:hAnsi="Arial;sans-serif"/>
          <w:b w:val="false"/>
          <w:color w:val="000000"/>
          <w:sz w:val="20"/>
        </w:rPr>
      </w:pPr>
      <w:r>
        <w:rPr>
          <w:rFonts w:ascii="Arial;sans-serif" w:hAnsi="Arial;sans-serif"/>
          <w:b w:val="false"/>
          <w:color w:val="000000"/>
          <w:sz w:val="20"/>
        </w:rPr>
        <w:t xml:space="preserve">When compared on a well-by-well basis, some of the estimates of MRC are greater and some are less than the estimates of Netherland, Sewell &amp; Associates, Inc. (NSAI). However, in our opinion the estimates shown herein of MRC's reserves and future revenue are reasonable when aggregated at the proved level and have been prepared </w:t>
      </w: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MRC in preparing the December 31, 2024, estimates of reserves and future revenue, and we saw nothing of an unusual nature that would cause us to take exception with the estimates, in the aggregate, as prepared by MRC.</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Reserves categorization conveys the relative degree of certainty; reserves subcategorization is based on development and production status. The estimates of reserves and future revenue included herein have not been adjusted for risk. MRC's estimates do not include probable or possible reserves that may exist for these properties, nor do they include any value for undeveloped acreage beyond those tracts for which undeveloped reserves have been estimated.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Prices used by MRC are based on the 12-month unweighted arithmetic average of the first-day-of-the-month price for each month in the period January through December 2024. For oil volumes, the average West Texas Intermediate posted price of $71.96 per barrel is adjusted by lease for quality, transportation fees, and market differentials. For gas volumes, the average Henry Hub spot price of $2.130 per MMBTU is adjusted by lease for energy content, transportation fees, and market differentials. All prices are held constant throughout the lives of the properties. The average adjusted product prices weighted by production over the remaining lives of the properties are $75.93 per barrel of oil and $0.931 per MCF of gas.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Operating costs used by MRC are based on historical operating expense records. For the nonoperated properties, these costs include the per-well overhead expenses allowed under joint operating agreements along with estimates of costs to be incurred at and below the district and field levels. Operating costs for the operated properties include only direct lease- and field-level costs. Operating costs have been divided into field-level costs, per-well costs, and per-unit-of-production costs. For all properties, headquarters general and administrative overhead expenses of MRC are not included. Capital costs used by MRC are based on authorizations for expenditure and actual costs from recent activity. Capital costs are included as required for workovers, new development wells, and production equipment. Abandonment costs used are MRC's estimates of the costs to abandon the wells and production facilities, net of any salvage value. Operating, capital, and abandonment costs are not escalated for inflation.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MRC and NSAI are based on certain assumptions including, but not limited to, that the properties will be developed consistent with current development plans as provided to us by MRC,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 </w:t>
      </w:r>
    </w:p>
    <w:p>
      <w:pPr>
        <w:pStyle w:val="TextBody"/>
        <w:bidi w:val="0"/>
        <w:spacing w:before="0" w:after="0"/>
        <w:jc w:val="both"/>
        <w:rPr/>
      </w:pPr>
      <w:r>
        <w:rPr/>
      </w:r>
    </w:p>
    <w:p>
      <w:pPr>
        <w:pStyle w:val="TextBody"/>
        <w:bidi w:val="0"/>
        <w:spacing w:lineRule="auto" w:line="268"/>
        <w:jc w:val="both"/>
        <w:rPr>
          <w:rFonts w:ascii="Arial;sans-serif" w:hAnsi="Arial;sans-serif"/>
          <w:b w:val="false"/>
          <w:color w:val="000000"/>
          <w:sz w:val="20"/>
        </w:rPr>
      </w:pPr>
      <w:r>
        <w:rPr>
          <w:rFonts w:ascii="Arial;sans-serif" w:hAnsi="Arial;sans-serif"/>
          <w:b w:val="false"/>
          <w:color w:val="000000"/>
          <w:sz w:val="20"/>
        </w:rPr>
        <w:t xml:space="preserve">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MRC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such information or data until we had satisfactorily resolved our questions relating thereto or had independently verified such information or data. Our audit did not include a review of MRC's overall reserves management processes and practices.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used standard engineering and geoscience methods, or a combination of methods, including performance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Supporting data documenting this audit, along with data provided by MRC, are on file in our office. The technical person primarily responsible for conducting this audit meets the requirements regarding qualifications, independence, objectivity, and confidentiality set forth in the SPE Standards. Nathan C. Shahan, a Licensed Professional Engineer in the State of Texas, has been practicing consulting petroleum engineering at NSAI since 2007 and has over 5 years of prior industry experience. We are independent petroleum engineers, geologists, geophysicists, and petrophysicists; we do not own an interest in these properties nor are we employed on a contingent basis.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Sincerely,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color w:val="000000"/>
          <w:sz w:val="20"/>
        </w:rPr>
        <w:t>NETHERLAND, SEWELL &amp; ASSOCIATES, INC.</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Texas Registered Engineering Firm F-2699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0"/>
          <w:u w:val="single"/>
        </w:rPr>
        <w:t xml:space="preserve">/s/ Richard B. Talley, Jr.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By: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Richard B. Talley, Jr., P.E.</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Chairman and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0"/>
          <w:u w:val="single"/>
        </w:rPr>
        <w:t xml:space="preserve">/s/ Nathan C. Shahan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By: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Nathan C. Shahan, P.E. 102389</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Vice President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Date Signed: January 20,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NCS:MBG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pStyle w:val="TextBody"/>
        <w:bidi w:val="0"/>
        <w:spacing w:before="0" w:after="0"/>
        <w:jc w:val="both"/>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CERTIFICATION OF QUALIFICATION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Nathan C. Shahan, Licensed Professional Engineer, 2100 Ross Avenue, Suite 2200, Dallas, Texas, hereby certify: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That I am an employee of Netherland, Sewell &amp; Associates, Inc. in the position of Vice President.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That I do not have, nor do I expect to receive, any direct or indirect interest in the securities of Matador Resources Company or its subsidiaries.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That I attended Texas A&amp;M University and graduated in 2002 with a Bachelor of Science Degree in Petroleum Engineering and in 2007 with a Master of Engineering Degree in Petroleum Engineering; that I am a Licensed Professional Engineer in the State of Texas, United States of America; and that I have in excess of 5 years of prior industry experience in engineering and geoscience studies and evaluations.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By: </w:t>
      </w:r>
      <w:r>
        <w:rPr>
          <w:rFonts w:ascii="Arial;sans-serif" w:hAnsi="Arial;sans-serif"/>
          <w:b w:val="false"/>
          <w:color w:val="000000"/>
          <w:sz w:val="20"/>
          <w:u w:val="single"/>
        </w:rPr>
        <w:t xml:space="preserve">/s/ Nathan C. Shahan </w:t>
      </w:r>
      <w:r>
        <w:rPr>
          <w:color w:val="000000"/>
        </w:rPr>
        <w:t>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Nathan C. Shahan, P.E.</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Texas Registration No. 102389</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20006/000119312523013640/d428449dex21.htm" TargetMode="External"/><Relationship Id="rId4" Type="http://schemas.openxmlformats.org/officeDocument/2006/relationships/hyperlink" Target="https://www.sec.gov/Archives/edgar/data/1520006/000152000624000078/a20231231mtdr10-kex22.htm" TargetMode="External"/><Relationship Id="rId5" Type="http://schemas.openxmlformats.org/officeDocument/2006/relationships/hyperlink" Target="https://www.sec.gov/Archives/edgar/data/1520006/000152000624000078/a20231231mtdr10-kex22.htm" TargetMode="External"/><Relationship Id="rId6" Type="http://schemas.openxmlformats.org/officeDocument/2006/relationships/hyperlink" Target="https://www.sec.gov/Archives/edgar/data/1520006/000152000624000078/a20231231mtdr10-kex22.htm" TargetMode="External"/><Relationship Id="rId7" Type="http://schemas.openxmlformats.org/officeDocument/2006/relationships/hyperlink" Target="https://www.sec.gov/Archives/edgar/data/1520006/000152000624000078/a20231231mtdr10-kex22.htm" TargetMode="External"/><Relationship Id="rId8" Type="http://schemas.openxmlformats.org/officeDocument/2006/relationships/hyperlink" Target="https://www.sec.gov/Archives/edgar/data/1520006/000152000624000078/a20231231mtdr10-kex22.htm" TargetMode="External"/><Relationship Id="rId9" Type="http://schemas.openxmlformats.org/officeDocument/2006/relationships/hyperlink" Target="https://www.sec.gov/Archives/edgar/data/1520006/000152000624000078/a20231231mtdr10-kex23.htm" TargetMode="External"/><Relationship Id="rId10" Type="http://schemas.openxmlformats.org/officeDocument/2006/relationships/hyperlink" Target="https://www.sec.gov/Archives/edgar/data/1520006/000152000624000078/a20231231mtdr10-kex23.htm" TargetMode="External"/><Relationship Id="rId11" Type="http://schemas.openxmlformats.org/officeDocument/2006/relationships/hyperlink" Target="https://www.sec.gov/Archives/edgar/data/1520006/000152000624000078/a20231231mtdr10-kex23.htm" TargetMode="External"/><Relationship Id="rId12" Type="http://schemas.openxmlformats.org/officeDocument/2006/relationships/hyperlink" Target="https://www.sec.gov/Archives/edgar/data/1520006/000152000624000078/a20231231mtdr10-kex23.htm" TargetMode="External"/><Relationship Id="rId13" Type="http://schemas.openxmlformats.org/officeDocument/2006/relationships/hyperlink" Target="https://www.sec.gov/Archives/edgar/data/1520006/000152000624000078/a20231231mtdr10-kex23.htm" TargetMode="External"/><Relationship Id="rId14" Type="http://schemas.openxmlformats.org/officeDocument/2006/relationships/hyperlink" Target="https://www.sec.gov/Archives/edgar/data/1520006/000110465924070829/tm2417025d1_ex2-1.htm" TargetMode="External"/><Relationship Id="rId15" Type="http://schemas.openxmlformats.org/officeDocument/2006/relationships/hyperlink" Target="https://www.sec.gov/Archives/edgar/data/1520006/000152000624000209/a20240930mtdr10qex23.htm" TargetMode="External"/><Relationship Id="rId16" Type="http://schemas.openxmlformats.org/officeDocument/2006/relationships/hyperlink" Target="https://www.sec.gov/Archives/edgar/data/1520006/000152000617000188/a20170630mtdr10q-exhibit32.htm" TargetMode="External"/><Relationship Id="rId17" Type="http://schemas.openxmlformats.org/officeDocument/2006/relationships/hyperlink" Target="https://www.sec.gov/Archives/edgar/data/1520006/000152000617000188/a20170630mtdr10q-exhibit33.htm" TargetMode="External"/><Relationship Id="rId18" Type="http://schemas.openxmlformats.org/officeDocument/2006/relationships/hyperlink" Target="https://www.sec.gov/Archives/edgar/data/1520006/000152000617000188/a20170630mtdr10q-exhibit34.htm" TargetMode="External"/><Relationship Id="rId19" Type="http://schemas.openxmlformats.org/officeDocument/2006/relationships/hyperlink" Target="https://www.sec.gov/Archives/edgar/data/1520006/000152000618000051/a20171231mtdr8k-amendedbyl.htm" TargetMode="External"/><Relationship Id="rId20" Type="http://schemas.openxmlformats.org/officeDocument/2006/relationships/hyperlink" Target="https://www.sec.gov/Archives/edgar/data/1520006/000119312512016839/d217064dex41.htm" TargetMode="External"/><Relationship Id="rId21" Type="http://schemas.openxmlformats.org/officeDocument/2006/relationships/hyperlink" Target="https://www.sec.gov/Archives/edgar/data/1520006/000119312523097891/d459785dex41.htm" TargetMode="External"/><Relationship Id="rId22" Type="http://schemas.openxmlformats.org/officeDocument/2006/relationships/hyperlink" Target="https://www.sec.gov/Archives/edgar/data/1520006/000152000623000174/a20230630mtdr10qex43.htm" TargetMode="External"/><Relationship Id="rId23" Type="http://schemas.openxmlformats.org/officeDocument/2006/relationships/hyperlink" Target="https://www.sec.gov/Archives/edgar/data/1520006/000119312524084849/d797085dex41.htm" TargetMode="External"/><Relationship Id="rId24" Type="http://schemas.openxmlformats.org/officeDocument/2006/relationships/hyperlink" Target="https://www.sec.gov/Archives/edgar/data/1520006/000152000624000209/a20240930mtdr10qex42.htm" TargetMode="External"/><Relationship Id="rId25" Type="http://schemas.openxmlformats.org/officeDocument/2006/relationships/hyperlink" Target="https://www.sec.gov/Archives/edgar/data/1520006/000152000624000209/a20240930mtdr10qex43.htm" TargetMode="External"/><Relationship Id="rId26" Type="http://schemas.openxmlformats.org/officeDocument/2006/relationships/hyperlink" Target="https://www.sec.gov/Archives/edgar/data/1520006/000110465924102789/tm2424667d1_ex4-1.htm" TargetMode="External"/><Relationship Id="rId27" Type="http://schemas.openxmlformats.org/officeDocument/2006/relationships/hyperlink" Target="https://www.sec.gov/Archives/edgar/data/1520006/000152000620000037/a20191231mtdr10-kex44.htm" TargetMode="External"/><Relationship Id="rId28" Type="http://schemas.openxmlformats.org/officeDocument/2006/relationships/hyperlink" Target="https://www.sec.gov/Archives/edgar/data/1520006/000119312511310666/d217064dex103.htm" TargetMode="External"/><Relationship Id="rId29" Type="http://schemas.openxmlformats.org/officeDocument/2006/relationships/hyperlink" Target="https://www.sec.gov/Archives/edgar/data/1520006/000119312511310666/d217064dex108.htm" TargetMode="External"/><Relationship Id="rId30" Type="http://schemas.openxmlformats.org/officeDocument/2006/relationships/hyperlink" Target="https://www.sec.gov/Archives/edgar/data/1520006/000119312511356358/d217064dex1012.htm" TargetMode="External"/><Relationship Id="rId31" Type="http://schemas.openxmlformats.org/officeDocument/2006/relationships/hyperlink" Target="https://www.sec.gov/Archives/edgar/data/1520006/000152000615000008/mtdr10-k12312014ex1052.htm" TargetMode="External"/><Relationship Id="rId32" Type="http://schemas.openxmlformats.org/officeDocument/2006/relationships/hyperlink" Target="https://www.sec.gov/Archives/edgar/data/1520006/000152000617000141/mtdrexhibit1012017q1.htm" TargetMode="External"/><Relationship Id="rId33" Type="http://schemas.openxmlformats.org/officeDocument/2006/relationships/hyperlink" Target="https://www.sec.gov/Archives/edgar/data/1520006/000152000617000141/mtdrexhibit1012017q1.htm" TargetMode="External"/><Relationship Id="rId34" Type="http://schemas.openxmlformats.org/officeDocument/2006/relationships/hyperlink" Target="https://www.sec.gov/Archives/edgar/data/1520006/000152000619000115/a20190630mtdr10q-exhibit104.htm" TargetMode="External"/><Relationship Id="rId35" Type="http://schemas.openxmlformats.org/officeDocument/2006/relationships/hyperlink" Target="https://www.sec.gov/Archives/edgar/data/1520006/000152000622000206/a20220930mtdr10qex101.htm" TargetMode="External"/><Relationship Id="rId36" Type="http://schemas.openxmlformats.org/officeDocument/2006/relationships/hyperlink" Target="https://www.sec.gov/Archives/edgar/data/1520006/000152000622000206/a20220930mtdr10qex101.htm" TargetMode="External"/><Relationship Id="rId37" Type="http://schemas.openxmlformats.org/officeDocument/2006/relationships/hyperlink" Target="https://www.sec.gov/Archives/edgar/data/1520006/000152000622000206/a20220930mtdr10qex101.htm" TargetMode="External"/><Relationship Id="rId38" Type="http://schemas.openxmlformats.org/officeDocument/2006/relationships/hyperlink" Target="https://www.sec.gov/Archives/edgar/data/1520006/000152000622000206/a20220930mtdr10qex101.htm" TargetMode="External"/><Relationship Id="rId39" Type="http://schemas.openxmlformats.org/officeDocument/2006/relationships/hyperlink" Target="https://www.sec.gov/Archives/edgar/data/1520006/000152000622000206/a20220930mtdr10qex101.htm" TargetMode="External"/><Relationship Id="rId40" Type="http://schemas.openxmlformats.org/officeDocument/2006/relationships/hyperlink" Target="https://www.sec.gov/Archives/edgar/data/1520006/000152000624000105/a20240331mtdr10qex102.htm" TargetMode="External"/><Relationship Id="rId41" Type="http://schemas.openxmlformats.org/officeDocument/2006/relationships/hyperlink" Target="https://www.sec.gov/Archives/edgar/data/1520006/000119312511310666/d217064dex1022.htm" TargetMode="External"/><Relationship Id="rId42" Type="http://schemas.openxmlformats.org/officeDocument/2006/relationships/hyperlink" Target="https://www.sec.gov/Archives/edgar/data/1520006/000119312513111031/d444422dex1049.htm" TargetMode="External"/><Relationship Id="rId43" Type="http://schemas.openxmlformats.org/officeDocument/2006/relationships/hyperlink" Target="https://www.sec.gov/Archives/edgar/data/1520006/000119312513111031/d444422dex1050.htm" TargetMode="External"/><Relationship Id="rId44" Type="http://schemas.openxmlformats.org/officeDocument/2006/relationships/hyperlink" Target="https://www.sec.gov/Archives/edgar/data/1520006/000152000621000236/a20211118mtdrex101forupl.htm" TargetMode="External"/><Relationship Id="rId45" Type="http://schemas.openxmlformats.org/officeDocument/2006/relationships/hyperlink" Target="https://www.sec.gov/Archives/edgar/data/1520006/000152000622000109/a20220331mtdr10qex101.htm" TargetMode="External"/><Relationship Id="rId46" Type="http://schemas.openxmlformats.org/officeDocument/2006/relationships/hyperlink" Target="https://www.sec.gov/Archives/edgar/data/1520006/000152000623000087/truist_matador-secondame.htm" TargetMode="External"/><Relationship Id="rId47" Type="http://schemas.openxmlformats.org/officeDocument/2006/relationships/hyperlink" Target="https://www.sec.gov/Archives/edgar/data/1520006/000152000623000102/a20230331mtdr10qex102.htm" TargetMode="External"/><Relationship Id="rId48" Type="http://schemas.openxmlformats.org/officeDocument/2006/relationships/hyperlink" Target="https://www.sec.gov/Archives/edgar/data/1520006/000152000623000188/a20231019mtdr8kex101.htm" TargetMode="External"/><Relationship Id="rId49" Type="http://schemas.openxmlformats.org/officeDocument/2006/relationships/hyperlink" Target="https://www.sec.gov/Archives/edgar/data/1520006/000119312524075954/d811227dex101.htm" TargetMode="External"/><Relationship Id="rId50" Type="http://schemas.openxmlformats.org/officeDocument/2006/relationships/hyperlink" Target="https://www.sec.gov/Archives/edgar/data/1520006/000110465924101211/tm2424254d1_ex10-1.htm" TargetMode="External"/><Relationship Id="rId51" Type="http://schemas.openxmlformats.org/officeDocument/2006/relationships/hyperlink" Target="https://www.sec.gov/Archives/edgar/data/1520006/000152000616000245/mtdr10-k12312015ex1059.htm" TargetMode="External"/><Relationship Id="rId52" Type="http://schemas.openxmlformats.org/officeDocument/2006/relationships/hyperlink" Target="https://www.sec.gov/Archives/edgar/data/1520006/000152000619000048/a20181231mtdr10-kex1066.htm" TargetMode="External"/><Relationship Id="rId53" Type="http://schemas.openxmlformats.org/officeDocument/2006/relationships/hyperlink" Target="https://www.sec.gov/Archives/edgar/data/1520006/000152000615000102/matador-amendedandrestated.htm" TargetMode="External"/><Relationship Id="rId54" Type="http://schemas.openxmlformats.org/officeDocument/2006/relationships/hyperlink" Target="https://www.sec.gov/Archives/edgar/data/1520006/000152000617000199/a20170930mtdr10q-exhibit101.htm" TargetMode="External"/><Relationship Id="rId55" Type="http://schemas.openxmlformats.org/officeDocument/2006/relationships/hyperlink" Target="https://www.sec.gov/Archives/edgar/data/1520006/000152000616000245/mtdr10-k12312015ex1053.htm" TargetMode="External"/><Relationship Id="rId56" Type="http://schemas.openxmlformats.org/officeDocument/2006/relationships/hyperlink" Target="https://www.sec.gov/Archives/edgar/data/1520006/000152000616000245/mtdr10-k12312015ex1054.htm" TargetMode="External"/><Relationship Id="rId57" Type="http://schemas.openxmlformats.org/officeDocument/2006/relationships/hyperlink" Target="https://www.sec.gov/Archives/edgar/data/1520006/000152000617000074/mtdr10-k12312016ex1063.htm" TargetMode="External"/><Relationship Id="rId58" Type="http://schemas.openxmlformats.org/officeDocument/2006/relationships/hyperlink" Target="https://www.sec.gov/Archives/edgar/data/1520006/000152000617000188/a20170630mtdr10q-exhibit104.htm" TargetMode="External"/><Relationship Id="rId59" Type="http://schemas.openxmlformats.org/officeDocument/2006/relationships/hyperlink" Target="https://www.sec.gov/Archives/edgar/data/1520006/000152000617000199/a20170930mtdr10q-exhibit103.htm" TargetMode="External"/><Relationship Id="rId60" Type="http://schemas.openxmlformats.org/officeDocument/2006/relationships/hyperlink" Target="https://www.sec.gov/Archives/edgar/data/1520006/000152000617000199/a20170930mtdr10q-exhibit104.htm" TargetMode="External"/><Relationship Id="rId61" Type="http://schemas.openxmlformats.org/officeDocument/2006/relationships/hyperlink" Target="https://www.sec.gov/Archives/edgar/data/1520006/000152000617000199/a20170930mtdr10q-exhibit105.htm" TargetMode="External"/><Relationship Id="rId62" Type="http://schemas.openxmlformats.org/officeDocument/2006/relationships/hyperlink" Target="https://www.sec.gov/Archives/edgar/data/1520006/000152000617000199/a20170930mtdr10q-exhibit106.htm" TargetMode="External"/><Relationship Id="rId63" Type="http://schemas.openxmlformats.org/officeDocument/2006/relationships/hyperlink" Target="https://www.sec.gov/Archives/edgar/data/1520006/000152000617000199/a20170930mtdr10q-exhibit107.htm" TargetMode="External"/><Relationship Id="rId64" Type="http://schemas.openxmlformats.org/officeDocument/2006/relationships/hyperlink" Target="https://www.sec.gov/Archives/edgar/data/1520006/000152000619000048/a20181231mtdr10-kex1067.htm" TargetMode="External"/><Relationship Id="rId65" Type="http://schemas.openxmlformats.org/officeDocument/2006/relationships/hyperlink" Target="https://www.sec.gov/Archives/edgar/data/1520006/000152000619000048/a20181231mtdr10-kex1068.htm" TargetMode="External"/><Relationship Id="rId66" Type="http://schemas.openxmlformats.org/officeDocument/2006/relationships/hyperlink" Target="https://www.sec.gov/Archives/edgar/data/1520006/000119312519167218/d760472dex991.htm" TargetMode="External"/><Relationship Id="rId67" Type="http://schemas.openxmlformats.org/officeDocument/2006/relationships/hyperlink" Target="https://www.sec.gov/Archives/edgar/data/1520006/000152000622000164/mtdrltipamendment-ex101.htm" TargetMode="External"/><Relationship Id="rId68" Type="http://schemas.openxmlformats.org/officeDocument/2006/relationships/hyperlink" Target="https://www.sec.gov/Archives/edgar/data/1520006/000152000622000164/mtdrltipamendment-ex101.htm" TargetMode="External"/><Relationship Id="rId69" Type="http://schemas.openxmlformats.org/officeDocument/2006/relationships/hyperlink" Target="https://www.sec.gov/Archives/edgar/data/1520006/000152000622000164/mtdrltipamendment-ex101.htm" TargetMode="External"/><Relationship Id="rId70" Type="http://schemas.openxmlformats.org/officeDocument/2006/relationships/hyperlink" Target="https://www.sec.gov/Archives/edgar/data/1520006/000152000619000115/a20190630mtdr10q-exhibit102.htm" TargetMode="External"/><Relationship Id="rId71" Type="http://schemas.openxmlformats.org/officeDocument/2006/relationships/hyperlink" Target="https://www.sec.gov/Archives/edgar/data/1520006/000152000619000115/a20190630mtdr10q-exhibit103.htm" TargetMode="External"/><Relationship Id="rId72" Type="http://schemas.openxmlformats.org/officeDocument/2006/relationships/hyperlink" Target="https://www.sec.gov/Archives/edgar/data/1520006/000152000620000140/a20200331mtdr10q-exhibit101.htm" TargetMode="External"/><Relationship Id="rId73" Type="http://schemas.openxmlformats.org/officeDocument/2006/relationships/hyperlink" Target="https://www.sec.gov/Archives/edgar/data/1520006/000152000620000140/a20200331mtdr10q-exhbit102.htm" TargetMode="External"/><Relationship Id="rId74" Type="http://schemas.openxmlformats.org/officeDocument/2006/relationships/hyperlink" Target="https://www.sec.gov/Archives/edgar/data/1520006/000152000622000065/a20211231mtdr10-kex1058.htm" TargetMode="External"/><Relationship Id="rId75" Type="http://schemas.openxmlformats.org/officeDocument/2006/relationships/hyperlink" Target="https://www.sec.gov/Archives/edgar/data/1520006/000152000622000065/a20211231mtdr10-kex1059.htm" TargetMode="External"/><Relationship Id="rId76" Type="http://schemas.openxmlformats.org/officeDocument/2006/relationships/hyperlink" Target="https://www.sec.gov/Archives/edgar/data/1520006/000152000622000065/a20211231mtdr10-kex1060.htm" TargetMode="External"/><Relationship Id="rId77" Type="http://schemas.openxmlformats.org/officeDocument/2006/relationships/hyperlink" Target="https://www.sec.gov/Archives/edgar/data/1520006/000152000621000056/a20201231mtdr10-kex1056.htm" TargetMode="External"/><Relationship Id="rId78" Type="http://schemas.openxmlformats.org/officeDocument/2006/relationships/hyperlink" Target="https://www.sec.gov/Archives/edgar/data/1520006/000152000622000164/mtdrespp-ex102.htm" TargetMode="External"/><Relationship Id="rId79" Type="http://schemas.openxmlformats.org/officeDocument/2006/relationships/hyperlink" Target="https://www.sec.gov/Archives/edgar/data/1520006/000152000624000078/a20231231mtdr10-kex97.htm" TargetMode="External"/><Relationship Id="rId80" Type="http://schemas.openxmlformats.org/officeDocument/2006/relationships/hyperlink" Target="https://www.sec.gov/Archives/edgar/data/1520006/000152000624000078/a20231231mtdr10-kex97.htm" TargetMode="External"/><Relationship Id="rId81" Type="http://schemas.openxmlformats.org/officeDocument/2006/relationships/hyperlink" Target="https://www.sec.gov/Archives/edgar/data/1520006/000152000624000078/a20231231mtdr10-kex97.htm" TargetMode="External"/><Relationship Id="rId82" Type="http://schemas.openxmlformats.org/officeDocument/2006/relationships/hyperlink" Target="https://www.sec.gov/Archives/edgar/data/1520006/000152000624000078/a20231231mtdr10-kex97.htm" TargetMode="External"/><Relationship Id="rId83" Type="http://schemas.openxmlformats.org/officeDocument/2006/relationships/hyperlink" Target="https://www.sec.gov/Archives/edgar/data/1520006/000152000624000078/a20231231mtdr10-kex97.htm" TargetMode="External"/><Relationship Id="rId84" Type="http://schemas.openxmlformats.org/officeDocument/2006/relationships/hyperlink" Target="https://www.sec.gov/Archives/edgar/data/1520006/000152000624000078/a20231231mtdr10-kex97.htm" TargetMode="External"/><Relationship Id="rId85" Type="http://schemas.openxmlformats.org/officeDocument/2006/relationships/fontTable" Target="fontTable.xml"/><Relationship Id="rId8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117502</Words>
  <Characters>653039</Characters>
  <CharactersWithSpaces>766913</CharactersWithSpaces>
  <Paragraphs>6824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