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07641.xml.htm"/>
      <w:bookmarkStart w:id="1" w:name="kswkform4_17867076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Foran Joseph Wm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LBJ FREEWAY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Matador Resources Co</w:t>
              </w:r>
            </w:hyperlink>
            <w:r>
              <w:rPr/>
              <w:t xml:space="preserve"> [ </w:t>
            </w:r>
            <w:r>
              <w:rPr>
                <w:rFonts w:ascii="Times;serif" w:hAnsi="Times;serif"/>
                <w:color w:val="0000FF"/>
                <w:sz w:val="24"/>
                <w:shd w:fill="FFFFFF" w:val="clear"/>
              </w:rPr>
              <w:t>MTDR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913"/>
        <w:gridCol w:w="437"/>
        <w:gridCol w:w="744"/>
        <w:gridCol w:w="1300"/>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52.16</w:t>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25,617</w:t>
            </w:r>
            <w:r>
              <w:rPr>
                <w:rFonts w:ascii="Times;serif" w:hAnsi="Times;serif"/>
                <w:color w:val="008000"/>
                <w:position w:val="7"/>
                <w:sz w:val="16"/>
                <w:sz w:val="20"/>
                <w:shd w:fill="FFFFFF" w:val="clear"/>
              </w:rPr>
              <w:t>(1)(2)</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51.44</w:t>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30,617</w:t>
            </w:r>
            <w:r>
              <w:rPr>
                <w:rFonts w:ascii="Times;serif" w:hAnsi="Times;serif"/>
                <w:color w:val="008000"/>
                <w:position w:val="7"/>
                <w:sz w:val="16"/>
                <w:sz w:val="20"/>
                <w:shd w:fill="FFFFFF" w:val="clear"/>
              </w:rPr>
              <w:t>(1)(3)</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534,381</w:t>
            </w:r>
            <w:r>
              <w:rPr>
                <w:rFonts w:ascii="Times;serif" w:hAnsi="Times;serif"/>
                <w:color w:val="008000"/>
                <w:position w:val="7"/>
                <w:sz w:val="16"/>
                <w:sz w:val="20"/>
                <w:shd w:fill="FFFFFF" w:val="clear"/>
              </w:rPr>
              <w:t>(4)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499,032</w:t>
            </w:r>
            <w:r>
              <w:rPr>
                <w:rFonts w:ascii="Times;serif" w:hAnsi="Times;serif"/>
                <w:color w:val="008000"/>
                <w:position w:val="7"/>
                <w:sz w:val="16"/>
                <w:sz w:val="20"/>
                <w:shd w:fill="FFFFFF" w:val="clear"/>
              </w:rPr>
              <w:t>(4)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1,105,913</w:t>
            </w:r>
            <w:r>
              <w:rPr>
                <w:rFonts w:ascii="Times;serif" w:hAnsi="Times;serif"/>
                <w:color w:val="008000"/>
                <w:position w:val="7"/>
                <w:sz w:val="16"/>
                <w:sz w:val="20"/>
                <w:shd w:fill="FFFFFF" w:val="clear"/>
              </w:rPr>
              <w:t>(4)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1,137,182</w:t>
            </w:r>
            <w:r>
              <w:rPr>
                <w:rFonts w:ascii="Times;serif" w:hAnsi="Times;serif"/>
                <w:color w:val="008000"/>
                <w:position w:val="7"/>
                <w:sz w:val="16"/>
                <w:sz w:val="20"/>
                <w:shd w:fill="FFFFFF" w:val="clear"/>
              </w:rPr>
              <w:t>(4)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1,347,912</w:t>
            </w:r>
            <w:r>
              <w:rPr>
                <w:rFonts w:ascii="Times;serif" w:hAnsi="Times;serif"/>
                <w:color w:val="008000"/>
                <w:position w:val="7"/>
                <w:sz w:val="16"/>
                <w:sz w:val="20"/>
                <w:shd w:fill="FFFFFF" w:val="clear"/>
              </w:rPr>
              <w:t>(4)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35,123</w:t>
            </w:r>
            <w:r>
              <w:rPr>
                <w:rFonts w:ascii="Times;serif" w:hAnsi="Times;serif"/>
                <w:color w:val="008000"/>
                <w:position w:val="7"/>
                <w:sz w:val="16"/>
                <w:sz w:val="20"/>
                <w:shd w:fill="FFFFFF" w:val="clear"/>
              </w:rPr>
              <w:t>(4)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35,123</w:t>
            </w:r>
            <w:r>
              <w:rPr>
                <w:rFonts w:ascii="Times;serif" w:hAnsi="Times;serif"/>
                <w:color w:val="008000"/>
                <w:position w:val="7"/>
                <w:sz w:val="16"/>
                <w:sz w:val="20"/>
                <w:shd w:fill="FFFFFF" w:val="clear"/>
              </w:rPr>
              <w:t>(4)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46,787</w:t>
            </w:r>
            <w:r>
              <w:rPr>
                <w:rFonts w:ascii="Times;serif" w:hAnsi="Times;serif"/>
                <w:color w:val="008000"/>
                <w:position w:val="7"/>
                <w:sz w:val="16"/>
                <w:sz w:val="20"/>
                <w:shd w:fill="FFFFFF" w:val="clear"/>
              </w:rPr>
              <w:t>(4)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46,787</w:t>
            </w:r>
            <w:r>
              <w:rPr>
                <w:rFonts w:ascii="Times;serif" w:hAnsi="Times;serif"/>
                <w:color w:val="008000"/>
                <w:position w:val="7"/>
                <w:sz w:val="16"/>
                <w:sz w:val="20"/>
                <w:shd w:fill="FFFFFF" w:val="clear"/>
              </w:rPr>
              <w:t>(4)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92,009</w:t>
            </w:r>
            <w:r>
              <w:rPr>
                <w:rFonts w:ascii="Times;serif" w:hAnsi="Times;serif"/>
                <w:color w:val="008000"/>
                <w:position w:val="7"/>
                <w:sz w:val="16"/>
                <w:sz w:val="20"/>
                <w:shd w:fill="FFFFFF" w:val="clear"/>
              </w:rPr>
              <w:t>(4)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92,009</w:t>
            </w:r>
            <w:r>
              <w:rPr>
                <w:rFonts w:ascii="Times;serif" w:hAnsi="Times;serif"/>
                <w:color w:val="008000"/>
                <w:position w:val="7"/>
                <w:sz w:val="16"/>
                <w:sz w:val="20"/>
                <w:shd w:fill="FFFFFF" w:val="clear"/>
              </w:rPr>
              <w:t>(4)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(15)</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238,200</w:t>
            </w:r>
            <w:r>
              <w:rPr>
                <w:rFonts w:ascii="Times;serif" w:hAnsi="Times;serif"/>
                <w:color w:val="008000"/>
                <w:position w:val="7"/>
                <w:sz w:val="16"/>
                <w:sz w:val="20"/>
                <w:shd w:fill="FFFFFF" w:val="clear"/>
              </w:rPr>
              <w:t>(4)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(16)</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238,200</w:t>
            </w:r>
            <w:r>
              <w:rPr>
                <w:rFonts w:ascii="Times;serif" w:hAnsi="Times;serif"/>
                <w:color w:val="008000"/>
                <w:position w:val="7"/>
                <w:sz w:val="16"/>
                <w:sz w:val="20"/>
                <w:shd w:fill="FFFFFF" w:val="clear"/>
              </w:rPr>
              <w:t>(4)</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acquired pursuant to the Issuer's Employee Stock Purchase Plan. Such acquisitions are exempt under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purchased in multiple transactions at prices ranging from $51.88 to $52.45 per share, inclusive. The reporting person shall provide to the Securities and Exchange Commission, the Issuer or any security holder of the Issuer, upon request,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purchased in multiple transactions at prices ranging from $51.29 to $51.74 per share, inclusive. The reporting person shall provide to the Securities and Exchange Commission, the Issuer or any security holder of the Issuer, upon request,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states that neither the filing of this statement nor anything herein shall be deemed an admission that such person is, for purposes of Section 16 of the Securities Exchange Act of 1934, as amended, or otherwise, the beneficial owner of these shares.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of record by the Foran 2012 Savings Trust for which the reporting person's spouse is a trustee. Includes shares held by the trust following a contribution of shares by the reporting person to the trust, pursuant to the terms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of record by the Foran 2012 Security Trust for which the reporting person is the trustee. Includes shares held by the trust following a contribution of shares by the reporting person's spouse to the trust, pursuant to the terms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of record by Sage Resources, Ltd., which is a limited partnership owned by the reporting person's family, including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held of record collectively by the LRF 2011 Non-GST Trust, WJF 2011 Non-GST Trust, JNF 2011 Non-GST Trust, SIF 2011 Non-GST Trust and MCF 2011 Non-GST Trust (collectively, the "2011 Non-GST Trusts"). The reporting person and his spouse, as settlors of each of the 2011 Non-GST Trusts, retain the power of substitution with respect to the property of the 2011 Non-GST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held of record collectively by the LRF 2020 Non-GST Trust, WJF 2020 Non-GST Trust, SIF 2020 Non-GST Trust and MCF 2020 Non-GST Trust (collectively, the "2020 Non-GST Trusts"). The reporting person and his spouse, as settlors of each of the 2020 Non-GST Trusts, retain the power of substitution with respect to the property of the 2020 Non-GST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shares held of record by the JWF 2024-2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Represents shares held of record by the NNF 2024-2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shares held of record by the JWF 2025-1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shares held of record by the NNF 2025-1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shares held of record by the JWF 2025-2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shares held of record by the NNF 2025-2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Represents shares held of record by the JWF 2026-1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Represents shares held of record by the NNF 2026-1 GRAT, for which the reporting person is the trustee and over which the reporting person has sole voting and investment power.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Wm. Foran, by Derek E. Gabriel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0655" TargetMode="External"/><Relationship Id="rId5" Type="http://schemas.openxmlformats.org/officeDocument/2006/relationships/hyperlink" Target="http://www.sec.gov/cgi-bin/browse-edgar?action=getcompany&amp;CIK=00015200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1348</Words>
  <Characters>7143</Characters>
  <CharactersWithSpaces>8346</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