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 </w:t>
      </w:r>
    </w:p>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2024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001-35410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  </w:t>
      </w:r>
    </w:p>
    <w:p>
      <w:pPr>
        <w:pStyle w:val="TextBody"/>
        <w:bidi w:val="0"/>
        <w:spacing w:lineRule="auto" w:line="21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LBJ Freeway, Suite 1500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 xml:space="preserve">As of October 22, 2024, there were 124,772,721 shares of the registrant’s common </w:t>
      </w:r>
      <w:r>
        <w:rPr>
          <w:rFonts w:ascii="Times New Roman;sans-serif" w:hAnsi="Times New Roman;sans-serif"/>
          <w:b w:val="false"/>
          <w:color w:val="000000"/>
          <w:sz w:val="18"/>
          <w:shd w:fill="FFFFFF" w:val="clear"/>
        </w:rPr>
        <w:t>s</w:t>
      </w:r>
      <w:r>
        <w:rPr>
          <w:rFonts w:ascii="Times New Roman;sans-serif" w:hAnsi="Times New Roman;sans-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4"/>
        <w:gridCol w:w="158"/>
        <w:gridCol w:w="158"/>
        <w:gridCol w:w="227"/>
      </w:tblGrid>
      <w:tr>
        <w:trP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0">
              <w:r>
                <w:rPr>
                  <w:rStyle w:val="InternetLink"/>
                  <w:rFonts w:ascii="Times New Roman;sans-serif" w:hAnsi="Times New Roman;sans-serif"/>
                  <w:b w:val="false"/>
                  <w:color w:val="0000FF"/>
                  <w:sz w:val="20"/>
                  <w:u w:val="single"/>
                </w:rPr>
                <w:t>PART I — FINANCIAL INFORMATION</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29c2ea8e0a354a11ba309c65858631f1_10">
              <w:r>
                <w:rPr>
                  <w:rStyle w:val="InternetLink"/>
                  <w:rFonts w:ascii="Times New Roman;sans-serif" w:hAnsi="Times New Roman;sans-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3">
              <w:r>
                <w:rPr>
                  <w:rStyle w:val="InternetLink"/>
                  <w:rFonts w:ascii="Times New Roman;sans-serif" w:hAnsi="Times New Roman;sans-serif"/>
                  <w:b w:val="false"/>
                  <w:color w:val="0000FF"/>
                  <w:sz w:val="20"/>
                  <w:u w:val="single"/>
                </w:rPr>
                <w:t>Item 1. Financial Statements —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3">
              <w:r>
                <w:rPr>
                  <w:rStyle w:val="InternetLink"/>
                  <w:rFonts w:ascii="Times New Roman;sans-serif" w:hAnsi="Times New Roman;sans-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6">
              <w:r>
                <w:rPr>
                  <w:rStyle w:val="InternetLink"/>
                  <w:rFonts w:ascii="Times New Roman;sans-serif" w:hAnsi="Times New Roman;sans-serif"/>
                  <w:b w:val="false"/>
                  <w:color w:val="0000FF"/>
                  <w:sz w:val="20"/>
                  <w:u w:val="single"/>
                </w:rPr>
                <w:t>Condensed Consolidated Balance Sheets at September 30, 2024 and December 31, 2023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6">
              <w:r>
                <w:rPr>
                  <w:rStyle w:val="InternetLink"/>
                  <w:rFonts w:ascii="Times New Roman;sans-serif" w:hAnsi="Times New Roman;sans-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22">
              <w:r>
                <w:rPr>
                  <w:rStyle w:val="InternetLink"/>
                  <w:rFonts w:ascii="Times New Roman;sans-serif" w:hAnsi="Times New Roman;sans-serif"/>
                  <w:b w:val="false"/>
                  <w:color w:val="0000FF"/>
                  <w:sz w:val="20"/>
                  <w:u w:val="single"/>
                </w:rPr>
                <w:t>Condensed Consolidated Statements of Income for the Three and Nine Months Ended September 30, 2024 and 2023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22">
              <w:r>
                <w:rPr>
                  <w:rStyle w:val="InternetLink"/>
                  <w:rFonts w:ascii="Times New Roman;sans-serif" w:hAnsi="Times New Roman;sans-serif"/>
                  <w:b w:val="false"/>
                  <w:color w:val="0000FF"/>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25">
              <w:r>
                <w:rPr>
                  <w:rStyle w:val="InternetLink"/>
                  <w:rFonts w:ascii="Times New Roman;sans-serif" w:hAnsi="Times New Roman;sans-serif"/>
                  <w:b w:val="false"/>
                  <w:color w:val="0000FF"/>
                  <w:sz w:val="20"/>
                  <w:u w:val="single"/>
                </w:rPr>
                <w:t>Condensed Consolidated Statements of Changes in Shareholders’ Equity for the Three and Nine Months Ended September 30, 2024 and 2023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25">
              <w:r>
                <w:rPr>
                  <w:rStyle w:val="InternetLink"/>
                  <w:rFonts w:ascii="Times New Roman;sans-serif" w:hAnsi="Times New Roman;sans-serif"/>
                  <w:b w:val="false"/>
                  <w:color w:val="0000FF"/>
                  <w:sz w:val="20"/>
                  <w:u w:val="single"/>
                </w:rPr>
                <w:t>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31">
              <w:r>
                <w:rPr>
                  <w:rStyle w:val="InternetLink"/>
                  <w:rFonts w:ascii="Times New Roman;sans-serif" w:hAnsi="Times New Roman;sans-serif"/>
                  <w:b w:val="false"/>
                  <w:color w:val="0000FF"/>
                  <w:sz w:val="20"/>
                  <w:u w:val="single"/>
                </w:rPr>
                <w:t>Condensed Consolidated Statements of Cash Flows for the Nine Months Ended September 30, 2024 and 2023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31">
              <w:r>
                <w:rPr>
                  <w:rStyle w:val="InternetLink"/>
                  <w:rFonts w:ascii="Times New Roman;sans-serif" w:hAnsi="Times New Roman;sans-serif"/>
                  <w:b w:val="false"/>
                  <w:color w:val="0000FF"/>
                  <w:sz w:val="20"/>
                  <w:u w:val="single"/>
                </w:rPr>
                <w:t>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34">
              <w:r>
                <w:rPr>
                  <w:rStyle w:val="InternetLink"/>
                  <w:rFonts w:ascii="Times New Roman;sans-serif" w:hAnsi="Times New Roman;sans-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37">
              <w:r>
                <w:rPr>
                  <w:rStyle w:val="InternetLink"/>
                  <w:rFonts w:ascii="Times New Roman;sans-serif" w:hAnsi="Times New Roman;sans-serif"/>
                  <w:b w:val="false"/>
                  <w:color w:val="0000FF"/>
                  <w:sz w:val="20"/>
                  <w:u w:val="single"/>
                </w:rPr>
                <w:t>10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03">
              <w:r>
                <w:rPr>
                  <w:rStyle w:val="InternetLink"/>
                  <w:rFonts w:ascii="Times New Roman;sans-serif" w:hAnsi="Times New Roman;sans-serif"/>
                  <w:b w:val="false"/>
                  <w:color w:val="0000FF"/>
                  <w:sz w:val="20"/>
                  <w:u w:val="single"/>
                </w:rPr>
                <w:t>28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48">
              <w:r>
                <w:rPr>
                  <w:rStyle w:val="InternetLink"/>
                  <w:rFonts w:ascii="Times New Roman;sans-serif" w:hAnsi="Times New Roman;sans-serif"/>
                  <w:b w:val="false"/>
                  <w:color w:val="0000FF"/>
                  <w:sz w:val="20"/>
                  <w:u w:val="single"/>
                </w:rPr>
                <w:t>Item 3. 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48">
              <w:r>
                <w:rPr>
                  <w:rStyle w:val="InternetLink"/>
                  <w:rFonts w:ascii="Times New Roman;sans-serif" w:hAnsi="Times New Roman;sans-serif"/>
                  <w:b w:val="false"/>
                  <w:color w:val="0000FF"/>
                  <w:sz w:val="20"/>
                  <w:u w:val="single"/>
                </w:rPr>
                <w:t>47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51">
              <w:r>
                <w:rPr>
                  <w:rStyle w:val="InternetLink"/>
                  <w:rFonts w:ascii="Times New Roman;sans-serif" w:hAnsi="Times New Roman;sans-serif"/>
                  <w:b w:val="false"/>
                  <w:color w:val="0000FF"/>
                  <w:sz w:val="20"/>
                  <w:u w:val="single"/>
                </w:rPr>
                <w:t>Item 4. 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51">
              <w:r>
                <w:rPr>
                  <w:rStyle w:val="InternetLink"/>
                  <w:rFonts w:ascii="Times New Roman;sans-serif" w:hAnsi="Times New Roman;sans-serif"/>
                  <w:b w:val="false"/>
                  <w:color w:val="0000FF"/>
                  <w:sz w:val="20"/>
                  <w:u w:val="single"/>
                </w:rPr>
                <w:t>48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54">
              <w:r>
                <w:rPr>
                  <w:rStyle w:val="InternetLink"/>
                  <w:rFonts w:ascii="Times New Roman;sans-serif" w:hAnsi="Times New Roman;sans-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54">
              <w:r>
                <w:rPr>
                  <w:rStyle w:val="InternetLink"/>
                  <w:rFonts w:ascii="Times New Roman;sans-serif" w:hAnsi="Times New Roman;sans-serif"/>
                  <w:b w:val="false"/>
                  <w:color w:val="0000FF"/>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57">
              <w:r>
                <w:rPr>
                  <w:rStyle w:val="InternetLink"/>
                  <w:rFonts w:ascii="Times New Roman;sans-serif" w:hAnsi="Times New Roman;sans-serif"/>
                  <w:b w:val="false"/>
                  <w:color w:val="0000FF"/>
                  <w:sz w:val="20"/>
                  <w:u w:val="single"/>
                </w:rPr>
                <w:t>Item 1.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57">
              <w:r>
                <w:rPr>
                  <w:rStyle w:val="InternetLink"/>
                  <w:rFonts w:ascii="Times New Roman;sans-serif" w:hAnsi="Times New Roman;sans-serif"/>
                  <w:b w:val="false"/>
                  <w:color w:val="0000FF"/>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60">
              <w:r>
                <w:rPr>
                  <w:rStyle w:val="InternetLink"/>
                  <w:rFonts w:ascii="Times New Roman;sans-serif" w:hAnsi="Times New Roman;sans-serif"/>
                  <w:b w:val="false"/>
                  <w:color w:val="0000FF"/>
                  <w:sz w:val="20"/>
                  <w:u w:val="single"/>
                </w:rPr>
                <w:t>Item 1A.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60">
              <w:r>
                <w:rPr>
                  <w:rStyle w:val="InternetLink"/>
                  <w:rFonts w:ascii="Times New Roman;sans-serif" w:hAnsi="Times New Roman;sans-serif"/>
                  <w:b w:val="false"/>
                  <w:color w:val="0000FF"/>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63">
              <w:r>
                <w:rPr>
                  <w:rStyle w:val="InternetLink"/>
                  <w:rFonts w:ascii="Times New Roman;sans-serif" w:hAnsi="Times New Roman;sans-serif"/>
                  <w:b w:val="false"/>
                  <w:color w:val="0000FF"/>
                  <w:sz w:val="20"/>
                  <w:u w:val="single"/>
                </w:rPr>
                <w:t>Item 2. Repurchase of Equity by the Company or Affiliates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63">
              <w:r>
                <w:rPr>
                  <w:rStyle w:val="InternetLink"/>
                  <w:rFonts w:ascii="Times New Roman;sans-serif" w:hAnsi="Times New Roman;sans-serif"/>
                  <w:b w:val="false"/>
                  <w:color w:val="0000FF"/>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66">
              <w:r>
                <w:rPr>
                  <w:rStyle w:val="InternetLink"/>
                  <w:rFonts w:ascii="Times New Roman;sans-serif" w:hAnsi="Times New Roman;sans-serif"/>
                  <w:b w:val="false"/>
                  <w:color w:val="0000FF"/>
                  <w:sz w:val="20"/>
                  <w:u w:val="single"/>
                </w:rPr>
                <w:t>Item 5.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66">
              <w:r>
                <w:rPr>
                  <w:rStyle w:val="InternetLink"/>
                  <w:rFonts w:ascii="Times New Roman;sans-serif" w:hAnsi="Times New Roman;sans-serif"/>
                  <w:b w:val="false"/>
                  <w:color w:val="0000FF"/>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69">
              <w:r>
                <w:rPr>
                  <w:rStyle w:val="InternetLink"/>
                  <w:rFonts w:ascii="Times New Roman;sans-serif" w:hAnsi="Times New Roman;sans-serif"/>
                  <w:b w:val="false"/>
                  <w:color w:val="0000FF"/>
                  <w:sz w:val="20"/>
                  <w:u w:val="single"/>
                </w:rPr>
                <w:t>Item 6. 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69">
              <w:r>
                <w:rPr>
                  <w:rStyle w:val="InternetLink"/>
                  <w:rFonts w:ascii="Times New Roman;sans-serif" w:hAnsi="Times New Roman;sans-serif"/>
                  <w:b w:val="false"/>
                  <w:color w:val="0000FF"/>
                  <w:sz w:val="20"/>
                  <w:u w:val="single"/>
                </w:rPr>
                <w:t>50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2ea8e0a354a11ba309c65858631f1_172">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c2ea8e0a354a11ba309c65858631f1_172">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49"/>
        <w:gridCol w:w="2310"/>
        <w:gridCol w:w="2331"/>
        <w:gridCol w:w="196"/>
        <w:gridCol w:w="961"/>
        <w:gridCol w:w="109"/>
        <w:gridCol w:w="109"/>
        <w:gridCol w:w="109"/>
        <w:gridCol w:w="109"/>
        <w:gridCol w:w="196"/>
        <w:gridCol w:w="871"/>
        <w:gridCol w:w="155"/>
      </w:tblGrid>
      <w:tr>
        <w:trPr/>
        <w:tc>
          <w:tcPr>
            <w:tcW w:w="274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715,872 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(5,228,963)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9,545,669 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6,956,441 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10,623,291 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7,726,996 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685,275 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2,914,033 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10)</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 xml:space="preserve">Common stock - $0.01 par value, 160,000,000 shares authorized; 124,895,537 and 119,478,282 shares issued;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and 124,813,565 and 119,458,674 shares outstanding,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81,972 and 19,608 shares,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5,096,210 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10,623,291 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7,726,996 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31745"/>
                <wp:effectExtent l="0" t="0" r="0" b="0"/>
                <wp:wrapNone/>
                <wp:docPr id="3" name="Frame3"/>
                <a:graphic xmlns:a="http://schemas.openxmlformats.org/drawingml/2006/main">
                  <a:graphicData uri="http://schemas.microsoft.com/office/word/2010/wordprocessingShape">
                    <wps:wsp>
                      <wps:cNvSpPr txBox="1"/>
                      <wps:spPr>
                        <a:xfrm>
                          <a:off x="0" y="0"/>
                          <a:ext cx="6480175" cy="2531745"/>
                        </a:xfrm>
                        <a:prstGeom prst="rect"/>
                        <a:solidFill>
                          <a:srgbClr val="FFFFFF"/>
                        </a:solidFill>
                      </wps:spPr>
                      <wps:txb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63"/>
        <w:gridCol w:w="1311"/>
        <w:gridCol w:w="13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180" w:after="283"/>
        <w:jc w:val="center"/>
        <w:rPr/>
      </w:pPr>
      <w:r>
        <w:rPr>
          <w:rFonts w:ascii="Times New Roman;sans-serif" w:hAnsi="Times New Roman;sans-serif"/>
          <w:b/>
          <w:color w:val="000000"/>
          <w:sz w:val="20"/>
        </w:rPr>
        <w:t>For the Three and Nine Months Ended September 30, 2024</w:t>
      </w:r>
      <w:r>
        <w:rPr>
          <w:color w:val="000000"/>
        </w:rPr>
        <w:t xml:space="preserve"> </w:t>
      </w:r>
    </w:p>
    <w:tbl>
      <w:tblPr>
        <w:tblW w:w="14881"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($0.20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public offering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$0.3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217,912 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($0.20 per share)</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$1.8 million (see Note 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124,886 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4,631,626 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223,979 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4,855,605 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180" w:after="283"/>
        <w:jc w:val="center"/>
        <w:rPr/>
      </w:pPr>
      <w:r>
        <w:rPr>
          <w:rFonts w:ascii="Times New Roman;sans-serif" w:hAnsi="Times New Roman;sans-serif"/>
          <w:b/>
          <w:color w:val="000000"/>
          <w:sz w:val="20"/>
        </w:rPr>
        <w:t>For the Three and Nine Months Ended September 30, 2024</w:t>
      </w:r>
      <w:r>
        <w:rPr>
          <w:color w:val="000000"/>
        </w:rPr>
        <w:t xml:space="preserve"> </w:t>
      </w:r>
    </w:p>
    <w:tbl>
      <w:tblPr>
        <w:tblW w:w="14881" w:type="dxa"/>
        <w:jc w:val="left"/>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July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4,855,605 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($0.20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$2.6 million (see Note 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225,580 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5,096,210 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w:t>
      </w:r>
    </w:p>
    <w:tbl>
      <w:tblPr>
        <w:tblW w:w="14896"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$3.1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w:t>
      </w:r>
    </w:p>
    <w:tbl>
      <w:tblPr>
        <w:tblW w:w="15005" w:type="dxa"/>
        <w:jc w:val="center"/>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 attributable to Matador Resources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July 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$1.9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17" w:type="dxa"/>
        <w:jc w:val="left"/>
        <w:tblInd w:w="0" w:type="dxa"/>
        <w:tblLayout w:type="fixed"/>
        <w:tblCellMar>
          <w:top w:w="28" w:type="dxa"/>
          <w:left w:w="28" w:type="dxa"/>
          <w:bottom w:w="28" w:type="dxa"/>
          <w:right w:w="28" w:type="dxa"/>
        </w:tblCellMar>
      </w:tblPr>
      <w:tblGrid>
        <w:gridCol w:w="2327"/>
        <w:gridCol w:w="2044"/>
        <w:gridCol w:w="2048"/>
        <w:gridCol w:w="198"/>
        <w:gridCol w:w="747"/>
        <w:gridCol w:w="109"/>
        <w:gridCol w:w="109"/>
        <w:gridCol w:w="109"/>
        <w:gridCol w:w="109"/>
        <w:gridCol w:w="198"/>
        <w:gridCol w:w="747"/>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 and other debt-related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changes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Advance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Ameredev</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amend credit facilities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senior unsecured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(Note 11)</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9" name="Frame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 — NATURE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and its subsidiaries (“San Mateo”), and Pronto Midstream, LLC and its subsidiary (“Pronto”) in support of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2023 filed with the SEC on February 27, 2024 (the “Annual Report”).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xml:space="preserve">. The Company proportionately consolidates certain joint ventures that are less-than-wholly-owned and are involved in oil and natural gas exploration. All intercompany balances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2024. Amounts as of December 31, 2023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three and nine months ended September 30, 2024 and 2023 (in thousands).</w:t>
      </w:r>
    </w:p>
    <w:tbl>
      <w:tblPr>
        <w:tblW w:w="9285" w:type="dxa"/>
        <w:jc w:val="left"/>
        <w:tblInd w:w="0" w:type="dxa"/>
        <w:tblLayout w:type="fixed"/>
        <w:tblCellMar>
          <w:top w:w="28" w:type="dxa"/>
          <w:left w:w="28" w:type="dxa"/>
          <w:bottom w:w="28" w:type="dxa"/>
          <w:right w:w="28" w:type="dxa"/>
        </w:tblCellMar>
      </w:tblPr>
      <w:tblGrid>
        <w:gridCol w:w="1222"/>
        <w:gridCol w:w="1073"/>
        <w:gridCol w:w="108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89" w:type="dxa"/>
        <w:jc w:val="left"/>
        <w:tblInd w:w="0" w:type="dxa"/>
        <w:tblLayout w:type="fixed"/>
        <w:tblCellMar>
          <w:top w:w="28" w:type="dxa"/>
          <w:left w:w="28" w:type="dxa"/>
          <w:bottom w:w="28" w:type="dxa"/>
          <w:right w:w="28" w:type="dxa"/>
        </w:tblCellMar>
      </w:tblPr>
      <w:tblGrid>
        <w:gridCol w:w="1368"/>
        <w:gridCol w:w="1204"/>
        <w:gridCol w:w="120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1,985,351 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nine months ended September 30, 2024 and 2023,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approximately $15.0 million and $14.4 million of its general and administrative costs for the three months ended September 30, 2024 and 2023, respectively, and $47.2 million and $41.4 million of its general and administrative costs for the nine months ended September 30, 2024 and 2023, respectively. The Company capitalized approximately $8.2 million and $7.4 million of its interest expense for the three months ended September 30, 2024 and 2023, respectively, and $23.4 million and $16.1 million of its interest expense for the nine months ended September 30, 2024 and 2023, respectively.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diluted weighted average common shares outstanding for the three and nine months ended September 30, 2024 and 2023 (in thousands).</w:t>
      </w:r>
    </w:p>
    <w:tbl>
      <w:tblPr>
        <w:tblW w:w="10205" w:type="dxa"/>
        <w:jc w:val="left"/>
        <w:tblInd w:w="0" w:type="dxa"/>
        <w:tblLayout w:type="fixed"/>
        <w:tblCellMar>
          <w:top w:w="28" w:type="dxa"/>
          <w:left w:w="28" w:type="dxa"/>
          <w:bottom w:w="28" w:type="dxa"/>
          <w:right w:w="28" w:type="dxa"/>
        </w:tblCellMar>
      </w:tblPr>
      <w:tblGrid>
        <w:gridCol w:w="1618"/>
        <w:gridCol w:w="1422"/>
        <w:gridCol w:w="1425"/>
        <w:gridCol w:w="419"/>
        <w:gridCol w:w="407"/>
        <w:gridCol w:w="208"/>
        <w:gridCol w:w="208"/>
        <w:gridCol w:w="208"/>
        <w:gridCol w:w="208"/>
        <w:gridCol w:w="427"/>
        <w:gridCol w:w="399"/>
        <w:gridCol w:w="222"/>
        <w:gridCol w:w="109"/>
        <w:gridCol w:w="109"/>
        <w:gridCol w:w="109"/>
        <w:gridCol w:w="413"/>
        <w:gridCol w:w="413"/>
        <w:gridCol w:w="192"/>
        <w:gridCol w:w="191"/>
        <w:gridCol w:w="191"/>
        <w:gridCol w:w="191"/>
        <w:gridCol w:w="413"/>
        <w:gridCol w:w="413"/>
        <w:gridCol w:w="290"/>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465" w:type="dxa"/>
            <w:gridSpan w:val="3"/>
            <w:vMerge w:val="continue"/>
            <w:tcBorders/>
            <w:tcMar>
              <w:top w:w="0" w:type="dxa"/>
              <w:left w:w="0" w:type="dxa"/>
              <w:bottom w:w="0" w:type="dxa"/>
              <w:right w:w="0" w:type="dxa"/>
            </w:tcMar>
            <w:vAlign w:val="center"/>
          </w:tcPr>
          <w:p>
            <w:pPr>
              <w:pStyle w:val="Normal"/>
              <w:bidi w:val="0"/>
              <w:jc w:val="left"/>
              <w:rPr/>
            </w:pPr>
            <w:r>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120,081 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120,045 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 Accounting Pronouncements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Segments</w:t>
      </w:r>
      <w:r>
        <w:rPr>
          <w:rFonts w:ascii="Times New Roman;sans-serif" w:hAnsi="Times New Roman;sans-serif"/>
          <w:b w:val="false"/>
          <w:color w:val="000000"/>
          <w:sz w:val="20"/>
        </w:rPr>
        <w:t xml:space="preserve">. In November 2023, the Financial Accounting Standards Board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enhances the disclosures required for operating segments in the Company’s annual and interim consolidated financial statements. This ASU is effective retrospectively for fiscal years beginning after December 15, 2023 and for interim periods within fiscal years beginning after December 15, 2024. The Company is currently evaluating the impact of this standard on its disclosures.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In December 2023, the FASB issued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Climate-Related Disclosures.</w:t>
      </w:r>
      <w:r>
        <w:rPr>
          <w:color w:val="000000"/>
        </w:rPr>
        <w:t xml:space="preserve"> </w:t>
      </w:r>
      <w:r>
        <w:rPr>
          <w:rFonts w:ascii="Times New Roman;sans-serif" w:hAnsi="Times New Roman;sans-serif"/>
          <w:b w:val="false"/>
          <w:color w:val="000000"/>
          <w:sz w:val="20"/>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 The Company is currently evaluating the impact of the final rules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w:t>
      </w:r>
    </w:p>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Ameredev Acquisition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a wholly-owned subsidiary of the Company completed the acquisition (the “Ameredev Acquisition”) of Ameredev Stateline II, LLC (“Ameredev”) from affiliates of EnCap Investments L.P., including (i) certain oil and natural gas producing properties and undeveloped acreage located in Lea County, New Mexico and Loving and Winkler Counties, Texas, and (ii) an approximate 19% stake (the “Piñon Investment”) in the parent company of Piñon Midstream, LLC (“Piñon”), which has midstream assets in southern Lea County, New Mexico. The Ameredev Acquisition had an effective date of June 1, 2024 and an aggregate as-adjusted closing purchase price of approximately $1.831 billion in cash, which amount is subject to customary post-closing adjustments, of which approximately $95.3 million was deposited in escrow in connection with the execution of the Securities Purchase Agreement, dated as of June 12, 2024. The purchase price for the Ameredev Acquisition was funded by a combination of cash on hand and borrowings under the Company’s existing secured revolving credit facility (the “Credit Agreement”), which was amended on September 18, 2024 to, among other things: (i) provide for a term loan of $250.0 million, the full amount of which was borrowed to fund the Ameredev Acquisition, and (ii) increase the elected borrowing commitments under the revolving credit facility from $1.50 billion to $2.25 billion. On September 25, 2024, the Company completed the sale of $750.0 million in aggregate principal amount of the Company’s 6.25% senior unsecured notes due 2033 (the “2033 Notes”) and used the net proceeds to partially repay borrowings outstanding under the Credit Agreement, including all of the $250.0 million in outstanding borrowings under the term loan.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Ameredev Acquisition was accounted for under the acquisition method of accounting as a business combination in accordance with Accounting Standards Codification Topic 805, Business Combinations (“ASC Topic 805”). Under ASC Topic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805, the purchase price is allocated to the underlying tangible and intangible assets acquired and liabilities assumed based upon their estimated fair values as of the respective acquisition date, with any excess purchase price allocated to goodwill. As the Company acquired 100% of the membership interests of Ameredev, the acquisition was treated as an asset acquisition for tax purposes. The Company concluded that the Piñon Investment is an equity method investment.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total purchase price for the Ameredev Acquisition is set forth below (in thousands). As of the date of this filing, the valuation of assets acquired and liabilities assumed remains ongoing and adjustments may be made. The Company expects to complete the final purchase price allocation during the 12-month period subsequent to the Ameredev Acquisition closing date.</w:t>
      </w:r>
    </w:p>
    <w:tbl>
      <w:tblPr>
        <w:tblW w:w="4173" w:type="dxa"/>
        <w:jc w:val="left"/>
        <w:tblInd w:w="0" w:type="dxa"/>
        <w:tblLayout w:type="fixed"/>
        <w:tblCellMar>
          <w:top w:w="28" w:type="dxa"/>
          <w:left w:w="28" w:type="dxa"/>
          <w:bottom w:w="28" w:type="dxa"/>
          <w:right w:w="28" w:type="dxa"/>
        </w:tblCellMar>
      </w:tblPr>
      <w:tblGrid>
        <w:gridCol w:w="906"/>
        <w:gridCol w:w="799"/>
        <w:gridCol w:w="800"/>
        <w:gridCol w:w="109"/>
        <w:gridCol w:w="109"/>
        <w:gridCol w:w="109"/>
        <w:gridCol w:w="211"/>
        <w:gridCol w:w="97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evaluated oil and gas properties and asset retirement obligations were measured using the discounted cash flow technique of valuation.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Ameredev Acquisition since the closing date have been included in the Company’s condensed consolidated financial statements for the three and nine months ended September 30, 2024. The oil and natural gas production from Ameredev increased the Company’s revenues and net income for the period from September 18, 2024 through September 30, 2024 by $16.5 million and $5.5 million, respectively.</w:t>
      </w:r>
    </w:p>
    <w:p>
      <w:pPr>
        <w:pStyle w:val="TextBody"/>
        <w:bidi w:val="0"/>
        <w:spacing w:lineRule="auto" w:line="27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pro forma financial information represents a summary of the condensed consolidated results of operations for the three and nine months ended September 30, 2024 and 2023, assuming the Ameredev Acquisition had been completed as of January 1, 2023. The pro forma financial information is provided for illustrative purposes only and does not purport to represent what the actual consolidated results of operations or the consolidated financial position of the Company would have been had the Ameredev Acquisition occurred on the dates noted above, nor is it necessarily indicative of the future results of operations or consolidated financial position of the Company. Future results may vary significantly from the results reflected because of various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Ameredev Acquisition, including (i) the increase in depletion reflecting the relative fair values and production volumes attributable to Ameredev’s properties and the revision to the depletion rate reflecting the reserve volumes acquired, (ii) adjustments to interest expense as a result of the incremental borrowings necessary to finance the Ameredev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Ameredev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tbl>
      <w:tblPr>
        <w:tblW w:w="10205" w:type="dxa"/>
        <w:jc w:val="left"/>
        <w:tblInd w:w="0" w:type="dxa"/>
        <w:tblLayout w:type="fixed"/>
        <w:tblCellMar>
          <w:top w:w="28" w:type="dxa"/>
          <w:left w:w="28" w:type="dxa"/>
          <w:bottom w:w="28" w:type="dxa"/>
          <w:right w:w="28" w:type="dxa"/>
        </w:tblCellMar>
      </w:tblPr>
      <w:tblGrid>
        <w:gridCol w:w="1449"/>
        <w:gridCol w:w="1275"/>
        <w:gridCol w:w="1242"/>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Q1 2024 Acquisition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a wholly-owned subsidiary of the Company acquired oil and natural gas producing properties and undeveloped acreage located in Lea County, New Mexico (the “Q1 2024 Acquisition”). The Q1 2024 Acquisition had an effective date of October 1, 2023 and consideration for the acquisition consisted of an amount in cash equal to approximately $155.1 million (which amount, at September 30, 2024, was subject to certain customary post-closing adjustments).</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Q1 2024 Acquisition was accounted for under the acquisition method of accounting as a business combination in accordance with ASC Topic 805. Under ASC Topic 805, the purchase price is allocated to the underlying tangible and intangible assets acquired and liabilities assumed based upon their estimated fair values as of the acquisition date, with any excess purchase price allocated to goodwill.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preliminary allocation of the total purchase price for the Q1 2024 Acquisition is set forth below (in thousands). The Company anticipates that the allocation of the purchase price should be finalized during 2024 upon determination of the final purchase price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tbl>
      <w:tblPr>
        <w:tblW w:w="3696" w:type="dxa"/>
        <w:jc w:val="left"/>
        <w:tblInd w:w="0" w:type="dxa"/>
        <w:tblLayout w:type="fixed"/>
        <w:tblCellMar>
          <w:top w:w="28" w:type="dxa"/>
          <w:left w:w="28" w:type="dxa"/>
          <w:bottom w:w="28" w:type="dxa"/>
          <w:right w:w="28" w:type="dxa"/>
        </w:tblCellMar>
      </w:tblPr>
      <w:tblGrid>
        <w:gridCol w:w="906"/>
        <w:gridCol w:w="799"/>
        <w:gridCol w:w="800"/>
        <w:gridCol w:w="211"/>
        <w:gridCol w:w="82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Consideration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given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45,778</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107,072</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evaluated oil and gas properties and asset retirement obligations were measured using the discounted cash flow technique of valuation.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Q1 2024 Acquisition since the closing date have been included in the Company’s interim unaudited condensed consolidated financial statements for the three and nine months ended September 30, 2024. The pro forma impact of this business combination to revenues and net income for 2024 and 2023 would not be material to the Company’s 2024 or 2023 revenues and net income as reported.</w:t>
      </w:r>
    </w:p>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Advance Acquisition</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“Initial Advance Acquisition”). The Initial Advance Acquisition had an effective date of January 1, 2023 and an aggregate purchase price consisting of (i) an amount in cash equal to approximately $1.60 billion (which amount was subject to certain customary post-closing adjustments) (the “Cash Consideration”) and (ii) potential additional cash consideration of $7.5 million for each month of 2023 in which the average oil price (as defined in the securities purchase agreement) exceeded $85 per barrel (all such payments for the 12 months in 2023, the “Contingent Consideration”). The Cash Consideration was paid upon the closing of the Initial Advance Acquisition and was funded by a combination of cash on hand and borrowings under the Credit Agreement. In the fourth quarter of 2023, the Company paid Contingent Consideration of $15.0 million, as the average oil price for the months of September and October 2023 exceeded $85 per barrel.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2023, the Company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The Advance Royalty Acquisition had an effective date of October 1, 2023 and an aggregate purchase price of approximately $81.0 million (which amount was subject to certain customary post-closing adjustments), and was funded by cash on hand.</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Advance Acquisition and Advance Royalty Acquisition (collectively, the “Advance Acquisition”) were accounted for under the acquisition method of accounting as a business combination in accordance with ASC Topic 805. Under ASC Topic 805, the purchase price is allocated to the underlying tangible and intangible assets acquired and liabilities assumed based upon their estimated fair values as of the respective acquisition dates, with any excess purchase price allocated to goodwill. The Advance Acquisition was treated as an asset acquisition for tax purposes, as the Company acquired 100% of the membership interests of Advance in the Initial Advance Acquisition and acquired additional overriding royalty interests and royalty interests in the Advance Royalty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final allocation of the total purchase price for the Advance Acquisition is set forth below (in thousands). </w:t>
      </w:r>
    </w:p>
    <w:tbl>
      <w:tblPr>
        <w:tblW w:w="6080" w:type="dxa"/>
        <w:jc w:val="left"/>
        <w:tblInd w:w="0" w:type="dxa"/>
        <w:tblLayout w:type="fixed"/>
        <w:tblCellMar>
          <w:top w:w="28" w:type="dxa"/>
          <w:left w:w="28" w:type="dxa"/>
          <w:bottom w:w="28" w:type="dxa"/>
          <w:right w:w="28" w:type="dxa"/>
        </w:tblCellMar>
      </w:tblPr>
      <w:tblGrid>
        <w:gridCol w:w="1715"/>
        <w:gridCol w:w="1510"/>
        <w:gridCol w:w="1514"/>
        <w:gridCol w:w="211"/>
        <w:gridCol w:w="97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Consideration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adjustments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at April 12, 2023</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given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1,418,668</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213,835</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63,644</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(73,885)</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 ASSET RETIREMENT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changes in the Company’s asset retirement obligations for the nine months ended September 30, 2024 (in thousands). </w:t>
      </w:r>
    </w:p>
    <w:tbl>
      <w:tblPr>
        <w:tblW w:w="4791" w:type="dxa"/>
        <w:jc w:val="left"/>
        <w:tblInd w:w="0" w:type="dxa"/>
        <w:tblLayout w:type="fixed"/>
        <w:tblCellMar>
          <w:top w:w="28" w:type="dxa"/>
          <w:left w:w="28" w:type="dxa"/>
          <w:bottom w:w="28" w:type="dxa"/>
          <w:right w:w="28" w:type="dxa"/>
        </w:tblCellMar>
      </w:tblPr>
      <w:tblGrid>
        <w:gridCol w:w="1305"/>
        <w:gridCol w:w="1144"/>
        <w:gridCol w:w="1151"/>
        <w:gridCol w:w="211"/>
        <w:gridCol w:w="82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ans-serif" w:hAnsi="Times New Roman;sans-serif"/>
          <w:b/>
          <w:color w:val="000000"/>
          <w:sz w:val="18"/>
        </w:rPr>
        <w:t>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interim unaudited condensed consolidated balance sheet at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(i) $500.0 million of outstanding senior notes due 2028 (the “2028 Notes”), (ii) $900.0 million of outstanding senior notes due 2032 (the “2032 Notes”), (iii) $750.0 million of outstanding 2033 Notes, (iv) $955.0 million in borrowings outstanding under the Credit Agreement and (v) approximately $52.9 million in outstanding letters of credit issued pursuant to the Credit Agreement. Between September 30, 2024 and October 22, 2024, the Company repaid $65.0 million of borrowings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San Mateo had $526.0 million in borrowings outstanding under its revolving credit facility (the “San Mateo Credit Facility”) and approximately $9.0 million in outstanding letters of credit issued pursuant to the San Mateo Credit Facility. Between September 30, 2024 and October 22, 2024, San Mateo repaid $32.0 million of borrowings under the San Mateo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1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the Company and its lenders entered into an amendment to the Fourth Amended and Restated Credit Agreement, which amended the Credit Agreement to, among other things: (i) reaffirm the borrowing base at $2.50 billion, </w:t>
        <w:br/>
        <w:t xml:space="preserve">(ii)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the Company and its lenders entered into an amendment to the Fourth Amended and Restated Credit Agreement, which amended the Credit Agreement to, among other things: (i) provide for a term loan of $250.0 million, the full amount of which was borrowed to fund the Ameredev Acquisition, and (ii) increase the elected borrowing commitments under the revolving credit facility from $1.50 billion to $2.25 billion. On September 25, 2024, the Company completed the sale of $750.0 million in aggregate principal amount of the 2033 Notes and used the net proceeds to partially repay borrowings outstanding under the Credit Agreement, including all of the $250.0 million in outstanding borrowings under the term loan.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at the end of each fiscal quarter and (ii) a debt to EBITDA ratio, which is defined as debt outstanding (net of cash or cash equivalents of up to the greater of (a) $150.0 million and </w:t>
        <w:br/>
        <w:t xml:space="preserve">(b) 10% of the elected commitment), divided by a rolling four quarter EBITDA calculation, of 3.5 or less. The Company believes that it was in compliance with the terms of the Credit Agreement at September 30, 2024.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is non-recourse with respect to Matador and its wholly-owned subsidiaries but is guaranteed by San Mateo’s subsidiaries and secured by substantially all of San Mateo’s assets, including real property. The outstanding borrowings under the San Mateo Credit Facility mature on December 9, 2026, and lender commitments under the facility were $535.0 million at September 30, 2024. The San Mateo Credit Facility includes an accordion feature, which provides for potential increases in lender commitments of up to $735.0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September 30, 2024.</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 Tender Offer and Redemption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and April 4, 2024, the Company completed the repurchase of an aggregate principal amount of approximately $556.3 million of the $699.2 million of outstanding senior notes due 2026 (the “2026 Notes”) pursuant to the Company’s cash tender offer for the 2026 Notes announced on March 26, 2024 (the “2026 Notes Tender Offer”). On April 2, 2024, the Company exercised its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 respect to the 2026 Notes. In connection with the 2026 Notes Tender Offer and 2026 Notes Redemption, the Company incurred a loss of approximately $3.0 million included in interest expense for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2028 Senior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the Company had $500.0 million of outstanding 2028 Notes, which have a 6.875% coupon rate. The 2028 Notes mature April 15, 2028, and interest is payable on the 2028 Notes semi-annually in arrears on each April 15 and October 15. The 2028 Notes are jointly and severally guaranteed on a senior unsecured basis by certain subsidiaries of the Company (the “Guarantor Subsidiaries”). Neither San Mateo nor Pronto is a guarantor of the 2028 Notes.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2032 Senior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the Company completed the sale of $900.0 million in aggregate principal amount of the 2032 Notes, which have a 6.50% coupon rate and mature on April 15, 2032. Interest on the 2032 Notes is payable in arrears on each April 15 and October 15. The first interest payment date for the 2032 Notes was October 15, 2024. The 2032 Notes are guaranteed on a senior unsecured basis by the Guarantor Subsidiaries. Neither San Mateo nor Pronto is a guarantor of the 2032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15, 2027, the Company may redeem up to 40% in aggregate principal amount of 2032 Notes at a redemption price of 106.500%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2032 Notes remains outstanding after such redemption. In addition, at any time prior to April 15, 2027, the Company may redeem all or part of the 2032 Notes for cash at a redemption price equal to 100% of their principal amount plus an applicable make-whole premium and accrued and unpaid interest, if any, to the applicable redemption date.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15, 2027, the Company may redeem all or a part of the 2032 Notes at any time or from time to time at the following redemption prices (expressed as percentages of the principal amount) plus accrued and unpaid interest, if any, to the applicable redemption date, if redeemed during the twelve-month period beginning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103.250%</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2033 Senior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2024, the Company completed the sale of $750.0 million in aggregate principal amount of the 2033 Notes, which have a 6.25% coupon rate and mature on April 15, 2033. Interest on the 2033 Notes is payable in arrears on each April 15 and October 15. The first interest payment date for the 2033 Notes will be April 15, 2025. The 2033 Notes are guaranteed on a senior unsecured basis by the Guarantor Subsidiaries. Neither San Mateo nor Pronto is a guarantor of the 2033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15, 2028, the Company may redeem up to 40% in aggregate principal amount of 2033 Notes at a redemption price of 106.250%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2033 Notes remains outstanding after such redemption. In addition, at any time prior to April 15, 2028, the Company may redeem all or part of the 2033 Notes for cash at a redemption price equal to 100% of their principal amount plus an applicable make-whole premium and accrued and unpaid interest, if any, to the applicable redemption date.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15, 2028, the Company may redeem all or a part of the 2033 Notes at any time or from time to time at the following redemption prices (expressed as percentages of the principal amount) plus accrued and unpaid interest, if any, to the applicable redemption date, if redeemed during the twelve-month period beginning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103.125%</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101.563%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Maturities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borrowings of $526.0 million at September 30, 2024 under the San Mateo Credit Facility mature on December 9, 2026. The outstanding borrowings of $955.0 million at September 30, 2024 under the Credit Agreement mature on March 22, 2029. The $500.0 million of outstanding 2028 Notes at September 30, 2024 mature on April 15, 2028. The $900.0 million of outstanding 2032 Notes at September 30, 2024 mature on April 15, 2032. The $750.0 million of outstanding 2033 Notes at September 30, 2024 mature on April 15, 2033.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current income tax benefit of $21.1 million and a current income tax provision of $26.3 million for the three and nine months ended September 30, 2024, respectively, and a deferred income tax provision of $106.4 million and $203.8 million for the three and nine months ended September 30, 2024, respectively. The Company recorded a current income tax provision of $9.0 million for each of the three and nine months ended September 30, 2023 and a deferred income tax provision of $5.6 million and $119.6 million for the three and nine months ended September 30, 2023, respectively.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of 26% for both the three and nine months ended September 30, 2024 differed from the U.S. federal statutory rate due primarily to permanent differences between book and taxable income and state taxes, primarily in New Mexico. The Company’s effective income tax rates of 5% and 18% for the three and nine months ended September 30, 2023, respectively,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 EQUITY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Offering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2024, the Company completed an underwritten public offering of 5,250,000 shares of its common stock. After deducting underwriting discounts and offering expenses, the Company received net proceeds of approximately $342.1 million. The net proceeds from this offering were used for general corporate purposes, including the funding of acquisitions and the repayment of borrowings outstanding under the Credit Agreement.</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granted awards to certain of its employees of 140,200 service-based restricted stock units to be settled in cash, which are liability instruments, and 176,000 performance-based stock units and 119,950 service-based shares of restricted stock, which are equity instruments. The performance-based stock units vest in an amount between zero and 200% of the target units granted based on the Company’s relative total shareholder return over the three-year period ending December 31, 2026, as compared to a designated peer group. The service-based restricted stock and restricted stock units vest over a three-year period. The fair value of these awards was approximately $26.4 million on their respective grant dates.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Matador’s Board of Directors (the “Board”) declared a quarterly cash dividend of $0.20 per share of common stock in each of the first, second and third quarters of 2024. The first quarter dividend, which totaled $23.9 million, was paid on March 13, 2024 to shareholders of record as of February 23, 2024. The second quarter dividend, which totaled $24.9 million, was paid on June 7, 2024 to shareholders of record as of May 17, 2024. The third quarter dividend, which totaled $24.9 million, was paid on September 5, 2024 to shareholders of record as of August 15, 2024. On October 16, 2024, the Board amended the Company’s dividend policy to increase the quarterly dividend to $0.25 per share of common stock for future dividend payments and also declared a quarterly cash dividend of $0.25 per share of common stock payable on December 6, 2024 to shareholders of record as of November 15,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EQUITY—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and 2023, San Mateo distributed $23.7 million and $17.3 million, respectively, to the Company and $22.8 million and $16.7 million, respectively, to a subsidiary of Five Point Energy LLC (“Five Point”), the Company’s joint venture partner in San Mateo. During the nine months ended September 30, 2024 and 2023, San Mateo distributed $75.9 million and $63.6 million, respectively, to the Company and $73.0 million and $61.1 million, respectively, to a subsidiary of Five Point. During the nine months ended September 30, 2024 and 2023, the Company contributed $19.9 million and $25.5 million, respectively, and Five Point contributed $19.1 million and $24.5 million, respectively, of cash to San Mateo. During the three months ended September 30, 2024 and 2023, there were no contributions to San Mateo by either the Company or Five Point.</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Five Point paid the Company $12.3 million and $9.0 million of performance incentives during the three months ended September 30, 2024 and 2023, respectively. Five Point paid the Company $22.5 million and $23.7 million of performance incentives during the nine months ended September 30, 2024 and 2023, respectively. These performance incentives are recorded when received, net of the $2.6 million and $1.9 million deferred tax impact to the Company for the three months ended September 30, 2024 and 2023, respectively, and the $4.7 million and $5.0 million deferred tax impact to the Company for the nine months ended September 30, 2024 and 2023, respectively, in “Additional paid-in capital” in the Company’s interim unaudited condensed consolidated balance sheets. These performance incentives for the three and nine months ended September 30, 2024 and 2023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various costless collar contracts open and in place to mitigate its exposure to oil price volatility, each with an established price floor and ceiling. At September 30, 2024, the Company had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September 30,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costless collar contracts at September 30, 2024.</w:t>
      </w:r>
    </w:p>
    <w:p>
      <w:pPr>
        <w:pStyle w:val="TextBody"/>
        <w:bidi w:val="0"/>
        <w:spacing w:before="120" w:after="283"/>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474"/>
        <w:gridCol w:w="416"/>
        <w:gridCol w:w="418"/>
        <w:gridCol w:w="109"/>
        <w:gridCol w:w="109"/>
        <w:gridCol w:w="109"/>
        <w:gridCol w:w="479"/>
        <w:gridCol w:w="479"/>
        <w:gridCol w:w="480"/>
        <w:gridCol w:w="109"/>
        <w:gridCol w:w="109"/>
        <w:gridCol w:w="109"/>
        <w:gridCol w:w="559"/>
        <w:gridCol w:w="535"/>
        <w:gridCol w:w="382"/>
        <w:gridCol w:w="109"/>
        <w:gridCol w:w="109"/>
        <w:gridCol w:w="109"/>
        <w:gridCol w:w="354"/>
        <w:gridCol w:w="1035"/>
        <w:gridCol w:w="182"/>
        <w:gridCol w:w="109"/>
        <w:gridCol w:w="109"/>
        <w:gridCol w:w="109"/>
        <w:gridCol w:w="365"/>
        <w:gridCol w:w="1066"/>
        <w:gridCol w:w="188"/>
        <w:gridCol w:w="109"/>
        <w:gridCol w:w="109"/>
        <w:gridCol w:w="109"/>
        <w:gridCol w:w="223"/>
        <w:gridCol w:w="765"/>
        <w:gridCol w:w="170"/>
      </w:tblGrid>
      <w:tr>
        <w:trPr/>
        <w:tc>
          <w:tcPr>
            <w:tcW w:w="4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Quantity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Floor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Ceiling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Costless Collar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10/01/2024 - 6/30/2025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12,285,000 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872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costless collar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differential swap contracts at September 30, 2024.</w:t>
      </w:r>
    </w:p>
    <w:tbl>
      <w:tblPr>
        <w:tblW w:w="10205" w:type="dxa"/>
        <w:jc w:val="left"/>
        <w:tblInd w:w="0" w:type="dxa"/>
        <w:tblLayout w:type="fixed"/>
        <w:tblCellMar>
          <w:top w:w="28" w:type="dxa"/>
          <w:left w:w="28" w:type="dxa"/>
          <w:bottom w:w="28" w:type="dxa"/>
          <w:right w:w="28" w:type="dxa"/>
        </w:tblCellMar>
      </w:tblPr>
      <w:tblGrid>
        <w:gridCol w:w="817"/>
        <w:gridCol w:w="717"/>
        <w:gridCol w:w="721"/>
        <w:gridCol w:w="109"/>
        <w:gridCol w:w="109"/>
        <w:gridCol w:w="109"/>
        <w:gridCol w:w="656"/>
        <w:gridCol w:w="656"/>
        <w:gridCol w:w="658"/>
        <w:gridCol w:w="109"/>
        <w:gridCol w:w="109"/>
        <w:gridCol w:w="109"/>
        <w:gridCol w:w="814"/>
        <w:gridCol w:w="717"/>
        <w:gridCol w:w="720"/>
        <w:gridCol w:w="109"/>
        <w:gridCol w:w="109"/>
        <w:gridCol w:w="109"/>
        <w:gridCol w:w="273"/>
        <w:gridCol w:w="683"/>
        <w:gridCol w:w="141"/>
        <w:gridCol w:w="109"/>
        <w:gridCol w:w="109"/>
        <w:gridCol w:w="109"/>
        <w:gridCol w:w="211"/>
        <w:gridCol w:w="616"/>
        <w:gridCol w:w="497"/>
      </w:tblGrid>
      <w:tr>
        <w:trPr/>
        <w:tc>
          <w:tcPr>
            <w:tcW w:w="8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10/01/2024 - 12/31/2025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13,710,000 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differential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7,135 </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651" w:type="dxa"/>
            <w:gridSpan w:val="6"/>
            <w:tcBorders/>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September 30, 2024 and December 31, 2023 (in thousands).</w:t>
      </w:r>
    </w:p>
    <w:tbl>
      <w:tblPr>
        <w:tblW w:w="9830"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721"/>
        <w:gridCol w:w="109"/>
        <w:gridCol w:w="109"/>
        <w:gridCol w:w="109"/>
        <w:gridCol w:w="109"/>
        <w:gridCol w:w="406"/>
        <w:gridCol w:w="1422"/>
        <w:gridCol w:w="212"/>
        <w:gridCol w:w="109"/>
        <w:gridCol w:w="109"/>
        <w:gridCol w:w="109"/>
        <w:gridCol w:w="696"/>
        <w:gridCol w:w="2378"/>
        <w:gridCol w:w="361"/>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and aggregate gain (loss) of all derivative financial instruments recorded in the interim unaudited condensed consolidated statements of income for the periods presented (in thousands). </w:t>
      </w:r>
    </w:p>
    <w:tbl>
      <w:tblPr>
        <w:tblW w:w="10205" w:type="dxa"/>
        <w:jc w:val="left"/>
        <w:tblInd w:w="0" w:type="dxa"/>
        <w:tblLayout w:type="fixed"/>
        <w:tblCellMar>
          <w:top w:w="28" w:type="dxa"/>
          <w:left w:w="28" w:type="dxa"/>
          <w:bottom w:w="28" w:type="dxa"/>
          <w:right w:w="28" w:type="dxa"/>
        </w:tblCellMar>
      </w:tblPr>
      <w:tblGrid>
        <w:gridCol w:w="406"/>
        <w:gridCol w:w="356"/>
        <w:gridCol w:w="358"/>
        <w:gridCol w:w="109"/>
        <w:gridCol w:w="109"/>
        <w:gridCol w:w="109"/>
        <w:gridCol w:w="1100"/>
        <w:gridCol w:w="1100"/>
        <w:gridCol w:w="1101"/>
        <w:gridCol w:w="109"/>
        <w:gridCol w:w="109"/>
        <w:gridCol w:w="109"/>
        <w:gridCol w:w="211"/>
        <w:gridCol w:w="721"/>
        <w:gridCol w:w="109"/>
        <w:gridCol w:w="109"/>
        <w:gridCol w:w="109"/>
        <w:gridCol w:w="109"/>
        <w:gridCol w:w="211"/>
        <w:gridCol w:w="636"/>
        <w:gridCol w:w="109"/>
        <w:gridCol w:w="109"/>
        <w:gridCol w:w="109"/>
        <w:gridCol w:w="109"/>
        <w:gridCol w:w="211"/>
        <w:gridCol w:w="721"/>
        <w:gridCol w:w="109"/>
        <w:gridCol w:w="109"/>
        <w:gridCol w:w="109"/>
        <w:gridCol w:w="109"/>
        <w:gridCol w:w="211"/>
        <w:gridCol w:w="741"/>
        <w:gridCol w:w="159"/>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Condensed Consolidated </w:t>
              <w:br/>
              <w:t>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(loss)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for identical, unrestricted assets or liabilities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 — Continued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September 30, 2024 and December 31, 2023 (in thousands).</w:t>
      </w:r>
    </w:p>
    <w:tbl>
      <w:tblPr>
        <w:tblW w:w="786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2"/>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September 30, 2024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disclosures related to derivative financial instruments are provided in Note 8.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and December 31, 2023,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and December 31, 2023,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the fair value of the 2028 Notes was $508.8 million and $510.9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fair value of the 2032 Notes was $900.0 million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fair value of the 2033 Notes was $736.9 million based on quoted market prices, which represent Level 1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for discussion of the fair value measurement of assets acquired and liabilities assumed as part of the Ameredev Acquisition, the Q1 2024 Acquisition and the Advance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Firm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$18.6 million and $16.0 million for deliveries under these agreements during the three months ended September 30, 2024 and 2023, respectively, and $50.2 million and $38.1 million for deliveries under these agreements during the nine months ended September 30, 2024 and 2023,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2024, the total deficiencies required to be paid by the Company under these agreements would be approximately $617.5 million.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September 30, 2024 was approximately $131.7 million.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 SUPPLEMENTAL DISCLOSURES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September 30, 2024 and December 31, 2023 (in thousands).</w:t>
      </w:r>
    </w:p>
    <w:tbl>
      <w:tblPr>
        <w:tblW w:w="8320" w:type="dxa"/>
        <w:jc w:val="left"/>
        <w:tblInd w:w="0" w:type="dxa"/>
        <w:tblLayout w:type="fixed"/>
        <w:tblCellMar>
          <w:top w:w="28" w:type="dxa"/>
          <w:left w:w="28" w:type="dxa"/>
          <w:bottom w:w="28" w:type="dxa"/>
          <w:right w:w="28" w:type="dxa"/>
        </w:tblCellMar>
      </w:tblPr>
      <w:tblGrid>
        <w:gridCol w:w="1951"/>
        <w:gridCol w:w="1712"/>
        <w:gridCol w:w="1721"/>
        <w:gridCol w:w="240"/>
        <w:gridCol w:w="941"/>
        <w:gridCol w:w="124"/>
        <w:gridCol w:w="109"/>
        <w:gridCol w:w="109"/>
        <w:gridCol w:w="109"/>
        <w:gridCol w:w="231"/>
        <w:gridCol w:w="905"/>
        <w:gridCol w:w="168"/>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nine months ended September 30, 2024 and 2023 (in thousands).</w:t>
      </w:r>
    </w:p>
    <w:tbl>
      <w:tblPr>
        <w:tblW w:w="9218" w:type="dxa"/>
        <w:jc w:val="left"/>
        <w:tblInd w:w="0" w:type="dxa"/>
        <w:tblLayout w:type="fixed"/>
        <w:tblCellMar>
          <w:top w:w="28" w:type="dxa"/>
          <w:left w:w="28" w:type="dxa"/>
          <w:bottom w:w="28" w:type="dxa"/>
          <w:right w:w="28" w:type="dxa"/>
        </w:tblCellMar>
      </w:tblPr>
      <w:tblGrid>
        <w:gridCol w:w="2422"/>
        <w:gridCol w:w="2125"/>
        <w:gridCol w:w="2142"/>
        <w:gridCol w:w="211"/>
        <w:gridCol w:w="796"/>
        <w:gridCol w:w="109"/>
        <w:gridCol w:w="109"/>
        <w:gridCol w:w="109"/>
        <w:gridCol w:w="109"/>
        <w:gridCol w:w="211"/>
        <w:gridCol w:w="721"/>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mineral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liabilities for drilling, completion and equipping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liabilities for acquisition of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liabilities for midstream properties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a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(to) from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95"/>
        <w:jc w:val="left"/>
        <w:rPr/>
      </w:pPr>
      <w:r>
        <w:rPr/>
      </w:r>
    </w:p>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4959"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West Texas and Stateline asset areas and the Greater Stebbins Area in the Delaware Basin are conducted through San Mateo. In addition, at September 30, 2024, the Company operated a cryogenic gas processing plant, compressor stations and natural gas gathering pipelines in Lea and Eddy Counties, New Mexico through Pronto, which is a wholly-owned subsidiary of the Company. During the third quarter of 2024, the Company also acquired the Piñon Investment as part of the Ameredev Acquisition.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tbl>
      <w:tblPr>
        <w:tblW w:w="10205" w:type="dxa"/>
        <w:jc w:val="center"/>
        <w:tblInd w:w="0" w:type="dxa"/>
        <w:tblLayout w:type="fixed"/>
        <w:tblCellMar>
          <w:top w:w="28" w:type="dxa"/>
          <w:left w:w="28" w:type="dxa"/>
          <w:bottom w:w="28" w:type="dxa"/>
          <w:right w:w="28" w:type="dxa"/>
        </w:tblCellMar>
      </w:tblPr>
      <w:tblGrid>
        <w:gridCol w:w="720"/>
        <w:gridCol w:w="497"/>
        <w:gridCol w:w="498"/>
        <w:gridCol w:w="251"/>
        <w:gridCol w:w="1164"/>
        <w:gridCol w:w="129"/>
        <w:gridCol w:w="109"/>
        <w:gridCol w:w="109"/>
        <w:gridCol w:w="109"/>
        <w:gridCol w:w="211"/>
        <w:gridCol w:w="976"/>
        <w:gridCol w:w="109"/>
        <w:gridCol w:w="109"/>
        <w:gridCol w:w="109"/>
        <w:gridCol w:w="109"/>
        <w:gridCol w:w="211"/>
        <w:gridCol w:w="748"/>
        <w:gridCol w:w="109"/>
        <w:gridCol w:w="109"/>
        <w:gridCol w:w="109"/>
        <w:gridCol w:w="109"/>
        <w:gridCol w:w="488"/>
        <w:gridCol w:w="938"/>
        <w:gridCol w:w="253"/>
        <w:gridCol w:w="109"/>
        <w:gridCol w:w="109"/>
        <w:gridCol w:w="109"/>
        <w:gridCol w:w="231"/>
        <w:gridCol w:w="1188"/>
        <w:gridCol w:w="176"/>
      </w:tblGrid>
      <w:tr>
        <w:trPr/>
        <w:tc>
          <w:tcPr>
            <w:tcW w:w="72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346,109 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8,899,141 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1,653,821 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10,623,291 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1,915,453 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2,214,289 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$231.6 million and $10.9 million for the exploration and production and midstream segments, respectively. Also includes corporate depletion, depreciation and amortization expenses of $0.4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$24.4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$1.59 billion attributable to land and seismic acquisition expenditures related to the exploration and production segment, $240.9 million attributable to midstream acquisition expenditures and $5.9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730"/>
        <w:gridCol w:w="508"/>
        <w:gridCol w:w="510"/>
        <w:gridCol w:w="254"/>
        <w:gridCol w:w="1177"/>
        <w:gridCol w:w="131"/>
        <w:gridCol w:w="109"/>
        <w:gridCol w:w="109"/>
        <w:gridCol w:w="109"/>
        <w:gridCol w:w="211"/>
        <w:gridCol w:w="976"/>
        <w:gridCol w:w="109"/>
        <w:gridCol w:w="109"/>
        <w:gridCol w:w="109"/>
        <w:gridCol w:w="109"/>
        <w:gridCol w:w="211"/>
        <w:gridCol w:w="749"/>
        <w:gridCol w:w="109"/>
        <w:gridCol w:w="109"/>
        <w:gridCol w:w="109"/>
        <w:gridCol w:w="109"/>
        <w:gridCol w:w="494"/>
        <w:gridCol w:w="950"/>
        <w:gridCol w:w="256"/>
        <w:gridCol w:w="109"/>
        <w:gridCol w:w="109"/>
        <w:gridCol w:w="109"/>
        <w:gridCol w:w="238"/>
        <w:gridCol w:w="1104"/>
        <w:gridCol w:w="180"/>
      </w:tblGrid>
      <w:tr>
        <w:trPr/>
        <w:tc>
          <w:tcPr>
            <w:tcW w:w="7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323,194 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6,246,067 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7,439,163 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249,293 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305,701 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(1)Includes depletion, depreciation and amortization expenses of $182.2 million</w:t>
      </w:r>
      <w:r>
        <w:rPr>
          <w:color w:val="000000"/>
        </w:rPr>
        <w:t xml:space="preserve"> </w:t>
      </w:r>
      <w:r>
        <w:rPr>
          <w:rFonts w:ascii="Times New Roman;sans-serif" w:hAnsi="Times New Roman;sans-serif"/>
          <w:b w:val="false"/>
          <w:color w:val="000000"/>
          <w:sz w:val="16"/>
        </w:rPr>
        <w:t xml:space="preserve">and $10.3 million for the exploration and production and midstream segments, respectively. Also includes corporate depletion, depreciation and amortization expenses of $0.3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$14.7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(3)Includes $53.3 million attributable to land and seismic acquisition expenditures related to the exploration and production segment and $14.1 million in capital expenditures attributable to non-controlling interest in subsidiaries related to the midstream segment. </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714"/>
        <w:gridCol w:w="492"/>
        <w:gridCol w:w="494"/>
        <w:gridCol w:w="252"/>
        <w:gridCol w:w="1168"/>
        <w:gridCol w:w="130"/>
        <w:gridCol w:w="109"/>
        <w:gridCol w:w="109"/>
        <w:gridCol w:w="109"/>
        <w:gridCol w:w="211"/>
        <w:gridCol w:w="976"/>
        <w:gridCol w:w="109"/>
        <w:gridCol w:w="109"/>
        <w:gridCol w:w="109"/>
        <w:gridCol w:w="109"/>
        <w:gridCol w:w="211"/>
        <w:gridCol w:w="748"/>
        <w:gridCol w:w="109"/>
        <w:gridCol w:w="109"/>
        <w:gridCol w:w="109"/>
        <w:gridCol w:w="109"/>
        <w:gridCol w:w="443"/>
        <w:gridCol w:w="1012"/>
        <w:gridCol w:w="230"/>
        <w:gridCol w:w="109"/>
        <w:gridCol w:w="109"/>
        <w:gridCol w:w="109"/>
        <w:gridCol w:w="232"/>
        <w:gridCol w:w="1190"/>
        <w:gridCol w:w="176"/>
      </w:tblGrid>
      <w:tr>
        <w:trPr/>
        <w:tc>
          <w:tcPr>
            <w:tcW w:w="71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2,238,873 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2,249,974 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970,833 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1,074,629 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8,899,141 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1,653,821 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10,623,291 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2,939,236 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3,376,780 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$647.5 million and $32.7 million for the exploration and production and midstream segments, respectively. Also includes corporate depletion, depreciation and amortization expenses of $1.0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$62.6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$1.94 billion attributable to land and seismic acquisition expenditures related to the exploration and production segment, $240.9 million attributable to midstream acquisition expenditures and $19.2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724"/>
        <w:gridCol w:w="503"/>
        <w:gridCol w:w="505"/>
        <w:gridCol w:w="255"/>
        <w:gridCol w:w="1181"/>
        <w:gridCol w:w="131"/>
        <w:gridCol w:w="109"/>
        <w:gridCol w:w="109"/>
        <w:gridCol w:w="109"/>
        <w:gridCol w:w="211"/>
        <w:gridCol w:w="976"/>
        <w:gridCol w:w="109"/>
        <w:gridCol w:w="109"/>
        <w:gridCol w:w="109"/>
        <w:gridCol w:w="109"/>
        <w:gridCol w:w="211"/>
        <w:gridCol w:w="749"/>
        <w:gridCol w:w="109"/>
        <w:gridCol w:w="109"/>
        <w:gridCol w:w="109"/>
        <w:gridCol w:w="109"/>
        <w:gridCol w:w="496"/>
        <w:gridCol w:w="954"/>
        <w:gridCol w:w="257"/>
        <w:gridCol w:w="109"/>
        <w:gridCol w:w="109"/>
        <w:gridCol w:w="109"/>
        <w:gridCol w:w="239"/>
        <w:gridCol w:w="1107"/>
        <w:gridCol w:w="180"/>
      </w:tblGrid>
      <w:tr>
        <w:trPr/>
        <w:tc>
          <w:tcPr>
            <w:tcW w:w="72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1,788,307 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798,352 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6,246,067 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7,439,163 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2,465,477 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2,619,772 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$466.2 million and $29.5 million for the exploration and production and midstream segments, respectively. Also includes corporate depletion, depreciation and amortization expenses of $1.0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$42.9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$1.67 billion attributable to land and seismic acquisition expenditures related to the exploration and production segment, $63.6 million attributable to midstream acquisition expenditures and $25.4 million in capital expenditures attributable to non-controlling interest in subsidiaries related to the midstream segment.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2023 (the “Annual Report”) filed with the Securities and Exchange Commission (the “SEC”) on February 27, 2024, along with Management’s Discussion and Analysis of Financial Condition and Results of Operations contained in the Annual Report. The Annual Report is accessible on the SEC’s website at </w:t>
      </w:r>
      <w:r>
        <w:rPr>
          <w:rFonts w:ascii="Times New Roman;sans-serif" w:hAnsi="Times New Roman;sans-serif"/>
          <w:b w:val="false"/>
          <w:i/>
          <w:color w:val="000000"/>
          <w:sz w:val="20"/>
          <w:u w:val="single"/>
        </w:rPr>
        <w:t>www.sec.gov</w:t>
      </w:r>
      <w:r>
        <w:rPr>
          <w:color w:val="000000"/>
        </w:rPr>
        <w:t xml:space="preserve"> </w:t>
      </w:r>
      <w:r>
        <w:rPr>
          <w:rFonts w:ascii="Times New Roman;sans-serif" w:hAnsi="Times New Roman;sans-serif"/>
          <w:b w:val="false"/>
          <w:i/>
          <w:color w:val="000000"/>
          <w:sz w:val="20"/>
        </w:rPr>
        <w:t xml:space="preserve">and on our website at </w:t>
      </w:r>
      <w:r>
        <w:rPr>
          <w:rFonts w:ascii="Times New Roman;sans-serif" w:hAnsi="Times New Roman;sans-serif"/>
          <w:b w:val="false"/>
          <w:i/>
          <w:color w:val="000000"/>
          <w:sz w:val="20"/>
          <w:u w:val="single"/>
        </w:rPr>
        <w:t>www.matadorresources.com</w:t>
      </w:r>
      <w:r>
        <w:rPr>
          <w:rFonts w:ascii="Times New Roman;sans-serif" w:hAnsi="Times New Roman;sans-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76" w:before="0" w:after="0"/>
        <w:ind w:left="0" w:right="0" w:firstLine="495"/>
        <w:jc w:val="left"/>
        <w:rPr/>
      </w:pPr>
      <w:r>
        <w:rPr>
          <w:rFonts w:ascii="Times New Roman;sans-serif" w:hAnsi="Times New Roman;sans-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(iv) references to “Pronto” refer to Pronto Midstream, LLC together with its subsidiary, (v) references to “Advance” refer to Advance Energy Partners Holdings, LLC, (vi) references to the “Advance Acquisition” refer to the acquisition of Advance from affiliates of EnCap Investments L.P., including certain oil and natural gas producing properties, undeveloped acreage and midstream assets located primarily in Lea County, New Mexico and Ward County, Texas, that was completed by a subsidiary of the Company on April 12, 2023, and the acquisition of additional interests from affiliates of EnCap Investments L.P., including overriding royalty interests and royalty interests in certain oil and natural gas properties located primarily in Lea County, New Mexico on December 1, 2023, (vii) references to “Ameredev” refer to Ameredev Stateline II, LLC, (viii) references to “Piñon” refer to Piñon Midstream, LLC, which has midstream assets in southern Lea County, New Mexico, and (ix) references to the “Ameredev Acquisition” refer to the acquisition of Ameredev from affiliates of EnCap Investments L.P., including (a) certain oil and natural gas producing properties and undeveloped acreage located in Lea County, New Mexico and Loving and Winkler Counties, Texas, and (b) an approximate 19% stake in the parent company of Piñon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which was completed by a subsidiary of the Company on September 18, 2024.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including the Ameredev Acquisition; the operating results of and availability of any potential distributions from our joint ventures; weather and environmental conditions; disruption from our acquisitions, including the Ameredev Acquisition, making it more difficult to maintain business and operational relationships; significant transaction costs associated with our acquisitions, including the Ameredev Acquisition; the risk of litigation and/or regulatory actions related to our acquisitions, including the Ameredev Acquisition;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timing and payment of dividends,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and demand of oil, natural gas and NGLs;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oil, natural gas and NGL prices, including our realized prices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drilling and production equipment;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field labor;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acquisitions, including the Ameredev Acquisition, with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environmental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Ameredev Acquisition and the anticipated benefits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pending sale of Piñon and our anticipated receipt of proceeds therefrom;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Inflation Reduction Act of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Quarter Highlights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our total oil equivalent production was 15.8 million BOE, and our average daily oil equivalent production was 171,480 BOE per day, of which 100,315 Bbl per day, or 59%, was oil and 427.0 MMcf per day, or 41%, was natural gas. Our average daily oil production of 100,315 Bbl per day for the three months ended September 30, 2024 increased 29% year-over-year from 77,529 Bbl per day for the three months ended September 30, 2023. Our average daily natural gas production of 427.0 MMcf per day for the three months ended September 30, 2024 increased 24% year-over-year from 345.4 MMcf per day for the three months ended September 30,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third quarter of 2024, we reported net income attributable to Matador shareholders of $248.3 million, or $1.99 per diluted common share, on a GAAP basis, as compared to net income attributable to Matador shareholders of $263.7 million, or $2.20 per diluted common share, for the third quarter of 2023. For the third quarter of 2024, our Adjusted EBITDA, a non-GAAP financial measure, was $574.5 million, as compared to Adjusted EBITDA of $508.3 million during the third quarter of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we reported net income attributable to Matador shareholders of $670.8 million, or $5.44 per diluted common share, on a GAAP basis, as compared to net income attributable to Matador shareholders of $591.5 million, or $4.93 per diluted common share, for the nine months ended September 30, 2023. For the nine months ended September 30, 2024, our Adjusted EBITDA, a non-GAAP financial measure, was $1.66 billion, as compared to Adjusted EBITDA of $1.30 billion during the nine months ended September 30,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nine months ended September 30, 2024, see “—Results of Operations”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Ameredev Acquisition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our wholly-owned subsidiary completed the acquisition of Ameredev from affiliates of EnCap Investments L.P., including (i) certain oil and natural gas producing properties and undeveloped acreage located in Lea County, New Mexico and Loving and Winkler Counties, Texas, and (ii) an approximate 19% stake in the parent company of Piñon, which has midstream assets in southern Lea County, New Mexico. The Ameredev Acquisition had an effective date of June 1, 2024 and an aggregate as-adjusted closing purchase price of approximately $1.831 billion in cash, which amount is subject to customary post-closing adjustments, of which approximately $95.3 million was deposited in escrow in connection with the execution of the Securities Purchase Agreement, dated as of June 12, 2024. The purchase price for the Ameredev Acquisition was funded by a combination of cash on hand and borrowings under our existing secured revolving credit facility (the “Credit Agreement”), which was amended on September 18, 2024 to, among other things: (i) provide for a term loan of $250.0 million, the full amount of which was borrowed to fund the Ameredev Acquisition, and (ii) increase the elected borrowing commitments under the revolving credit facility from $1.50 billion to $2.25 billion. On September 25, 2024, we completed the sale of $750.0 million in aggregate principal amount of our 6.25% senior unsecured notes due 2033 (the “2033 Notes”) and used the net proceeds to partially repay borrowings outstanding under our Credit Agreement, including all of the $250.0 million in outstanding borrowings under the term loan. The results of operations for the Ameredev Acquisition since the closing date of September 18, 2024 have been included in our condensed consolidated financial statements for the three and nine months ended September 30, 2024. On August 21, 2024, Piñon announced that it expects to be acquired by an affiliate of Enterprise Products Partners L.P. in the fourth quarter of 2024, subject to customary regulatory approvals. We currently expect to receive between $110.0 million and $120.0 million from the sale of Piñon and we expect to use these proceeds to reduce borrowings under our Credit Agreement. See Note 3 to the interim unaudited condensed consolidated financial statements in this Quarterly Report for more information regarding the Ameredev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O</w:t>
      </w:r>
      <w:r>
        <w:rPr>
          <w:rFonts w:ascii="Times New Roman;sans-serif" w:hAnsi="Times New Roman;sans-serif"/>
          <w:b w:val="false"/>
          <w:i/>
          <w:color w:val="000000"/>
          <w:sz w:val="20"/>
        </w:rPr>
        <w:t>perations Update</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We began 2024 operating seven drilling rigs in the Delaware Basin. We added an eighth operated drilling rig in the first quarter of 2024 and a ninth operated drilling rig late in the second quarter of 2024. Prior to the closing of the Ameredev Acquisition, Ameredev was operating one drilling rig, and upon the consummation of the Ameredev Acquisition, we continued operating a total of nine drilling rigs for the combined Matador and Ameredev properties covering approximately 196,200 net acres. </w:t>
      </w:r>
      <w:r>
        <w:rPr>
          <w:rFonts w:ascii="Times New Roman;sans-serif" w:hAnsi="Times New Roman;sans-serif"/>
          <w:b w:val="false"/>
          <w:color w:val="000000"/>
          <w:sz w:val="20"/>
        </w:rPr>
        <w:t>We have built significant optionality into our drilling program, which should generally allow us to decrease or increase the number of rigs we operate as necessary based on changing commodity prices and other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average daily oil equivalent production in the Delaware Basin for the third quarter of 2024 was 167,000 BOE per day, consisting of 99,600 Bbl of oil per day and 404.0 MMcf of natural gas per day, a 28% increase from 130,400 BOE per day, consisting of 76,800 Bbl of oil per day and 321.6 MMcf of natural gas per day, in the third quarter of 2023. These increases were primarily attributable to the increased number of wells being operated by us and by other operators where we own a working interest. The Delaware Basin contributed approximately 99% of our daily oil production and approximately 95% of our daily natural gas production in the third quarter of 2024, as compared to approximately 99% of our daily oil production and approximately 93% of our daily natural gas production in the third quarter of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completed our natural gas pipeline connections between Pronto and San Mateo and between Pronto and Matador’s acreage obtained in the Advance Acquisition. These connector pipelines provide further flow assurance and options for Matador and third-party customer natural gas.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Pronto’s midstream system included a cryogenic natural gas processing plant with a designed inlet processing capacity of 60 MMcf per day (the “Marlan Processing Plant”), four compressor stations and approximately 115 miles of natural gas gathering pipelines in Eddy and Lea Counties, New Mexico, spanning from the northeastern portion of the Arrowhead asset area into the Ranger asset area. Pronto has begun construction on an additional natural gas processing plant with a designed inlet processing capacity of 200 MMcf per day, including a nitrogen rejection unit and additional related facilities, to expand the Marlan Processing Plant.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 Capital Expenditure Budget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22, 2024, we increased our estimated drilling, completing and equipping (“D/C/E”) capital expenditures for 2024 to a range of $1.15 to $1.35 billion from a range of $1.10 to $1.30 billion, which includes our expected D/C/E capital expenditures on acreage acquired in the Ameredev Acquisition. At October 22, 2024, our estimated midstream capital expenditures for 2024 remained $200.0 to $250.0 million, which includes our proportionate share of San Mateo’s estimated 2024 capital expenditures as well as the estimated 2024 capital expenditures for other wholly-owned midstream projects, including projects completed by Pronto. The midstream capital expenditure budget includes 100% of the costs associated with the Marlan Processing Plant expansion, although, at October 22, 2024, we were continuing to evaluate potential partners in Pronto that would share in these capital expenditures and strategic opportunities. The midstream capital expenditure budget excludes the acquisition cost of Ameredev’s midstream assets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Resources Update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Matador’s Board of Directors (the “Board”) declared quarterly cash dividends of $0.20 per share of common stock in each of the first, second and third quarters of 2024. On October 16, 2024, the Board amended our dividend policy to increase the quarterly dividend to $0.25 per share of common stock for future dividend payments and also declared a quarterly cash dividend of $0.25 per share of common stock payable on December 6, 2024 to shareholders of record as of November 15, 2024.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and our lenders entered into an amendment to the Fourth Amended and Restated Credit Agreement, which amended our Credit Agreement to, among other things: (i) reaffirm the borrowing base at $2.50 billion, </w:t>
        <w:br/>
        <w:t xml:space="preserve">(ii)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we completed an underwritten public offering of 5,250,000 shares of our common stock (the “2024 Equity Offering”). After deducting underwriting discounts and offering expenses, we received net proceeds of approximately $342.1 million. The net proceeds from the 2024 Equity Offering were used for general corporate purposes, including the funding of acquisitions and the repayment of borrowings outstanding under our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and April 4, 2024, we completed the repurchase of an aggregate principal amount of approximately $556.3 million of the $699.2 million of outstanding senior notes due 2026 (the “2026 Notes”) as part of our cash tender offer announced on March 26, 2024 (the “2026 Notes Tender Offer”). On April 2, 2024, we exercised our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 respect to the 2026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we completed the sale of $900.0 million in aggregate principal amount of the Company’s 6.50% senior notes due 2032 (the “2032 Notes”). We used the net proceeds from the sale of the 2032 Notes (the “2032 Notes Offering”) of approximately $885.0 million, after deducting the initial purchasers’ discounts and estimated offering expenses, to fund the 2026 Notes Tender Offer and 2026 Notes Redemption and for general corporate purposes, including the funding of acquisitions and the repayment of borrowings outstanding under our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18, 2024, we and our lenders entered into an amendment to the Fourth Amended and Restated Credit Agreement, which amended the Credit Agreement to, among other things: (i) provide for a term loan of $250.0 million, the full amount of which was borrowed to fund the Ameredev Acquisition, and (ii) increase the elected borrowing commitments from $1.50 billion to $2.25 billion.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2024, we completed the sale of $750.0 million in aggregate principal amount of the 2033 Notes (the “2033 Notes Offering”). We used the net proceeds from the 2033 Notes Offering of approximately $736.4 million, after deducting the initial purchasers’ discounts and estimated offering expenses, to partially repay borrowings outstanding under our Credit Agreement, including all of the $250.0 million in outstanding borrowings under the term loan.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we had (i) $955.0 million in borrowings outstanding under our Credit Agreement, </w:t>
        <w:br/>
        <w:t>(ii) approximately $52.9 million in outstanding letters of credit issued pursuant to the Credit Agreement, (iii) $500.0 million of outstanding 6.875% senior notes due 2028 (the “2028 Notes”), (iv) $900.0 million of outstanding 2032 Notes and (v) $750.0 million of outstanding 2033 Notes. Between September 30, 2024 and October 22, 2024, we repaid $65.0 million of borrowings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San Mateo had $526.0 million in borrowings outstanding under San Mateo’s revolving credit facility (the “San Mateo Credit Facility”) and approximately $9.0 million in outstanding letters of credit issued pursuant to the San Mateo Credit Facility. Between September 30, 2024 and October 22, 2024, San Mateo repaid $32.0 million of borrowings under the San Mateo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from those set forth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interim unaudited condensed consolidated financial statements for a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revenues and production data for the periods indicated:</w:t>
      </w:r>
    </w:p>
    <w:tbl>
      <w:tblPr>
        <w:tblW w:w="10095" w:type="dxa"/>
        <w:jc w:val="left"/>
        <w:tblInd w:w="0" w:type="dxa"/>
        <w:tblLayout w:type="fixed"/>
        <w:tblCellMar>
          <w:top w:w="28" w:type="dxa"/>
          <w:left w:w="28" w:type="dxa"/>
          <w:bottom w:w="28" w:type="dxa"/>
          <w:right w:w="28" w:type="dxa"/>
        </w:tblCellMar>
      </w:tblPr>
      <w:tblGrid>
        <w:gridCol w:w="1518"/>
        <w:gridCol w:w="1331"/>
        <w:gridCol w:w="133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Data</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 (in thousands)</w:t>
            </w:r>
            <w:r>
              <w:rPr>
                <w:rFonts w:ascii="Times New Roman;sans-serif" w:hAnsi="Times New Roman;sans-serif"/>
                <w:b/>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Production Volumes</w:t>
            </w:r>
            <w:r>
              <w:rPr>
                <w:rFonts w:ascii="Times New Roman;sans-serif" w:hAnsi="Times New Roman;sans-serif"/>
                <w:b/>
                <w:color w:val="000000"/>
                <w:sz w:val="13"/>
              </w:rPr>
              <w:t>(1)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(MBbl)</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(Bcf)</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Total oil equivalent (MBOE)</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Average daily production (BOE/d)</w:t>
            </w:r>
            <w:r>
              <w:rPr>
                <w:rFonts w:ascii="Times New Roman;sans-serif" w:hAnsi="Times New Roman;sans-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(2)One thousand Bbl of oil.</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(3)One billion cubic feet of natural gas.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(4)One thousand Bbl of oil equivalent,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(5)Barrels of oil equivalent per day, estimated using a conversion ratio of one Bbl of oil per six Mcf of natural gas.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September 30, 2024 as Compared to Three Months Ended September 30,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Our oil and natural gas revenues increased $68.6 million, or 10%, to $770.2 million for the three months ended September 30, 2024, as compared to $701.5 million for the three months ended September 30, 2023. Our oil revenues increased $110.0 million, or 19%, to $698.4 million for the three months ended September 30, 2024, as compared to $588.4 million for the three months ended September 30, 2023. The increase in oil revenues resulted from a 29% increase in our oil production to 9.2 million Bbl for the three months ended September 30, 2024, as compared to 7.1 million Bbl for the three months ended September 30, 2023, which was partially offset by an 8% decrease in the weighted average oil price realized for the three months ended September 30, 2024 to $75.67 per Bbl, as compared to $82.49 per Bbl for the three months ended September 30, 2023. Our natural gas revenues decreased $41.4 million, or 37%, to $71.8 million for the three months ended September 30, 2024, as compared to $113.2 million for the three months ended September 30, 2023. The decrease in natural gas revenues resulted from a 49% decrease in the weighted average natural gas price realized for the three months ended September 30, 2024 to $1.83 per Mcf, as compared to a weighted average natural gas price of $3.56 per Mcf realized for the three months ended September 30, 2023, which was partially offset by a 24% increase in our natural gas production to 39.3 Bcf for the three months ended September 30, 2024, as compared to 31.8 Bcf for the three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$8.4 million, or 28%, to $38.3 million for the three months ended September 30, 2024, as compared to $29.9 million for the three months ended September 30, 2023. Third-party midstream services revenues are those revenues from midstream operations related to third parties, including working interest owners in our operated wells. This increase was primarily attributable to an increase in our third-party produced water disposal revenues to $15.4 million for the three months ended September 30, 2024, as compared to $10.5 million for the three months ended September 30, 2023, and an increase in our third-party natural gas gathering and processing revenues to $18.8 million for the three months ended September 30, 2024, as compared to $16.7 million for the three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 xml:space="preserve">Our sales of purchased natural gas increased $11.3 million, or 28%, to $51.7 million for the three months ended September 30, 2024, as compared to $40.3 million for the three months ended September 30, 2023. This increase was primarily the result of an 83% increase in natural gas volumes sold, which was partially offset by a 30% decrease in natural gas price realized.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natural gas and NGLs to other purchasers. These revenues, and the expenses related to these transactions included in “Purchased natural gas,” are presented on a gross basis in our interim unaudited condensed consolidated statements of income.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Realized gain (loss) on derivatives.</w:t>
      </w:r>
      <w:r>
        <w:rPr>
          <w:color w:val="000000"/>
        </w:rPr>
        <w:t xml:space="preserve"> </w:t>
      </w:r>
      <w:r>
        <w:rPr>
          <w:rFonts w:ascii="Times New Roman;sans-serif" w:hAnsi="Times New Roman;sans-serif"/>
          <w:b w:val="false"/>
          <w:color w:val="000000"/>
          <w:sz w:val="20"/>
        </w:rPr>
        <w:t>Our realized gain on derivatives was $4.5 million for the three months ended September 30, 2024, as compared to a realized loss of $7.0 million for the three months ended September 30, 2023. We realized a net gain of $4.5 million related to our natural gas basis differential swap contracts for the three months ended September 30, 2024, resulting primarily from natural gas basis differentials that were below the fixed prices of certain of our natural gas basis differential swap contracts. For the three months ended September 30, 2023, we realized a net loss of $7.0 million related to our natural gas basis differential swap contracts, resulting primarily from natural gas basis differentials that were above the fixed prices of certain of our natural gas basis differential swap contracts. We realized an average gain on our natural gas derivatives of approximately $0.11 per Mcf produced during the three months ended September 30, 2024, as compared to an average loss of approximately $0.22 per Mcf produced during the three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Unrealized gain (loss) on derivatives.</w:t>
      </w:r>
      <w:r>
        <w:rPr>
          <w:color w:val="000000"/>
        </w:rPr>
        <w:t xml:space="preserve"> </w:t>
      </w:r>
      <w:r>
        <w:rPr>
          <w:rFonts w:ascii="Times New Roman;sans-serif" w:hAnsi="Times New Roman;sans-serif"/>
          <w:b w:val="false"/>
          <w:color w:val="000000"/>
          <w:sz w:val="20"/>
        </w:rPr>
        <w:t>During the three months ended September 30, 2024, the aggregate net fair value of our open oil costless collar and natural gas basis differential swap contracts changed to a net asset of $28.0 million from a net liability of $7.1 million at June 30, 2024, resulting in an unrealized gain on derivatives of $35.1 million for the three months ended September 30, 2024. During the three months ended September 30, 2023, the aggregate net fair value of our open natural gas basis differential swap contracts changed to a net liability of $4.3 million from a net liability of $11.8 million at June 30, 2023, resulting in an unrealized gain on derivatives of $7.5 million for the three months ended September 30, 2023.</w:t>
      </w:r>
    </w:p>
    <w:p>
      <w:pPr>
        <w:pStyle w:val="TextBody"/>
        <w:bidi w:val="0"/>
        <w:spacing w:lineRule="auto" w:line="288" w:before="120" w:after="283"/>
        <w:ind w:left="0" w:right="0" w:firstLine="225"/>
        <w:jc w:val="left"/>
        <w:rPr/>
      </w:pPr>
      <w:r>
        <w:rPr>
          <w:rFonts w:ascii="Times New Roman;sans-serif" w:hAnsi="Times New Roman;sans-serif"/>
          <w:b w:val="false"/>
          <w:i/>
          <w:color w:val="000000"/>
          <w:sz w:val="20"/>
        </w:rPr>
        <w:t>Nine Months Ended September 30, 2024 as Compared to Nine Months Ended September 30, 2023</w:t>
      </w:r>
      <w:r>
        <w:rPr>
          <w:color w:val="000000"/>
        </w:rPr>
        <w:t xml:space="preserve">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 xml:space="preserve">Our oil and natural gas revenues increased $457.6 million, or 26%, to $2.25 billion for the nine months ended September 30, 2024, as compared to $1.79 billion for the nine months ended September 30, 2023. Our oil revenues increased $501.9 million, or 33%, to $2.00 billion for the nine months ended September 30, 2024, as compared to $1.50 billion for the nine months ended September 30, 2023. This increase in oil revenues resulted from a 32% increase in our oil production to 25.6 million Bbl for the nine months ended September 30, 2024, as compared to 19.4 million Bbl for the nine months ended September 30, 2023 and a 1% increase in the weighted average oil price realized for the nine months ended September 30, 2024 to $78.12 per Bbl, as compared to $77.41 per Bbl for the nine months ended September 30, 2023. Our natural gas revenues decreased by $44.3 million, or 15%, to $247.5 million for the nine months ended September 30, 2024, as compared to $291.8 million for the nine months ended September 30, 2023. The decrease in natural gas revenues resulted from a 33% decrease in the weighted average natural gas price realized for the nine months ended September 30, 2024 to $2.25 per Mcf, as compared to a weighted average natural gas price of $3.35 per Mcf for the nine months ended September 30, 2023, which was partially offset by a 26% increase in our natural gas production to 110.2 Bcf for the nine months ended September 30, 2024, as compared to 87.2 Bcf for the nine months ended September 30,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$16.8 million, or 19%, to $103.3 million for the nine months ended September 30, 2024, as compared to $86.5 million for the nine months ended September 30, 2023. This increase was primarily attributable to an increase in our third-party produced water disposal revenues to $42.9 million for the nine months ended September 30, 2024, as compared to $31.4 million for the nine months ended September 30, 2023, and an increase in our oil transportation revenues to $10.6 million for the nine months ended September 30, 2024, as compared to $7.7 million for the nine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Our sales of purchased natural gas increased $40.9 million, or 38%, to $147.4 million for the nine months ended September 30, 2024, as compared to $106.5 million for the nine months ended September 30, 2023. This increase was the result of a 59% increase in natural gas volumes sold, which was partially offset by a 13% decrease in natural gas price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Realized gain (loss) on derivatives. </w:t>
      </w:r>
      <w:r>
        <w:rPr>
          <w:rFonts w:ascii="Times New Roman;sans-serif" w:hAnsi="Times New Roman;sans-serif"/>
          <w:b w:val="false"/>
          <w:color w:val="000000"/>
          <w:sz w:val="20"/>
        </w:rPr>
        <w:t>Our realized gain on derivatives was $8.6 million for the nine months ended September 30, 2024, as compared to a realized loss of $6.5 million for the nine months ended September 30, 2023. We realized a net gain of $8.6 million related to our natural gas basis differential swap contracts for the nine months ended September 30, 2024, resulting primarily from natural gas basis differentials that were below the fixed prices of our natural gas basis differential swap contracts. For the nine months ended September 30, 2023, we realized a net loss of $6.5 million related to our natural gas costless collar and natural gas basis differential swap contracts, resulting primarily from natural gas prices that were above the fixed prices of our natural gas basis differential swap contracts, offset by natural gas prices that were below the floor prices of certain of our natural gas costless collar contracts. We realized an average gain on our natural gas derivatives of approximately $0.07 per Mcf produced during the nine months ended September 30, 2024, as compared to an average loss of approximately $0.08 per Mcf produced during the nine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Unrealized gain (loss) on derivatives. </w:t>
      </w:r>
      <w:r>
        <w:rPr>
          <w:rFonts w:ascii="Times New Roman;sans-serif" w:hAnsi="Times New Roman;sans-serif"/>
          <w:b w:val="false"/>
          <w:color w:val="000000"/>
          <w:sz w:val="20"/>
        </w:rPr>
        <w:t>During the nine months ended September 30, 2024, the aggregate net fair value of our open oil costless collar and natural gas basis differential swap contracts changed to a net asset of $28.0 million from a net asset of $2.7 million at December 31, 2023, resulting in an unrealized gain on derivatives of $25.4 million for the nine months ended September 30, 2024. During the nine months ended September 30, 2023, the aggregate net fair value of our open natural gas costless collar and natural gas basis differential swap contracts changed to a net liability of $4.3 million from a net asset of $3.9 million at December 31, 2022, resulting in an unrealized loss on derivatives of $8.2 million for the nine months ended September 30, 2023.</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before="120" w:after="283"/>
        <w:ind w:left="0" w:right="0" w:firstLine="225"/>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754"/>
        <w:gridCol w:w="1418"/>
        <w:gridCol w:w="1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operating</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September 30, 2024 as Compared to Three Months Ended September 30,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Our production taxes and transportation and processing expenses increased $1.0 million, or 1%, to $72.7 million for the three months ended September 30, 2024, as compared to $71.7 million for the three months ended September 30, 2023. The increase was primarily attributable to a $5.4 million increase in production taxes to $60.2 million for the three months ended September 30, 2024, as compared to $54.8 million for the three months ended September 30, 2023, which was partially offset by a $4.3 million decrease in transportation and processing expenses to $12.6 million for the three months ended September 30, 2024, as compared to $16.9 million for the three months ended September 30, 2023. This increase in production taxes is primarily due to the increase in oil and natural gas revenues between the two periods. On a unit-of-production basis, our production taxes and transportation and processing expenses decreased 20% to $4.61 per BOE for the three months ended September 30, 2024, as compared to $5.77 per BOE for the three months ended September 30, 2023, primarily due to a favorable one-time transportation fee adjustment with a third-party vendor during the third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Lease operating.</w:t>
      </w:r>
      <w:r>
        <w:rPr>
          <w:color w:val="000000"/>
        </w:rPr>
        <w:t xml:space="preserve"> </w:t>
      </w:r>
      <w:r>
        <w:rPr>
          <w:rFonts w:ascii="Times New Roman;sans-serif" w:hAnsi="Times New Roman;sans-serif"/>
          <w:b w:val="false"/>
          <w:color w:val="000000"/>
          <w:sz w:val="20"/>
        </w:rPr>
        <w:t>Our lease operating expenses increased $20.4 million, or 31%, to $86.8 million for the three months ended September 30, 2024, as compared to $66.4 million for the three months ended September 30, 2023. Our lease operating expenses on a unit-of-production basis increased 3% to $5.50 per BOE for the three months ended September 30, 2024, as compared to $5.34 per BOE for the three months ended September 30, 2023. These increases were primarily attributable to the increased number of wells being operated by us and other operators (where we own a working interest) and to operating cost inflation for the three months ended September 30, 2024, as compared to the three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$12.9 million, or 42%, to $43.7 million for the three months ended September 30, 2024, as compared to $30.8 million for the three months ended September 30, 2023. This increase was primarily attributable to increased throughput volumes from Matador and other San Mateo and Pronto customers, which resulted in (i) increased expenses associated with our expanded pipeline operations of $16.5 million for the three months ended September 30, 2024, as compared to $9.9 million for the three months ended September 30, 2023, and (ii) increased expenses associated with our commercial produced water disposal operations of $16.7 million for the three months ended September 30, 2024, as compared to $12.5 million for the three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 xml:space="preserve">Our depletion, depreciation and amortization expenses increased $50.0 million, or 26%, to $242.8 million for the three months ended September 30, 2024, as compared to $192.8 million for the three months ended September 30, 2023, primarily as a result of a 27% increase in our total oil equivalent production for the three months ended September 30, 2024, as compared to the three months ended September 30, 2023. On a unit-of-production basis, our depletion, depreciation and amortization expenses decreased 1% to $15.39 per BOE for the three months ended September 30, 2024, as compared to $15.51 per BOE for the three months ended September 30,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decreased $2.9 million, or 9%, to $28.8 million for the three months ended September 30, 2024, as compared to $31.7 million for the three months ended September 30, 2023. Our general and administrative expenses decreased by 29% on a unit-of-production basis to $1.82 per BOE for the three months ended September 30, 2024, as compared to $2.55 per BOE for the three months ended September 30, 2023, primarily as a result of a 27% increase in our total oil equivalent production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For the three months ended September 30, 2024, we incurred total interest expense of $44.4 million. We capitalized $8.2 million of our interest expense on certain qualifying projects for the three months ended September 30, 2024 and expensed the remaining $36.2 million to operations. For the three months ended September 30, 2023, we incurred total interest expense of $42.8 million. We capitalized $7.4 million of our interest expense on certain qualifying projects for the three months ended September 30, 2023 and expensed the remaining $35.4 million to operations. The increase in interest expense for the three months ended September 30, 2024 was primarily attributable to an increase in our average debt outstanding between the two periods. In April 2024, we completed the 2026 Notes Tender Offer, the 2026 Notes Redemption and the 2032 Notes Offering and in September 2024 we completed the 2033 Notes Offering, resulting in a net increase in our total senior notes outstanding to $2.15 billion at September 30, 2024 as compared to $1.20 billion at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Income tax provision (benefit). </w:t>
      </w:r>
      <w:r>
        <w:rPr>
          <w:rFonts w:ascii="Times New Roman;sans-serif" w:hAnsi="Times New Roman;sans-serif"/>
          <w:b w:val="false"/>
          <w:color w:val="000000"/>
          <w:sz w:val="20"/>
        </w:rPr>
        <w:t xml:space="preserve">We recorded a current income tax benefit of $21.1 million and a deferred income tax provision of $106.4 million for the three months ended September 30, 2024. We recorded a current income tax provision of $9.0 million and a deferred income tax provision of $5.6 million for the three months ended September 30, 2023. Our effective income tax rate of 26% for the three months ended September 30, 2024 differed from the U.S. federal statutory rate due primarily to permanent differences between book and taxable income and state taxes, primarily in New Mexico. Our effective income tax rate of 5% for the three months ended September 30, 2023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 </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as Compared to Nine Months Ended September 30, 2023</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Production taxes, transportation and processing. </w:t>
      </w:r>
      <w:r>
        <w:rPr>
          <w:rFonts w:ascii="Times New Roman;sans-serif" w:hAnsi="Times New Roman;sans-serif"/>
          <w:b w:val="false"/>
          <w:color w:val="000000"/>
          <w:sz w:val="20"/>
        </w:rPr>
        <w:t xml:space="preserve">Our production taxes, transportation and processing expenses increased $30.5 million, or 16%, to $219.7 million for the nine months ended September 30, 2024, as compared to $189.2 million for the nine months ended September 30, 2023. This increase was primarily attributable to a $33.1 million increase in production taxes to $174.3 million for the nine months ended September 30, 2024, as compared to $141.2 million for the nine months ended September 30, 2023, primarily due to the increase in oil and natural gas revenues between the two periods. On a unit-of-production basis, our production taxes, transportation and processing expenses decreased 11% to $4.99 per BOE for the nine months ended September 30, 2024, as compared to $5.58 per BOE for the nine months ended September 30, 2023. This decrease was primarily attributable to a decrease in the transportation and processing expense per BOE that resulted from the mix of revenue contracts, including from San Mateo and Pronto, between the two periods.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Lease operating expenses. </w:t>
      </w:r>
      <w:r>
        <w:rPr>
          <w:rFonts w:ascii="Times New Roman;sans-serif" w:hAnsi="Times New Roman;sans-serif"/>
          <w:b w:val="false"/>
          <w:color w:val="000000"/>
          <w:sz w:val="20"/>
        </w:rPr>
        <w:t xml:space="preserve">Our lease operating expenses increased $70.3 million, or 41%, to $242.1 million for the nine months ended September 30, 2024, as compared to $171.8 million for the nine months ended September 30, 2023. Our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per unit of production increased 8% to $5.50 per BOE for the nine months ended September 30, 2024, as compared to $5.07 per BOE for the nine months ended September 30, 2023. These increases were primarily attributable to the increased number of wells being operated by us, including 127 wells from the Advance Acquisition, and operated by other operators (where we own a working interest) and to operating cost inflation for the nine months ended September 30, 2024, as compared to the nine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$28.1 million, or 30%, to $120.6 million for the nine months ended September 30, 2024, as compared to $92.5 million for the nine months ended September 30, 2023. This increase was primarily attributable to increased throughput volumes from Matador and other San Mateo and Pronto customers, which resulted in (i) increased expenses associated with our expanded pipeline operations of $46.1 million for the three months ended September 30, 2024, as compared to $30.0 million for the three months ended September 30, 2023, and (ii) increased expenses associated with our commercial produced water disposal operations of $47.7 million for the three months ended September 30, 2024, as compared to $38.4 million for the three months ended September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Our depletion, depreciation and amortization expenses increased $184.4 million, or 37%, to $681.1 million for the nine months ended September 30, 2024, as compared to $496.6 million for the nine months ended September 30, 2023, primarily as a result of the Advance Acquisition and the approximate 30% increase in our total oil equivalent production for the nine months ended September 30, 2024, as compared to the nine months ended September 30, 2023. On a unit-of-production basis, our depletion, depreciation and amortization expenses increased 6% to $15.48 per BOE for the nine months ended September 30, 2024, as compared to $14.64 per BOE for the nine months ended September 30, 2023, primarily as a result of the Advance Acquisition.</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Our general and administrative expenses increased $5.5 million, or 7%, to $86.4 million for the nine months ended September 30, 2024, as compared to $80.9 million for the nine months ended September 30, 2023, primarily as a result of increased payroll for our existing employees as well as with additional employees joining Matador to support our increased land, geoscience, drilling, completion, production, midstream and administration functions as a result of our continued growth. Our general and administrative expenses decreased by 18% on a unit-of-production basis to $1.96 per BOE for the nine months ended September 30, 2024, as compared to $2.38 per BOE for the nine months ended September 30, 2023, primarily as a result of the approximate 30% increase in our total oil equivalent production between the two periods.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For the nine months ended September 30, 2024, we incurred total interest expense of approximately $135.1 million. We capitalized approximately $23.4 million of our interest expense on certain qualifying projects for the nine months ended September 30, 2024 and expensed the remaining $111.7 million to operations. For the nine months ended September 30, 2023, we incurred total interest expense of approximately $101.9 million. We capitalized approximately $16.1 million of our interest expense on certain qualifying projects for the nine months ended September 30, 2023 and expensed the remaining $85.8 million to operations. The increase in interest expense for the nine months ended September 30, 2024 was primarily attributable to an increase in our average debt outstanding between the two periods. In April 2024, we completed the 2026 Notes Tender Offer, the 2026 Notes Redemption and the 2032 Notes Offering and in September 2024 we completed the 2033 Notes Offering, resulting in a net increase in our total senior notes outstanding to $2.15 billion at September 30, 2024 as compared to $1.20 billion at September 30, 2023. In connection with the 2026 Notes Tender Offer, 2026 Notes Redemption and the amendment of our Credit Agreement in March 2024, we also incurred a loss of approximately $5.6 million included in interest expense for the nine months ended September 30, 2024.</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Income tax provision (benefit)</w:t>
      </w:r>
      <w:r>
        <w:rPr>
          <w:rFonts w:ascii="Times New Roman;sans-serif" w:hAnsi="Times New Roman;sans-serif"/>
          <w:b w:val="false"/>
          <w:color w:val="000000"/>
          <w:sz w:val="20"/>
        </w:rPr>
        <w:t>. We recorded a current income tax provision of $26.3 million and a deferred income tax provision of $203.8 million for the nine months ended September 30, 2024. We recorded a current income tax provision of $9.0 million and a deferred income tax provision of $119.6 million for the nine months ended September 30, 2023. Our effective income tax rate of 26% for the nine months ended September 30, 2024 differed from the U.S. federal statutory rate due primarily to permanent differences between book and taxable income and state taxes, primarily in New Mexico. Our effective income tax rate of 18% for the nine months ended September 30, 2023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use of capital has been, and we expect will continue to be during the remainder of 2024 and for the foreseeable future, for the acquisition, exploration and development of oil and natural gas properties and for midstream investments. On September 18, 2024, we closed the Ameredev Acquisition that was funded through a combination of cash on hand and borrowings under our Credit Agreement. On August 21, 2024, Piñon announced that it expects to be acquired by an affiliate of Enterprise Products Partners L.P. in the fourth quarter of 2024, subject to customary regulatory approvals. We currently expect to receive between $110.0 million and $120.0 million from the sale of Piñon and we expect to use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to reduce borrowings under our Credit Agreement. Excluding the Ameredev Acquisition and any future significant acquisitions, we expect to fund our 2024 capital expenditures through a combination of cash on hand, operating cash flows and performance incentives paid to us by Five Point Energy, LLC or its affiliates. If capital expenditures were to exceed our operating cash flows during the remainder of 2024, we expect to fund any such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declared quarterly cash dividends of $0.20 per share of common stock in each of the first, second and third quarters of 2024. On October 16, 2024, the Board amended our dividend policy to increase the quarterly dividend to $0.25 per share of common stock for future dividend payments and also declared a quarterly cash dividend of $0.25 per share of common stock payable on December 6, 2024 to shareholders of record as of November 15, 2024.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and our lenders entered into an amendment to the Fourth Amended and Restated Credit Agreement, which amended our Credit Agreement to, among other things: (i) reaffirm the borrowing base at $2.50 billion, </w:t>
        <w:br/>
        <w:t xml:space="preserve">(ii)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18, 2024, we and our lenders entered into an amendment to the Fourth Amended and Restated Credit Agreement, which amended our Credit Agreement to, among other things: (i) provide for a term loan of $250.0 million, the full amount of which was borrowed to fund the Ameredev Acquisition, and (ii) increase the elected borrowing commitments under our revolving credit facility from $1.50 billion to $2.25 billion.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at the end of each fiscal quarter and (ii) a debt to EBITDA ratio, which is defined as debt outstanding (net of cash or cash equivalents of up to the greater of (a) $150.0 million and (b) 10% of the elected commitment), divided by a rolling four quarter EBITDA calculation, of 3.5 or less. We believe that we were in compliance with the terms of the Credit Agreement at September 30,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we completed the 2024 Equity Offering. After deducting underwriting discounts and offering expenses, we received net proceeds of approximately $342.1 million. The net proceeds from the 2024 Equity Offering were used for general corporate purposes, including the funding of acquisitions and the repayment of borrowings outstanding under our Credit Agreement.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we completed the 2032 Notes Offering. We used the net proceeds from the 2032 Notes Offering of approximately $885.0 million, after deducting the initial purchasers’ discounts and estimated offering expenses, to fund the 2026 Notes Tender Offer and 2026 Notes Redemption and for general corporate purposes, including the funding of acquisitions and the repayment of borrowings outstanding under our Credit Agreement.</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2024, we completed the 2033 Notes Offering. We used the net proceeds from the 2033 Notes Offering of approximately $736.4 million, after deducting the initial purchasers’ discounts and estimated offering expenses, to partially repay borrowings outstanding under our Credit Agreement, including all of the $250.0 million in outstanding borrowings under the term loan.</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we had cash totaling $23.3 million and restricted cash totaling $53.7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(i) $500.0 million of outstanding 2028 Notes, (ii) $900.0 million of outstanding 2032 Notes, (iii) $750.0 million of outstanding 2033 Notes, (iv) $955.0 million in borrowings outstanding under the Credit Agreement and (v) approximately $52.9 million in outstanding letters of credit issued pursuant to the Credit Agreement. Between September 30, 2024 and October 22, 2024, we repaid $65.0 million of borrowings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San Mateo had $526.0 million in borrowings outstanding under the San Mateo Credit Facility and approximately $9.0 million in outstanding letters of credit issued pursuant to the San Mateo Credit Facility. Between September 30, 2024 and October 22, 2024, San Mateo repaid $32.0 million of borrowings under the San Mateo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borrowings under the San Mateo Credit Facility mature on December 9, 2026, and lender commitments under the facility were $535.0 million at September 30, 2024. The San Mateo Credit Facility includes an accordion feature, which provides for potential increases in lender commitments of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September 30, 2024.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We expect that development of our Delaware Basin assets will be the primary focus of our operations and capital expenditures for the remainder of 2024. We began 2024 operating seven drilling rigs in the Delaware Basin. We added an eighth operated drilling rig in the first quarter of 2024 and a ninth operated drilling rig late in the second quarter of 2024. </w:t>
      </w:r>
      <w:r>
        <w:rPr>
          <w:rFonts w:ascii="Times New Roman;sans-serif" w:hAnsi="Times New Roman;sans-serif"/>
          <w:b w:val="false"/>
          <w:color w:val="000000"/>
          <w:sz w:val="20"/>
          <w:shd w:fill="FFFFFF" w:val="clear"/>
        </w:rPr>
        <w:t xml:space="preserve">Prior to the closing of the Ameredev Acquisition, Ameredev was operating one drilling rig, and upon the consummation of the Ameredev Acquisition, we continued operating a total of nine drilling rigs on the combined Matador and Ameredev properties covering approximately 196,200 net acres. </w:t>
      </w:r>
      <w:r>
        <w:rPr>
          <w:rFonts w:ascii="Times New Roman;sans-serif" w:hAnsi="Times New Roman;sans-serif"/>
          <w:b w:val="false"/>
          <w:color w:val="000000"/>
          <w:sz w:val="20"/>
        </w:rPr>
        <w:t>We have built significant optionality into our drilling program, which should generally allow us to decrease or increase the number of rigs we operate as necessary based on changing commodity prices and other factors. On October 22, 2024, we increased our estimated D/C/E capital expenditures for 2024 to a range of $1.15 to $1.35 billion from a range of $1.10 to $1.30 billion, which includes our expected D/C/E capital expenditures on acreage acquired in the Ameredev Acquisition. At October 22, 2024, our estimated midstream capital expenditures for 2024 remained $200.0 to $250.0 million, which includes our proportionate share of San Mateo’s estimated 2024 capital expenditures as well as the estimated 2024 capital expenditures for other wholly-owned midstream projects, including projects completed by Pronto. The midstream capital expenditure budget includes 100% of the costs associated with the Marlan Processing Plant expansion noted above, although, at October 22, 2024, we were continuing to evaluate potential partners in Pronto that would share in these capital expenditures and strategic opportunities. The midstream capital expenditure budget excludes the acquisition cost of Ameredev’s midstream assets. Substantially all of these 2024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2024 Delaware Basin operated drilling program is expected to focus on the continued development of our various asset areas throughout the Delaware Basin, with a continued emphasis on drilling and completing a high percentage of longer horizontal wells in 2024, including 99% with anticipated completed lateral lengths of one mile or greater.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2024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Exploration and development activities are subject to a number of risks and uncertainties, which could cause these activities to be less successful than we anticipate. A significant portion of our anticipated cash flows from operations for the remainder of 2024 is expected to come from producing wells and development activities on currently proved properties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Wolfcamp and Bone Spring plays in the Delaware Basin, the Eagle Ford shale in South Texas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2024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cash flows for the nine months ended September 30, 2024 and 2023 are presented below:</w:t>
      </w:r>
    </w:p>
    <w:tbl>
      <w:tblPr>
        <w:tblW w:w="9489" w:type="dxa"/>
        <w:jc w:val="left"/>
        <w:tblInd w:w="0" w:type="dxa"/>
        <w:tblLayout w:type="fixed"/>
        <w:tblCellMar>
          <w:top w:w="28" w:type="dxa"/>
          <w:left w:w="28" w:type="dxa"/>
          <w:bottom w:w="28" w:type="dxa"/>
          <w:right w:w="28" w:type="dxa"/>
        </w:tblCellMar>
      </w:tblPr>
      <w:tblGrid>
        <w:gridCol w:w="2358"/>
        <w:gridCol w:w="2081"/>
        <w:gridCol w:w="2086"/>
        <w:gridCol w:w="211"/>
        <w:gridCol w:w="976"/>
        <w:gridCol w:w="109"/>
        <w:gridCol w:w="109"/>
        <w:gridCol w:w="109"/>
        <w:gridCol w:w="109"/>
        <w:gridCol w:w="211"/>
        <w:gridCol w:w="97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(3,280,718)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20"/>
              </w:rPr>
              <w:t>attributable to Matador Resources Company shareholders</w:t>
            </w:r>
            <w:r>
              <w:rPr>
                <w:rFonts w:ascii="Times New Roman;sans-serif" w:hAnsi="Times New Roman;sans-serif"/>
                <w:b w:val="false"/>
                <w:color w:val="000000"/>
                <w:sz w:val="13"/>
              </w:rPr>
              <w:t xml:space="preserve">(1)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$422.4 million to $1.67 billion for the nine months ended September 30, 2024 from $1.25 billion for the nine months ended September 30, 2023. Excluding changes in operating assets and liabilities, net cash provided by operating activities increased $341.1 million to $1.62 billion for the nine months ended September 30, 2024 from $1.28 billion for the nine months ended September 30, 2023. This increase was primarily attributable to higher oil and natural gas production and higher realized oil prices for the nine months ended September 30, 2024, as compared to the nine months ended September 30, 2023, partially offset by lower realized natural gas prices. Changes in our operating assets and liabilities between the two periods resulted in a net increase of approximately $81.3 million in net cash provided by operating activities for the nine months ended September 30, 2024, as compared to the nine months ended September 30, 2023.</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$618.4 million to $3.28 billion for the nine months ended September 30, 2024 from $2.66 billion for the nine months ended September 30, 2023. This increase in net cash used in investing activities was primarily due to (i) $1.83 billion in expenditures related to the Ameredev Acquisition in the third quarter of 2024, (ii) an increase between the periods of $201.2 million in expenditures related to the acquisition of oil and natural gas properties, </w:t>
        <w:br/>
        <w:t>(iii) an increase between the periods of $143.6 million in midstream capital expenditures and (iv) an increase between the periods of $50.0 million in D/C/E capital expenditures primarily attributable to our operated and non-operated drilling, completion and equipping activities in the Delaware Basin. These increases were partially offset by a decrease between the periods of $1.61 billion in expenditures related to the Advance Acquisition in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$651.8 million to $1.58 billion for the nine months ended September 30, 2024 from $927.7 million for the nine months ended September 30, 2023. During the nine months ended September 30, 2024, our primary sources of cash from financing activities included (i) proceeds from the 2032 Notes Offering of $900.0 million, (ii) proceeds from the 2033 Notes Offering of $750.0 million, (iii) proceeds from the 2024 Equity Offering of $344.7 million and (iv) net borrowings under the Credit Agreement of $455.0 million. These increases were partially offset by (i) the repurchase of an aggregate principal amount of approximately $699.2 million of 2026 Notes, (ii) dividends paid of $73.6 million, (iii) net distributions related to San Mateo of $31.4 million, (iv) costs associated with the 2032 Notes Offering and 2033 Notes Offering of $26.1 million, (v) costs to amend the Credit Agreement of $25.9 million and (vi) payment of taxes related to stock-based compensation of $14.5 million. During the nine months ended September 30, 2023, our primary sources of cash from financing activities included proceeds from the issuance of the 2028 Notes of $494.8 million and net borrowings under the Credit Agreement of $530.0 million, partially offset by dividends of $53.5 million, payment of taxes related to stock-based compensation of $22.8 million and net distributions related to San Mateo of $12.9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the interim unaudited condensed consolidated financial statements in this Quarterly Report for a summary of our debt, including the Credit Agreement, the San Mateo Credit Facility, the 2028 Notes, the 2032 Notes and the 2033 Notes.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67"/>
        <w:gridCol w:w="1358"/>
        <w:gridCol w:w="136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on impairment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(income) related to contingent consideration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1,296,750 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2"/>
        <w:gridCol w:w="1356"/>
        <w:gridCol w:w="136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7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(benefit)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and non-recurring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net income attributable to Matador shareholders decreased $15.4 million to $248.3 million, as compared to $263.7 million for the three months ended September 30, 2023. The decrease in net income attributable to Matador shareholders primarily resulted from increased depletion, depreciation and amortization expenses of $242.8 million for the three months ended September 30, 2024, as compared to $192.8 million for the three months ended September 30, 2023, and an income tax provision of $85.3 million for the three months ended September 30, 2024, as compared to an income tax provision of $14.6 million for the three months ended September 30, 2023. These decreases to net income were partially offset by higher oil and natural gas production for the three months ended September 30, 2024, as compared to the three months ended September 30, 2023, which was partially offset by lower realized oil and natural gas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net income attributable to Matador shareholders increased $79.3 million to $670.8 million, as compared to net income attributable to Matador shareholders of $591.5 million for the nine months ended September 30, 2023. This increase in net income attributable to Matador shareholders primarily resulted from higher oil and natural gas production for the nine months ended September 30, 2024, as compared to the nine months ended September 30, 2023. These increases were partially offset by increased depletion, depreciation and amortization expenses of $681.1 million for the nine months ended September 30, 2024, as compared to $496.6 million for the nine months ended September 30, 2023, increased lease operating expense of $242.1 million for the nine months ended September 30, 2024, as compared to $171.8 million for the nine months ended September 30, 2023, increased interest expense of $111.7 million for the nine months ended September 30, 2024, as compared to $85.8 million for the nine months ended September 30, 2023, and an income tax provision of $230.1 million for the nine months ended September 30, 2024, as compared to $128.6 million for the nine months ended September 30,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increased $66.2 million to $574.5 million for the three months ended September 30, 2024, as compared to $508.3 million for the three months ended September 30, 2023. This increase was primarily attributable to higher oil and natural gas production, partially offset by lower oil and natural gas prices, for the three months ended September 30, 2024, as compared to the three months ended September 30,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increased $361.2 million to $1.66 billion for the nine months ended September 30, 2024, as compared to $1.30 billion for the nine months ended September 30, 2023. This increase is primarily attributable to higher oil and natural gas production and higher realized oil prices, partially offset by lower natural gas prices, for the nine months ended September 30, 2024, as compared to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off-balance sheet arrangements and transactions that can give rise to material off-balance sheet obligations. As of September 30, 2024,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Commitments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the following material contractual obligations and commitments at September 30, 2024: </w:t>
      </w:r>
    </w:p>
    <w:tbl>
      <w:tblPr>
        <w:tblW w:w="10205" w:type="dxa"/>
        <w:jc w:val="left"/>
        <w:tblInd w:w="0" w:type="dxa"/>
        <w:tblLayout w:type="fixed"/>
        <w:tblCellMar>
          <w:top w:w="28" w:type="dxa"/>
          <w:left w:w="28" w:type="dxa"/>
          <w:bottom w:w="28" w:type="dxa"/>
          <w:right w:w="28" w:type="dxa"/>
        </w:tblCellMar>
      </w:tblPr>
      <w:tblGrid>
        <w:gridCol w:w="1078"/>
        <w:gridCol w:w="800"/>
        <w:gridCol w:w="79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07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w:t>
              <w:br/>
              <w:t>Than</w:t>
              <w:br/>
              <w:t>5 Years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Borrowings, including letters of credit</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unsecured notes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Non-operated drilling commitments</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Drilling rig contracts</w:t>
            </w:r>
            <w:r>
              <w:rPr>
                <w:rFonts w:ascii="Times New Roman;sans-serif" w:hAnsi="Times New Roman;sans-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retirement obligations</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non-affiliates</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San Mateo</w:t>
            </w:r>
            <w:r>
              <w:rPr>
                <w:rFonts w:ascii="Times New Roman;sans-serif" w:hAnsi="Times New Roman;sans-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Midstream contracts</w:t>
            </w:r>
            <w:r>
              <w:rPr>
                <w:rFonts w:ascii="Times New Roman;sans-serif" w:hAnsi="Times New Roman;sans-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1,917,661 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amounts included in the table above represent principal maturities only. At September 30, 2024, we had $955.0 million in borrowings outstanding under the Credit Agreement and approximately $52.9 million in outstanding letters of credit issued pursuant to the Credit Agreement. The Credit Agreement matures March 22, 2029. At September 30, 2024, San Mateo had $526.0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rates of 7.14% and 7.45%, respectively, for the Credit Agreement and the San Mateo Credit Facility at September 30, 2024, the interest expense for such facilities is expected to be approximately $69.1 million and $39.7 million, respectively,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$500.0 million of outstanding 2028 Notes as of September 30, 2024 is expected to be approximately $34.4 million each year until maturity. Interest expense on the $900.0 million of outstanding 2032 Notes as of September 30, 2024 is expected to be approximately $58.5 million. Interest expense on the $750.0 million of outstanding 2033 Notes as of September 30, 2024 is expected to be approximately $46.9 million.</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(3)At September 30, 2024,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September 30, 2024.</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(7)We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10 to the interim unaudited condensed consolidated financial statements in this Quarterly Report for more information about these contractual commitments.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(8)At September 30, 2024, we had outstanding commitments related to the construction and installation of Pronto’s additional natural gas processing plant with a designed inlet processing capacity of 200 MMcf per day, including a nitrogen rejection unit and additional related facilities, in addition to commitments to purchase compressors to be utilized in midstream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Outlook and Trends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and financial results are dependent on many factors beyond our control, such as economic, political and regulatory developments, as well as competition from other sources of energy. For example, the results of the 2024 presidential election and any potential political uncertainty in the United States may alter our current regulatory framework and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political instability, particularly in China or the Middle East, the actions of Organization of Petroleum Exporting Countries, Russia and certain other oil-exporting countries (“OPEC+”), weather, pipeline capacity constraints, inventory storage levels, oil and natural gas price differentials and other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prices were lower in the third quarter of 2024, as compared to the third quarter of 2023. For the three months ended September 30, 2024, oil prices averaged $75.27 per Bbl, ranging from a high of $83.88 per Bbl in early July to a low of $65.75 per Bbl in mid-September, based upon the West Texas Intermediate (“WTI”) oil futures contract price for the earliest delivery date. Oil prices averaged $82.22 per Bbl for the three months ended September 30, 2023. We realized a weighted average oil price of $75.67 per Bbl (with no realized gains or losses from oil derivatives) for our oil production for the three months ended September 30, 2024, as compared to $82.49 per Bbl (with no realized gains or losses from oil derivatives) for our oil production for the three months ended September 30, 2023. At October 22, 2024, the WTI oil futures contract for the earliest delivery date had decreased from the average price for the third quarter of 2024 of $75.27 per Bbl, settling at $72.09 per Bbl, which was a decrease as compared to $88.75 per Bbl at October 20,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prices were lower in the third quarter of 2024, as compared to the third quarter of 2023. For the three months ended September 30, 2024, natural gas prices averaged $2.23 per MMBtu, ranging from a low of $1.90 per MMBtu in late August to a high of $2.92 per MMBtu in late September, based upon the NYMEX Henry Hub natural gas futures contract price for the earliest delivery date. Natural gas prices averaged $2.66 per MMBtu for the three months ended September 30, 2023. We report production volumes in two streams, oil and natural gas (which includes both dry gas and NGLs). Waha prices were also lower for the third quarter of 2024, as compared to the third quarter of 2023, which contributed to lower realized weighted average natural gas prices for the third quarter of 2024. We realized a weighted average natural gas price of $1.83 per Mcf ($1.94 per Mcf including realized gains from natural gas derivatives) for our natural gas production (including revenues attributable to NGLs) for the three months ended September 30, 2024, as compared to $3.56 per Mcf ($3.34 per Mcf including realized losses from natural gas derivatives) for our natural gas production (including revenues attributable to NGLs) for the three months ended September 30, 2023. Certain volumes of our natural gas production are sold at prices established at the beginning of each month by the various markets where we sell our natural gas production, and certain volumes of our natural gas production are sold at daily market prices. At October 22, 2024, the NYMEX Henry Hub natural gas futures contract price for the earliest delivery date had increased from the average price for the third quarter of 2024 of $2.23 per MMBtu, to $2.31 per MMBtu, which was a decrease as compared to $2.90 per MMBtu at October 20,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September 30, 2024,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Midland-Cushing (Oklahoma) oil price differential has been highly volatile in recent years. At October 22, 2024, this oil price differential was positive at approximately +$0.60 per Bbl. At October 22, 2024, we had no derivative contracts in place to mitigate our exposure to this Midland-Cushing (Oklahoma) oil price differential for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volumes of our Delaware Basin natural gas production are exposed to the Waha-Henry Hub basis differential, which has also been highly volatile in recent years. Concerns about natural gas pipeline takeaway capacity out of the Delaware Basin have increased, particularly beginning in the latter half of 2022. As a result, the Waha-Henry Hub basis differential began to widen. The Waha-Henry Hub basis differential averaged ($2.35) per MMBtu for the nine months ended September 30, 2024. Between September 30, 2024 and October 22, 2024, this natural gas price differential remained wide at approximately ($2.30) per MMBtu. As a result of low natural gas prices or wide Waha basis differentials, from time to time we or our non-operated partners may elect to temporarily shut in or restrict a portion of our natural gas production. A significant portion of our Delaware Basin natural gas production, however, is sold at Houston Ship Channel pricing and is not exposed to Waha pricing. During 2022 and 2023,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6% of our reported natural gas production for the nine months ended September 30, 2024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nine months of 2024, we realized a net gain on our natural gas basis differential derivative contracts of approximately $8.6 million, resulting primarily from natural gas basis differentials that were below the fixed prices of certain of our natural gas basis differential swap contracts. At October 22, 2024, we had derivative natural gas basis differential swap contracts in place to mitigate our exposure to the Waha-Henry Hub basis differential for approximately 2.8 Bcf of our anticipated natural gas production for the remainder of 2024 and 11.0 Bcf for 2025.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did during the second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quarters of 2024, we may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Inflation Reduction Act of 2022, on January 26, 2024, the Environmental Protection Agency (“EPA”) published its proposed rule regarding the waste emissions charge, applicable to excess methane emissions at certain oil and natural gas facilities. Further, on March 8, 2024, the EPA published its final rules imposing new, stricter requirements for methane monitoring, reporting and emissions control at certain oil and natural gas facilities. Finally, on April 10, 2024, the Bureau of Land Management published its final waste prevention rule, which requires operators of oil and gas leases to take reasonable steps to avoid natural gas waste or pay royalties on certain natural gas waste, as well as develop leak detection, repair, and waste minimization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to the sources and effects of our market risk since December 31, 2023, which are disclosed in Part II, Item 7A of the Annual Report and incorporated herein by reference.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all derivative financial instruments at fair value. The fair value of our derivative financial instruments is determined using purchase and sale information available for similarly traded securities. At September 30, 2024, Bank of America, PNC Bank, Truist Bank, The Bank of Nova Scotia, Royal Bank of Canada, Comerica Bank and BOKF (or affiliates thereof) were the counterparties for our derivative instruments. We have considered the credit standing of the counterparty in determining the fair value of our derivative financial instruments.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we had various costless collar contracts open and in place to mitigate our exposure to oil price volatility, each with an established price floor and ceiling. At September 30, 2024, we had natural gas basis differential swap contracts open and in place to mitigate our exposure to natural gas price volatility, with a specific term (calculation period), notional quantity (volume hedged) and fixed price.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to the interim unaudited condensed consolidated financial statements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2024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there were no changes in our internal controls that have materially affected or are reasonably likely to have a material effect on our internal control over financial reporting.</w:t>
      </w:r>
    </w:p>
    <w:p>
      <w:pPr>
        <w:pStyle w:val="TextBody"/>
        <w:bidi w:val="0"/>
        <w:spacing w:before="120" w:after="283"/>
        <w:ind w:left="0" w:right="0" w:firstLine="495"/>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there were no material changes regarding the legal proceedings we have disclosed in “Item 3. Legal Proceedings”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risks and uncertainties in the course of our business. For a discussion of such risks and uncertainties, please see “Item 1A. Risk Factors” in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Repurchase of Equity by the Company or Affiliates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September 30, 2024, the Company re-acquired shares of common stock from certain employees in order to satisfy the employees’ tax liability in connection with the vesting of restricted stock. </w:t>
      </w:r>
    </w:p>
    <w:tbl>
      <w:tblPr>
        <w:tblW w:w="10205" w:type="dxa"/>
        <w:jc w:val="left"/>
        <w:tblInd w:w="0" w:type="dxa"/>
        <w:tblLayout w:type="fixed"/>
        <w:tblCellMar>
          <w:top w:w="28" w:type="dxa"/>
          <w:left w:w="28" w:type="dxa"/>
          <w:bottom w:w="28" w:type="dxa"/>
          <w:right w:w="28" w:type="dxa"/>
        </w:tblCellMar>
      </w:tblPr>
      <w:tblGrid>
        <w:gridCol w:w="683"/>
        <w:gridCol w:w="401"/>
        <w:gridCol w:w="403"/>
        <w:gridCol w:w="109"/>
        <w:gridCol w:w="109"/>
        <w:gridCol w:w="109"/>
        <w:gridCol w:w="492"/>
        <w:gridCol w:w="492"/>
        <w:gridCol w:w="494"/>
        <w:gridCol w:w="109"/>
        <w:gridCol w:w="109"/>
        <w:gridCol w:w="109"/>
        <w:gridCol w:w="288"/>
        <w:gridCol w:w="843"/>
        <w:gridCol w:w="149"/>
        <w:gridCol w:w="109"/>
        <w:gridCol w:w="109"/>
        <w:gridCol w:w="109"/>
        <w:gridCol w:w="771"/>
        <w:gridCol w:w="771"/>
        <w:gridCol w:w="773"/>
        <w:gridCol w:w="109"/>
        <w:gridCol w:w="109"/>
        <w:gridCol w:w="109"/>
        <w:gridCol w:w="681"/>
        <w:gridCol w:w="681"/>
        <w:gridCol w:w="975"/>
      </w:tblGrid>
      <w:tr>
        <w:trPr/>
        <w:tc>
          <w:tcPr>
            <w:tcW w:w="6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 or Programs</w:t>
            </w:r>
          </w:p>
        </w:tc>
      </w:tr>
      <w:tr>
        <w:trPr/>
        <w:tc>
          <w:tcPr>
            <w:tcW w:w="1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to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to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to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shares were not re-acquired pursuant to any repurchase plan or program. The Company re-acquired shares of common stock from certain employees in order to satisfy the employees’ tax liability in connection with the vesting of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Insider Trading Plans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9c2ea8e0a354a11ba309c65858631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97"/>
        <w:gridCol w:w="2945"/>
        <w:gridCol w:w="2974"/>
        <w:gridCol w:w="1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Securities Purchase Agreement, dated January 24, 2023, by and among MRC Hat Mesa, LLC, MRC Energy Company (solely for the limited purposes stated therein), AEP EnCap HoldCo, LLC, Ameradvance Management LLC and Advance Energy Partners Holdings, LLC (incorporated by reference to Exhibit 2.1 to the Current Report on Form 8-K filed on January 24,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Securities Purchase Agreement, dated June 12, 2024, by and among MRC Toro, LLC, MRC Energy Company (solely for the limited purposes stated therein), Ameredev II Parent, LLC, Ameredev Intermediate II, LLC and Ameredev Stateline II, LLC (incorporated by reference to Exhibit 2.1 to the Current Report on Form 8-K filed on June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23.htm">
              <w:r>
                <w:rPr>
                  <w:rStyle w:val="InternetLink"/>
                  <w:rFonts w:ascii="Times New Roman;sans-serif" w:hAnsi="Times New Roman;sans-serif"/>
                  <w:b w:val="false"/>
                  <w:color w:val="0000FF"/>
                  <w:sz w:val="20"/>
                  <w:u w:val="single"/>
                </w:rPr>
                <w:t>Amendment No. 1 to Securities Purchase Agreement, dated August 29, 2024, by and among MRC Toro, LLC, Ameredev II Parent, LLC, Ameredev Intermediate II, LLC and Ameredev Stateline II, LLC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shd w:fill="FFFFFF" w:val="clear"/>
                </w:rPr>
                <w:t xml:space="preserve">Indenture, dated as of </w:t>
              </w:r>
            </w:hyperlink>
            <w:hyperlink r:id="rId9">
              <w:r>
                <w:rPr>
                  <w:rStyle w:val="InternetLink"/>
                  <w:rFonts w:ascii="Times New Roman;sans-serif" w:hAnsi="Times New Roman;sans-serif"/>
                  <w:b w:val="false"/>
                  <w:color w:val="000080"/>
                  <w:sz w:val="20"/>
                  <w:u w:val="single"/>
                  <w:shd w:fill="FFFFFF" w:val="clear"/>
                </w:rPr>
                <w:t>September</w:t>
              </w:r>
            </w:hyperlink>
            <w:hyperlink r:id="rId10">
              <w:r>
                <w:rPr>
                  <w:rStyle w:val="InternetLink"/>
                  <w:rFonts w:ascii="Times New Roman;sans-serif" w:hAnsi="Times New Roman;sans-serif"/>
                  <w:b w:val="false"/>
                  <w:color w:val="000080"/>
                  <w:sz w:val="20"/>
                  <w:u w:val="single"/>
                  <w:shd w:fill="FFFFFF" w:val="clear"/>
                </w:rPr>
                <w:t xml:space="preserve"> 2</w:t>
              </w:r>
            </w:hyperlink>
            <w:hyperlink r:id="rId11">
              <w:r>
                <w:rPr>
                  <w:rStyle w:val="InternetLink"/>
                  <w:rFonts w:ascii="Times New Roman;sans-serif" w:hAnsi="Times New Roman;sans-serif"/>
                  <w:b w:val="false"/>
                  <w:color w:val="000080"/>
                  <w:sz w:val="20"/>
                  <w:u w:val="single"/>
                  <w:shd w:fill="FFFFFF" w:val="clear"/>
                </w:rPr>
                <w:t>5</w:t>
              </w:r>
            </w:hyperlink>
            <w:hyperlink r:id="rId12">
              <w:r>
                <w:rPr>
                  <w:rStyle w:val="InternetLink"/>
                  <w:rFonts w:ascii="Times New Roman;sans-serif" w:hAnsi="Times New Roman;sans-serif"/>
                  <w:b w:val="false"/>
                  <w:color w:val="000080"/>
                  <w:sz w:val="20"/>
                  <w:u w:val="single"/>
                  <w:shd w:fill="FFFFFF" w:val="clear"/>
                </w:rPr>
                <w:t xml:space="preserve">, 2024, by and among the Company, the Guarantor Subsidiaries and U.S. Bank Trust Company, National Association, as trustee (incorporated by reference to Exhibit 4.1 to the Current Report on Form 8-K filed on </w:t>
              </w:r>
            </w:hyperlink>
            <w:hyperlink r:id="rId13">
              <w:r>
                <w:rPr>
                  <w:rStyle w:val="InternetLink"/>
                  <w:rFonts w:ascii="Times New Roman;sans-serif" w:hAnsi="Times New Roman;sans-serif"/>
                  <w:b w:val="false"/>
                  <w:color w:val="000080"/>
                  <w:sz w:val="20"/>
                  <w:u w:val="single"/>
                  <w:shd w:fill="FFFFFF" w:val="clear"/>
                </w:rPr>
                <w:t>Se</w:t>
              </w:r>
            </w:hyperlink>
            <w:hyperlink r:id="rId14">
              <w:r>
                <w:rPr>
                  <w:rStyle w:val="InternetLink"/>
                  <w:rFonts w:ascii="Times New Roman;sans-serif" w:hAnsi="Times New Roman;sans-serif"/>
                  <w:b w:val="false"/>
                  <w:color w:val="000080"/>
                  <w:sz w:val="20"/>
                  <w:u w:val="single"/>
                  <w:shd w:fill="FFFFFF" w:val="clear"/>
                </w:rPr>
                <w:t>ptember 25</w:t>
              </w:r>
            </w:hyperlink>
            <w:hyperlink r:id="rId15">
              <w:r>
                <w:rPr>
                  <w:rStyle w:val="InternetLink"/>
                  <w:rFonts w:ascii="Times New Roman;sans-serif" w:hAnsi="Times New Roman;sans-serif"/>
                  <w:b w:val="false"/>
                  <w:color w:val="000080"/>
                  <w:sz w:val="20"/>
                  <w:u w:val="single"/>
                  <w:shd w:fill="FFFFFF" w:val="clear"/>
                </w:rPr>
                <w:t>,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42.htm">
              <w:r>
                <w:rPr>
                  <w:rStyle w:val="InternetLink"/>
                  <w:rFonts w:ascii="Times New Roman;sans-serif" w:hAnsi="Times New Roman;sans-serif"/>
                  <w:b w:val="false"/>
                  <w:color w:val="0000FF"/>
                  <w:sz w:val="20"/>
                  <w:u w:val="single"/>
                  <w:shd w:fill="FFFFFF" w:val="clear"/>
                </w:rPr>
                <w:t>First Supplemental Indenture, dated as of September 20, 2024, by and among MRC Toro, LLC, a subsidiary of the Company, the existing Guarantor Subsidiaries, the Company and U.S. Bank Trust Company, National Association, as trustee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43.htm">
              <w:r>
                <w:rPr>
                  <w:rStyle w:val="InternetLink"/>
                  <w:rFonts w:ascii="Times New Roman;sans-serif" w:hAnsi="Times New Roman;sans-serif"/>
                  <w:b w:val="false"/>
                  <w:color w:val="0000FF"/>
                  <w:sz w:val="20"/>
                  <w:u w:val="single"/>
                  <w:shd w:fill="FFFFFF" w:val="clear"/>
                </w:rPr>
                <w:t>Second Supplemental Indenture, dated as of September 20, 2024, by and among MRC Toro, LLC, a subsidiary of the Company, the existing Guarantor Subsidiaries, the Company and Computershare Trust Company, N.A., as trustee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Sixth Amendment to Fourth Amended and Restated Credit Agreement, dated as of September 18, 2024, by and among MRC Energy Company, as Borrower, the Lenders party thereto and PNC Bank, National Association, as Administrative Agent for the Lenders (incorporated by reference to Exhibit 10.1 to the Current Report on Form 8-K filed on September 19,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930mtdr10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Quarterly Report on Form 10-Q for the quarter ended September 30, 2024, formatted in Inline XBRL (Inline eXtensible Business Reporting Language): (i) the Condensed Consolidated Balance Sheets - Unaudited, (ii) the Condensed Consolidated Statements of Income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39" w:type="dxa"/>
        <w:jc w:val="righ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964"/>
        <w:gridCol w:w="964"/>
        <w:gridCol w:w="137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tbl>
      <w:tblPr>
        <w:tblW w:w="7224" w:type="dxa"/>
        <w:jc w:val="righ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1308"/>
        <w:gridCol w:w="1308"/>
        <w:gridCol w:w="186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1</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TO SECURITIES PURCHASE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This AMENDMENT NO. 1 TO SECURITIES PURCHASE AGREEMENT (this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 dated as of August 29, 2024, is by and among Ameredev II Parent, LLC, a Delaware limited liability company (“</w:t>
      </w:r>
      <w:r>
        <w:rPr>
          <w:rFonts w:ascii="Times New Roman;sans-serif" w:hAnsi="Times New Roman;sans-serif"/>
          <w:b/>
          <w:i/>
          <w:color w:val="000000"/>
          <w:sz w:val="20"/>
        </w:rPr>
        <w:t>Ameredev Parent</w:t>
      </w:r>
      <w:r>
        <w:rPr>
          <w:color w:val="000000"/>
        </w:rPr>
        <w:t>”</w:t>
      </w:r>
      <w:r>
        <w:rPr>
          <w:rFonts w:ascii="Times New Roman;sans-serif" w:hAnsi="Times New Roman;sans-serif"/>
          <w:b w:val="false"/>
          <w:color w:val="000000"/>
          <w:sz w:val="20"/>
        </w:rPr>
        <w:t>), Ameredev Intermediate II, LLC, a Delaware limited liability company (“</w:t>
      </w:r>
      <w:r>
        <w:rPr>
          <w:rFonts w:ascii="Times New Roman;sans-serif" w:hAnsi="Times New Roman;sans-serif"/>
          <w:b/>
          <w:i/>
          <w:color w:val="000000"/>
          <w:sz w:val="20"/>
        </w:rPr>
        <w:t>Ameredev Intermediate</w:t>
      </w:r>
      <w:r>
        <w:rPr>
          <w:color w:val="000000"/>
        </w:rPr>
        <w:t xml:space="preserve">” </w:t>
      </w:r>
      <w:r>
        <w:rPr>
          <w:rFonts w:ascii="Times New Roman;sans-serif" w:hAnsi="Times New Roman;sans-serif"/>
          <w:b w:val="false"/>
          <w:color w:val="000000"/>
          <w:sz w:val="20"/>
        </w:rPr>
        <w:t>and together with Ameredev Parent, each a “</w:t>
      </w:r>
      <w:r>
        <w:rPr>
          <w:rFonts w:ascii="Times New Roman;sans-serif" w:hAnsi="Times New Roman;sans-serif"/>
          <w:b/>
          <w:i/>
          <w:color w:val="000000"/>
          <w:sz w:val="20"/>
        </w:rPr>
        <w:t>Seller</w:t>
      </w:r>
      <w:r>
        <w:rPr>
          <w:color w:val="000000"/>
        </w:rPr>
        <w:t xml:space="preserve">” </w:t>
      </w:r>
      <w:r>
        <w:rPr>
          <w:rFonts w:ascii="Times New Roman;sans-serif" w:hAnsi="Times New Roman;sans-serif"/>
          <w:b w:val="false"/>
          <w:color w:val="000000"/>
          <w:sz w:val="20"/>
        </w:rPr>
        <w:t>and collectively, “</w:t>
      </w:r>
      <w:r>
        <w:rPr>
          <w:rFonts w:ascii="Times New Roman;sans-serif" w:hAnsi="Times New Roman;sans-serif"/>
          <w:b/>
          <w:i/>
          <w:color w:val="000000"/>
          <w:sz w:val="20"/>
        </w:rPr>
        <w:t>Sellers</w:t>
      </w:r>
      <w:r>
        <w:rPr>
          <w:color w:val="000000"/>
        </w:rPr>
        <w:t>”</w:t>
      </w:r>
      <w:r>
        <w:rPr>
          <w:rFonts w:ascii="Times New Roman;sans-serif" w:hAnsi="Times New Roman;sans-serif"/>
          <w:b w:val="false"/>
          <w:color w:val="000000"/>
          <w:sz w:val="20"/>
        </w:rPr>
        <w:t>), Ameredev Stateline II, LLC, a Delaware limited liability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and MRC Toro, LLC, a Delaware limited liability company (“</w:t>
      </w:r>
      <w:r>
        <w:rPr>
          <w:rFonts w:ascii="Times New Roman;sans-serif" w:hAnsi="Times New Roman;sans-serif"/>
          <w:b/>
          <w:i/>
          <w:color w:val="000000"/>
          <w:sz w:val="20"/>
        </w:rPr>
        <w:t>Purchaser</w:t>
      </w:r>
      <w:r>
        <w:rPr>
          <w:color w:val="000000"/>
        </w:rPr>
        <w:t>”</w:t>
      </w:r>
      <w:r>
        <w:rPr>
          <w:rFonts w:ascii="Times New Roman;sans-serif" w:hAnsi="Times New Roman;sans-serif"/>
          <w:b w:val="false"/>
          <w:color w:val="000000"/>
          <w:sz w:val="20"/>
        </w:rPr>
        <w:t>). Each Seller and each of Company and Purchaser are sometimes referred to individually as a “</w:t>
      </w:r>
      <w:r>
        <w:rPr>
          <w:rFonts w:ascii="Times New Roman;sans-serif" w:hAnsi="Times New Roman;sans-serif"/>
          <w:b/>
          <w:i/>
          <w:color w:val="000000"/>
          <w:sz w:val="20"/>
        </w:rPr>
        <w:t>Party</w:t>
      </w:r>
      <w:r>
        <w:rPr>
          <w:color w:val="000000"/>
        </w:rPr>
        <w:t xml:space="preserve">” </w:t>
      </w:r>
      <w:r>
        <w:rPr>
          <w:rFonts w:ascii="Times New Roman;sans-serif" w:hAnsi="Times New Roman;sans-serif"/>
          <w:b w:val="false"/>
          <w:color w:val="000000"/>
          <w:sz w:val="20"/>
        </w:rPr>
        <w:t>and collectively as the “</w:t>
      </w:r>
      <w:r>
        <w:rPr>
          <w:rFonts w:ascii="Times New Roman;sans-serif" w:hAnsi="Times New Roman;sans-serif"/>
          <w:b/>
          <w:i/>
          <w:color w:val="000000"/>
          <w:sz w:val="20"/>
        </w:rPr>
        <w:t>Parties</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WHEREAS, Sellers, the Company, Purchaser and, solely for purposes of Section 14.18 thereof, MRC Energy Company, a Texas corporation, have entered into that certain Securities Purchase Agreement, dated as of June 12, 2024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and</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WHEREAS, pursuant to and in accordance with Section 14.9 of the Agreement, Sellers, the Company and Purchaser desire to amend the Agreement, on the terms and subject to the conditions set forth herein.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NOW, THEREFORE, in consideration of the premises and mutual covenants and agreements contained herein and in the Agreement, and other good and valuable consideration, the receipt and sufficiency of which are hereby acknowledged, the parties hereto agree as follows:</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Defined Terms</w:t>
      </w:r>
      <w:r>
        <w:rPr>
          <w:rFonts w:ascii="Times New Roman;sans-serif" w:hAnsi="Times New Roman;sans-serif"/>
          <w:b w:val="false"/>
          <w:color w:val="000000"/>
          <w:sz w:val="20"/>
        </w:rPr>
        <w:t>. Capitalized terms used but not defined in this Amendment shall have the meanings ascribed to them in the Agreement.</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Amendment to Section 1.1 of the Agreement</w:t>
      </w:r>
      <w:r>
        <w:rPr>
          <w:rFonts w:ascii="Times New Roman;sans-serif" w:hAnsi="Times New Roman;sans-serif"/>
          <w:b w:val="false"/>
          <w:color w:val="000000"/>
          <w:sz w:val="20"/>
        </w:rPr>
        <w:t>. Effective as of the Execution Date, Section 1.1 of the Agreement is hereby amended to add the following defined term:</w:t>
      </w:r>
    </w:p>
    <w:p>
      <w:pPr>
        <w:pStyle w:val="TextBody"/>
        <w:bidi w:val="0"/>
        <w:spacing w:lineRule="auto" w:line="288" w:before="0" w:after="240"/>
        <w:jc w:val="both"/>
        <w:rPr/>
      </w:pPr>
      <w:r>
        <w:rPr>
          <w:color w:val="000000"/>
        </w:rPr>
        <w:t>““</w:t>
      </w:r>
      <w:r>
        <w:rPr>
          <w:rFonts w:ascii="Times New Roman;sans-serif" w:hAnsi="Times New Roman;sans-serif"/>
          <w:b/>
          <w:i/>
          <w:color w:val="000000"/>
          <w:sz w:val="20"/>
        </w:rPr>
        <w:t>Customary Consent</w:t>
      </w:r>
      <w:r>
        <w:rPr>
          <w:color w:val="000000"/>
        </w:rPr>
        <w:t xml:space="preserve">” </w:t>
      </w:r>
      <w:r>
        <w:rPr>
          <w:rFonts w:ascii="Times New Roman;sans-serif" w:hAnsi="Times New Roman;sans-serif"/>
          <w:b w:val="false"/>
          <w:color w:val="000000"/>
          <w:sz w:val="20"/>
        </w:rPr>
        <w:t xml:space="preserve">means (i) any Consent from any federal, state or tribal agency for the assignment of the Operating Affiliate Assets contemplated under </w:t>
      </w:r>
      <w:r>
        <w:rPr>
          <w:rFonts w:ascii="Times New Roman;sans-serif" w:hAnsi="Times New Roman;sans-serif"/>
          <w:b w:val="false"/>
          <w:color w:val="000000"/>
          <w:sz w:val="20"/>
          <w:u w:val="single"/>
        </w:rPr>
        <w:t>Section 8.20(b)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8.20(c)</w:t>
      </w:r>
      <w:r>
        <w:rPr>
          <w:color w:val="000000"/>
        </w:rPr>
        <w:t xml:space="preserve"> </w:t>
      </w:r>
      <w:r>
        <w:rPr>
          <w:rFonts w:ascii="Times New Roman;sans-serif" w:hAnsi="Times New Roman;sans-serif"/>
          <w:b w:val="false"/>
          <w:color w:val="000000"/>
          <w:sz w:val="20"/>
        </w:rPr>
        <w:t xml:space="preserve">or (ii) any election with respect to, or designation or appointment of, a successor operator of the Operating Affiliate Assets pursuant to any joint operating agreement in connection with the assignment of the Operating Affiliate Assets contemplated under </w:t>
      </w:r>
      <w:r>
        <w:rPr>
          <w:rFonts w:ascii="Times New Roman;sans-serif" w:hAnsi="Times New Roman;sans-serif"/>
          <w:b w:val="false"/>
          <w:color w:val="000000"/>
          <w:sz w:val="20"/>
          <w:u w:val="single"/>
        </w:rPr>
        <w:t>Section 8.20(b)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in each case of clauses (i) and (ii), that is customarily obtained after the assignment of interests similar to the Operating Affiliate Assets.”</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Amendment to Article 5 of the Agreement</w:t>
      </w:r>
      <w:r>
        <w:rPr>
          <w:rFonts w:ascii="Times New Roman;sans-serif" w:hAnsi="Times New Roman;sans-serif"/>
          <w:b w:val="false"/>
          <w:color w:val="000000"/>
          <w:sz w:val="20"/>
        </w:rPr>
        <w:t xml:space="preserve">. Effective as of the Execution Date, Article 5 of the Agreement is hereby amended to add the following Section 5.41, which states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Ameredev Stateline, LLC, a Delaware limited liability company and, as of the Execution Date, a wholly owned subsidiary of Ameredev Parent, (i) was formed for the purpose of effecting the Pre-Closing Reorganization, (ii) has conducted no business or operations prior to the date hereof and (iii) has no, and as of immediately prior to the consummation of the Pre-Closing Reorganization will have no, assets, liabilities or obligations of any nature whatsoever, other than those incident to its formation or the direct and indirect ownership of Securities in Specified Affiliate and Operating Affiliate, in accordance with </w:t>
      </w:r>
      <w:r>
        <w:rPr>
          <w:rFonts w:ascii="Times New Roman;sans-serif" w:hAnsi="Times New Roman;sans-serif"/>
          <w:b w:val="false"/>
          <w:color w:val="000000"/>
          <w:sz w:val="20"/>
          <w:u w:val="single"/>
        </w:rPr>
        <w:t>Schedule 1.5</w:t>
      </w:r>
      <w:r>
        <w:rPr>
          <w:rFonts w:ascii="Times New Roman;sans-serif" w:hAnsi="Times New Roman;sans-serif"/>
          <w:b w:val="false"/>
          <w:color w:val="000000"/>
          <w:sz w:val="20"/>
        </w:rPr>
        <w:t>.”</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Amendment to Section 8.20(c) of the Agreement</w:t>
      </w:r>
      <w:r>
        <w:rPr>
          <w:rFonts w:ascii="Times New Roman;sans-serif" w:hAnsi="Times New Roman;sans-serif"/>
          <w:b w:val="false"/>
          <w:color w:val="000000"/>
          <w:sz w:val="20"/>
        </w:rPr>
        <w:t xml:space="preserve">. Effective as of the Execution Date, Section 8.20(c) of the Agreement is hereby amended and restated in its entirety as follows: </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0"/>
        </w:rPr>
        <w:t xml:space="preserve">As soon as reasonably practicable, but in any event prior to the Closing, Sellers shall cause Operating Affiliate (as assignor) to, execute and deliver to Ameredev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New Mexico and Ameredev Texas, as assignees, one or more Assignment(s) and Bill(s) of Sale substantially in the form attached hereto as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 xml:space="preserve">whereby Operating Affiliate shall assign all of its right, title and interest in and to the Operating Affiliate Assets described on </w:t>
      </w:r>
      <w:r>
        <w:rPr>
          <w:rFonts w:ascii="Times New Roman;sans-serif" w:hAnsi="Times New Roman;sans-serif"/>
          <w:b w:val="false"/>
          <w:color w:val="000000"/>
          <w:sz w:val="20"/>
          <w:u w:val="single"/>
        </w:rPr>
        <w:t>Exhibit H-2</w:t>
      </w:r>
      <w:r>
        <w:rPr>
          <w:color w:val="000000"/>
        </w:rPr>
        <w:t xml:space="preserve"> </w:t>
      </w:r>
      <w:r>
        <w:rPr>
          <w:rFonts w:ascii="Times New Roman;sans-serif" w:hAnsi="Times New Roman;sans-serif"/>
          <w:b w:val="false"/>
          <w:color w:val="000000"/>
          <w:sz w:val="20"/>
        </w:rPr>
        <w:t xml:space="preserve">to Ameredev New Mexico and Ameredev Texas, as applicable;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Ameredev New Mexico or Ameredev Texas is not qualified under all applicable Laws to operate the applicable Operating Affiliate Assets to be assigned to it pursuant to this </w:t>
      </w:r>
      <w:r>
        <w:rPr>
          <w:rFonts w:ascii="Times New Roman;sans-serif" w:hAnsi="Times New Roman;sans-serif"/>
          <w:b w:val="false"/>
          <w:color w:val="000000"/>
          <w:sz w:val="20"/>
          <w:u w:val="single"/>
        </w:rPr>
        <w:t>Section 8.20(c)</w:t>
      </w:r>
      <w:r>
        <w:rPr>
          <w:color w:val="000000"/>
        </w:rPr>
        <w:t xml:space="preserve"> </w:t>
      </w:r>
      <w:r>
        <w:rPr>
          <w:rFonts w:ascii="Times New Roman;sans-serif" w:hAnsi="Times New Roman;sans-serif"/>
          <w:b w:val="false"/>
          <w:color w:val="000000"/>
          <w:sz w:val="20"/>
        </w:rPr>
        <w:t xml:space="preserve">prior to the Closing Date, then, at Closing, Sellers shall cause Operating Affiliate (as assignor) to execute and deliver to Purchaser Operating Affiliate, as assignee, one or more Assignment(s) and Bill(s) of Sale substantially in the form attached hereto as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 xml:space="preserve">whereby Operating Affiliate shall assign all of its right, title and interest in and to such applicable Operating Affiliate Assets to Purchaser Operating Affiliate. If applicable pursuant to the preceding sentence, Sellers shall provide to Purchaser copies of (i) the Assignment(s) and Bill(s) of Sale required to be delivered under this </w:t>
      </w:r>
      <w:r>
        <w:rPr>
          <w:rFonts w:ascii="Times New Roman;sans-serif" w:hAnsi="Times New Roman;sans-serif"/>
          <w:b w:val="false"/>
          <w:color w:val="000000"/>
          <w:sz w:val="20"/>
          <w:u w:val="single"/>
        </w:rPr>
        <w:t>Section 8.20(c)</w:t>
      </w:r>
      <w:r>
        <w:rPr>
          <w:color w:val="000000"/>
        </w:rPr>
        <w:t xml:space="preserve"> </w:t>
      </w:r>
      <w:r>
        <w:rPr>
          <w:rFonts w:ascii="Times New Roman;sans-serif" w:hAnsi="Times New Roman;sans-serif"/>
          <w:b w:val="false"/>
          <w:color w:val="000000"/>
          <w:sz w:val="20"/>
        </w:rPr>
        <w:t>with respect to the Operating Affiliate Assets to be assigned to Ameredev New Mexico and Ameredev Texas and (ii) assignments in the forms required by federal, state or tribal agencies for the assignment of any federal, state or tribal Operating Affiliate Assets to be assigned to Ameredev New Mexico and Ameredev Texas, and/or the designation of Ameredev New Mexico and Ameredev Texas, as applicable, as operator of such Assets, in each case of clauses (i) and (ii), together with reasonable evidence of the filing thereof, as applicable, as the same are finalized, executed and filed.”</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Amendment to Section 8.20(d) of the Agreement</w:t>
      </w:r>
      <w:r>
        <w:rPr>
          <w:rFonts w:ascii="Times New Roman;sans-serif" w:hAnsi="Times New Roman;sans-serif"/>
          <w:b w:val="false"/>
          <w:color w:val="000000"/>
          <w:sz w:val="20"/>
        </w:rPr>
        <w:t xml:space="preserve">. Effective as of the Execution Date, Section 8.20(d) of the Agreement is hereby amended and restated in its entirety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With respect to each Consent set forth in </w:t>
      </w:r>
      <w:r>
        <w:rPr>
          <w:rFonts w:ascii="Times New Roman;sans-serif" w:hAnsi="Times New Roman;sans-serif"/>
          <w:b w:val="false"/>
          <w:color w:val="000000"/>
          <w:sz w:val="20"/>
          <w:u w:val="single"/>
        </w:rPr>
        <w:t>Schedule 5.40</w:t>
      </w:r>
      <w:r>
        <w:rPr>
          <w:color w:val="000000"/>
        </w:rPr>
        <w:t xml:space="preserve"> </w:t>
      </w:r>
      <w:r>
        <w:rPr>
          <w:rFonts w:ascii="Times New Roman;sans-serif" w:hAnsi="Times New Roman;sans-serif"/>
          <w:b w:val="false"/>
          <w:color w:val="000000"/>
          <w:sz w:val="20"/>
        </w:rPr>
        <w:t xml:space="preserve">(other than Customary Consents) and applicable to the assignment of any Operating Affiliate Assets contemplated under </w:t>
      </w:r>
      <w:r>
        <w:rPr>
          <w:rFonts w:ascii="Times New Roman;sans-serif" w:hAnsi="Times New Roman;sans-serif"/>
          <w:b w:val="false"/>
          <w:color w:val="000000"/>
          <w:sz w:val="20"/>
          <w:u w:val="single"/>
        </w:rPr>
        <w:t>Section 8.20(b)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8.20(c)</w:t>
      </w:r>
      <w:r>
        <w:rPr>
          <w:color w:val="000000"/>
        </w:rPr>
        <w:t xml:space="preserve"> </w:t>
      </w:r>
      <w:r>
        <w:rPr>
          <w:rFonts w:ascii="Times New Roman;sans-serif" w:hAnsi="Times New Roman;sans-serif"/>
          <w:b w:val="false"/>
          <w:color w:val="000000"/>
          <w:sz w:val="20"/>
        </w:rPr>
        <w:t>(each, an “</w:t>
      </w:r>
      <w:r>
        <w:rPr>
          <w:rFonts w:ascii="Times New Roman;sans-serif" w:hAnsi="Times New Roman;sans-serif"/>
          <w:b/>
          <w:i/>
          <w:color w:val="000000"/>
          <w:sz w:val="20"/>
        </w:rPr>
        <w:t>Operating Affiliate Consent Property</w:t>
      </w:r>
      <w:r>
        <w:rPr>
          <w:color w:val="000000"/>
        </w:rPr>
        <w:t>”</w:t>
      </w:r>
      <w:r>
        <w:rPr>
          <w:rFonts w:ascii="Times New Roman;sans-serif" w:hAnsi="Times New Roman;sans-serif"/>
          <w:b w:val="false"/>
          <w:color w:val="000000"/>
          <w:sz w:val="20"/>
        </w:rPr>
        <w:t xml:space="preserve">), unless Purchaser notifies Sellers in writing within five (5) Business Days after the Execution Date not to send a Consent request notice, Sellers shall, within ten (10) Business Days after the Execution Date, cause Operating Affiliate to send to the holder of each such Consent a notice in material compliance with the contractual provisions applicable to such Consent seeking such holder’s consent to the transfer of such Operating Affiliate Consent Property as contemplated by this </w:t>
      </w:r>
      <w:r>
        <w:rPr>
          <w:rFonts w:ascii="Times New Roman;sans-serif" w:hAnsi="Times New Roman;sans-serif"/>
          <w:b w:val="false"/>
          <w:color w:val="000000"/>
          <w:sz w:val="20"/>
          <w:u w:val="single"/>
        </w:rPr>
        <w:t>Section 8.20</w:t>
      </w:r>
      <w:r>
        <w:rPr>
          <w:rFonts w:ascii="Times New Roman;sans-serif" w:hAnsi="Times New Roman;sans-serif"/>
          <w:b w:val="false"/>
          <w:color w:val="000000"/>
          <w:sz w:val="20"/>
        </w:rPr>
        <w:t xml:space="preserve">. If Purchaser or Sellers discover any Consent (other than Customary Consents) following the Execution Date but prior to the Closing that is not set forth in Schedule 5.40 but is applicable to the assignment or partial assignment of any Operating Affiliate Consent Property, each Party shall notify the other Party and, if Purchaser requests in writing, within five (5) Business Days of the date of such request, Sellers shall cause Operating Affiliate to send to the holder of each such Consent a notice in material compliance with the contractual provisions applicable to such Consent. Sellers shall provide Purchaser with (i) a copy of each notice and all other materials delivered to any such holder pursuant to this Section 8.20(d) promptly after sending the same to such holder and (ii) copies of any written responses received from any such holder promptly after receiving the same. After the Execution Date and prior to the Closing, Operating Affiliate shall use commercially reasonable efforts to obtain any requested Consent (other than Customary Consents);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in no event shall Sellers, Operating Affiliate or any Company Group Member be required to (i) make any expenditures or payments or (ii) grant any accommodation (financial or otherwise) to any Third Party. Notwithstanding anything herein to the contrary, Sellers shall not have any liability to the Purchaser or its Affiliates or any other Person, and Purchaser shall indemnify, defend and hold harmless the Seller Group from and against any and all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14960"/>
                <wp:effectExtent l="0" t="0" r="0" b="0"/>
                <wp:wrapNone/>
                <wp:docPr id="53" name="Frame5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claims, causes of action and Damages arising out of or relating to the failure of Sellers to send any request or notice of, or obtain, any Consent prior to the Closing, provided Sellers have complied with the provision of this Section 8.20. Neither Sellers nor Operating Affiliate shall be liable or obligated to Purchaser for any Damages or liabilities related or attributable to Customary Consents that are not obtained before, on, or after Closing.”</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Amendment to Section 8.20 of the Agreement</w:t>
      </w:r>
      <w:r>
        <w:rPr>
          <w:rFonts w:ascii="Times New Roman;sans-serif" w:hAnsi="Times New Roman;sans-serif"/>
          <w:b w:val="false"/>
          <w:color w:val="000000"/>
          <w:sz w:val="20"/>
        </w:rPr>
        <w:t xml:space="preserve">. Effective as of the Execution Date, Section 8.20 of the Agreement is hereby amended to add the following subsection (f) which states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As soon as reasonably practicable, but in any event prior to the Closing, Sellers and the Company shall use commercially reasonable efforts to cause Ameredev New Mexico and Ameredev Texas to be qualified under all applicable Laws to operate the Operating Affiliate Assets contemplated to be transferred to Ameredev New Mexico or Ameredev Texas, as applicable, pursuant to </w:t>
      </w:r>
      <w:r>
        <w:rPr>
          <w:rFonts w:ascii="Times New Roman;sans-serif" w:hAnsi="Times New Roman;sans-serif"/>
          <w:b w:val="false"/>
          <w:color w:val="000000"/>
          <w:sz w:val="20"/>
          <w:u w:val="single"/>
        </w:rPr>
        <w:t>Section 8.20(c)</w:t>
      </w:r>
      <w:r>
        <w:rPr>
          <w:color w:val="000000"/>
        </w:rPr>
        <w:t xml:space="preserve"> </w:t>
      </w:r>
      <w:r>
        <w:rPr>
          <w:rFonts w:ascii="Times New Roman;sans-serif" w:hAnsi="Times New Roman;sans-serif"/>
          <w:b w:val="false"/>
          <w:color w:val="000000"/>
          <w:sz w:val="20"/>
        </w:rPr>
        <w:t xml:space="preserve">prior to the Closing Date. Notwithstanding anything in this Agreement to the contrary, (i) in no event will any failure by Sellers or the Company to cause Ameredev New Mexico and Ameredev Texas to be qualified to operate any such applicable Operating Affiliate Assets or otherwise comply with this </w:t>
      </w:r>
      <w:r>
        <w:rPr>
          <w:rFonts w:ascii="Times New Roman;sans-serif" w:hAnsi="Times New Roman;sans-serif"/>
          <w:b w:val="false"/>
          <w:color w:val="000000"/>
          <w:sz w:val="20"/>
          <w:u w:val="single"/>
        </w:rPr>
        <w:t>Section 8.20(f)</w:t>
      </w:r>
      <w:r>
        <w:rPr>
          <w:color w:val="000000"/>
        </w:rPr>
        <w:t xml:space="preserve"> </w:t>
      </w:r>
      <w:r>
        <w:rPr>
          <w:rFonts w:ascii="Times New Roman;sans-serif" w:hAnsi="Times New Roman;sans-serif"/>
          <w:b w:val="false"/>
          <w:color w:val="000000"/>
          <w:sz w:val="20"/>
        </w:rPr>
        <w:t xml:space="preserve">be used by Purchaser as a basis to (A) terminate this Agreement, (B) assert the failure of any of Purchaser’s conditions to Closing to be satisfied or (C) assert any claim for Damages under this Agreement and (ii) nothing in this </w:t>
      </w:r>
      <w:r>
        <w:rPr>
          <w:rFonts w:ascii="Times New Roman;sans-serif" w:hAnsi="Times New Roman;sans-serif"/>
          <w:b w:val="false"/>
          <w:color w:val="000000"/>
          <w:sz w:val="20"/>
          <w:u w:val="single"/>
        </w:rPr>
        <w:t>Section 8.20(f)</w:t>
      </w:r>
      <w:r>
        <w:rPr>
          <w:color w:val="000000"/>
        </w:rPr>
        <w:t xml:space="preserve"> </w:t>
      </w:r>
      <w:r>
        <w:rPr>
          <w:rFonts w:ascii="Times New Roman;sans-serif" w:hAnsi="Times New Roman;sans-serif"/>
          <w:b w:val="false"/>
          <w:color w:val="000000"/>
          <w:sz w:val="20"/>
        </w:rPr>
        <w:t xml:space="preserve">shall be relied upon to assert that (A) Purchaser is entitled to receive the Deposit or to recover fees or expenses under </w:t>
      </w:r>
      <w:r>
        <w:rPr>
          <w:rFonts w:ascii="Times New Roman;sans-serif" w:hAnsi="Times New Roman;sans-serif"/>
          <w:b w:val="false"/>
          <w:color w:val="000000"/>
          <w:sz w:val="20"/>
          <w:u w:val="single"/>
        </w:rPr>
        <w:t>Section 12.2(b)</w:t>
      </w:r>
      <w:r>
        <w:rPr>
          <w:color w:val="000000"/>
        </w:rPr>
        <w:t xml:space="preserve"> </w:t>
      </w:r>
      <w:r>
        <w:rPr>
          <w:rFonts w:ascii="Times New Roman;sans-serif" w:hAnsi="Times New Roman;sans-serif"/>
          <w:b w:val="false"/>
          <w:color w:val="000000"/>
          <w:sz w:val="20"/>
        </w:rPr>
        <w:t xml:space="preserve">or (B) Sellers are not entitled to receive the Deposit or seek specific performance under </w:t>
      </w:r>
      <w:r>
        <w:rPr>
          <w:rFonts w:ascii="Times New Roman;sans-serif" w:hAnsi="Times New Roman;sans-serif"/>
          <w:b w:val="false"/>
          <w:color w:val="000000"/>
          <w:sz w:val="20"/>
          <w:u w:val="single"/>
        </w:rPr>
        <w:t>Section 12.2(c)</w:t>
      </w:r>
      <w:r>
        <w:rPr>
          <w:rFonts w:ascii="Times New Roman;sans-serif" w:hAnsi="Times New Roman;sans-serif"/>
          <w:b w:val="false"/>
          <w:color w:val="000000"/>
          <w:sz w:val="20"/>
        </w:rPr>
        <w:t>.”</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Amendment to Section 10.2(l) of the Agreement</w:t>
      </w:r>
      <w:r>
        <w:rPr>
          <w:rFonts w:ascii="Times New Roman;sans-serif" w:hAnsi="Times New Roman;sans-serif"/>
          <w:b w:val="false"/>
          <w:color w:val="000000"/>
          <w:sz w:val="20"/>
        </w:rPr>
        <w:t xml:space="preserve">. Effective as of the Execution Date, Section 10.2(l) of the Agreement is hereby amended and restated in its entirety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if applicable pursuant to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xml:space="preserve">, the Assignment(s) and Bill(s) of Sale required to be delivered under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duly executed by Operating Affiliate, with respect to the Operating Affiliate Assets to be assigned to Purchaser Operating Affiliate or its designated Affiliate;”</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Amendment to Section 10.2(m) of the Agreement</w:t>
      </w:r>
      <w:r>
        <w:rPr>
          <w:rFonts w:ascii="Times New Roman;sans-serif" w:hAnsi="Times New Roman;sans-serif"/>
          <w:b w:val="false"/>
          <w:color w:val="000000"/>
          <w:sz w:val="20"/>
        </w:rPr>
        <w:t xml:space="preserve">. Effective as of the Execution Date, Section 10.2(m) of the Agreement is hereby amended and restated in its entirety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if applicable pursuant to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xml:space="preserve">, assignments in the forms required </w:t>
      </w:r>
      <w:r>
        <w:rPr>
          <w:rFonts w:ascii="Times New Roman;sans-serif" w:hAnsi="Times New Roman;sans-serif"/>
          <w:b w:val="false"/>
          <w:color w:val="1C1C1C"/>
          <w:sz w:val="20"/>
        </w:rPr>
        <w:t xml:space="preserve">by federal, state or tribal agencies for the assignment of any federal, state or tribal Operating Affiliate Assets to be assigned to Purchaser Operating Affiliate or its designated Affiliate, and/or the designation of </w:t>
      </w:r>
      <w:r>
        <w:rPr>
          <w:rFonts w:ascii="Times New Roman;sans-serif" w:hAnsi="Times New Roman;sans-serif"/>
          <w:b w:val="false"/>
          <w:color w:val="000000"/>
          <w:sz w:val="20"/>
        </w:rPr>
        <w:t xml:space="preserve">Purchaser Operating Affiliate </w:t>
      </w:r>
      <w:r>
        <w:rPr>
          <w:rFonts w:ascii="Times New Roman;sans-serif" w:hAnsi="Times New Roman;sans-serif"/>
          <w:b w:val="false"/>
          <w:color w:val="1C1C1C"/>
          <w:sz w:val="20"/>
        </w:rPr>
        <w:t>as operator of such Assets</w:t>
      </w:r>
      <w:r>
        <w:rPr>
          <w:rFonts w:ascii="Times New Roman;sans-serif" w:hAnsi="Times New Roman;sans-serif"/>
          <w:b w:val="false"/>
          <w:color w:val="000000"/>
          <w:sz w:val="20"/>
        </w:rPr>
        <w:t>, duly executed by Operating Affiliate, in sufficient duplicate originals to allow recording in all appropriate offices;”</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Amendment to Section 10.2(o) of the Agreement</w:t>
      </w:r>
      <w:r>
        <w:rPr>
          <w:rFonts w:ascii="Times New Roman;sans-serif" w:hAnsi="Times New Roman;sans-serif"/>
          <w:b w:val="false"/>
          <w:color w:val="000000"/>
          <w:sz w:val="20"/>
        </w:rPr>
        <w:t xml:space="preserve">. Effective as of the Execution Date, Section 10.2(o) of the Agreement is hereby amended and restated in its entirety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resignation of operator letters with respect to the Assets operated by Operating Affiliate (excluding, for the avoidance of doubt, any such Assets assigned to Ameredev New Mexico or Ameredev Texas pursuant to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xml:space="preserve">), duly executed by Operating Affiliate in the form attached hereto as </w:t>
      </w:r>
      <w:r>
        <w:rPr>
          <w:rFonts w:ascii="Times New Roman;sans-serif" w:hAnsi="Times New Roman;sans-serif"/>
          <w:b w:val="false"/>
          <w:color w:val="000000"/>
          <w:sz w:val="20"/>
          <w:u w:val="single"/>
        </w:rPr>
        <w:t>Exhibit K</w:t>
      </w:r>
      <w:r>
        <w:rPr>
          <w:rFonts w:ascii="Times New Roman;sans-serif" w:hAnsi="Times New Roman;sans-serif"/>
          <w:b w:val="false"/>
          <w:color w:val="000000"/>
          <w:sz w:val="20"/>
        </w:rPr>
        <w:t>;”</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Amendment to Section 10.3(h) of the Agreement</w:t>
      </w:r>
      <w:r>
        <w:rPr>
          <w:rFonts w:ascii="Times New Roman;sans-serif" w:hAnsi="Times New Roman;sans-serif"/>
          <w:b w:val="false"/>
          <w:color w:val="000000"/>
          <w:sz w:val="20"/>
        </w:rPr>
        <w:t xml:space="preserve">. Effective as of the Execution Date, Section 10.3(h) of the Agreement is hereby amended and restated in its entirety as follows: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14960"/>
                <wp:effectExtent l="0" t="0" r="0" b="0"/>
                <wp:wrapNone/>
                <wp:docPr id="54" name="Frame5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if applicable pursuant to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xml:space="preserve">, the Assignment(s) and Bill(s) of Sale required to be delivered under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duly executed by Purchaser Operating Affiliate or its designated Affiliate, as applicable, with respect to the Operating Affiliate Assets to be assigned to Purchaser Operating Affiliate or such designated Affiliate;”</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Amendment to Section 10.3(i) of the Agreement</w:t>
      </w:r>
      <w:r>
        <w:rPr>
          <w:rFonts w:ascii="Times New Roman;sans-serif" w:hAnsi="Times New Roman;sans-serif"/>
          <w:b w:val="false"/>
          <w:color w:val="000000"/>
          <w:sz w:val="20"/>
        </w:rPr>
        <w:t xml:space="preserve">. Effective as of the Execution Date, Section 10.3(i) of the Agreement is hereby amended and restated in its entirety as follows: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if applicable pursuant to </w:t>
      </w:r>
      <w:r>
        <w:rPr>
          <w:rFonts w:ascii="Times New Roman;sans-serif" w:hAnsi="Times New Roman;sans-serif"/>
          <w:b w:val="false"/>
          <w:color w:val="000000"/>
          <w:sz w:val="20"/>
          <w:u w:val="single"/>
        </w:rPr>
        <w:t>Section 8.20(c)</w:t>
      </w:r>
      <w:r>
        <w:rPr>
          <w:rFonts w:ascii="Times New Roman;sans-serif" w:hAnsi="Times New Roman;sans-serif"/>
          <w:b w:val="false"/>
          <w:color w:val="000000"/>
          <w:sz w:val="20"/>
        </w:rPr>
        <w:t xml:space="preserve">, assignments in the forms required </w:t>
      </w:r>
      <w:r>
        <w:rPr>
          <w:rFonts w:ascii="Times New Roman;sans-serif" w:hAnsi="Times New Roman;sans-serif"/>
          <w:b w:val="false"/>
          <w:color w:val="1C1C1C"/>
          <w:sz w:val="20"/>
        </w:rPr>
        <w:t>by federal, state or tribal agencies for the assignment of any federal, state or tribal Operating Affiliate Assets to be assigned to Purchaser Operating Affiliate or its designated Affiliate and/or the designation of Purchaser Operating Affiliate as operator of such Assets</w:t>
      </w:r>
      <w:r>
        <w:rPr>
          <w:rFonts w:ascii="Times New Roman;sans-serif" w:hAnsi="Times New Roman;sans-serif"/>
          <w:b w:val="false"/>
          <w:color w:val="000000"/>
          <w:sz w:val="20"/>
        </w:rPr>
        <w:t>, duly executed by Purchaser Operating Affiliate or such designated Affiliate, as applicable, in sufficient duplicate originals to allow recording in all appropriate offices; and”</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Amendment to Schedule 1.5 of the Agreement</w:t>
      </w:r>
      <w:r>
        <w:rPr>
          <w:rFonts w:ascii="Times New Roman;sans-serif" w:hAnsi="Times New Roman;sans-serif"/>
          <w:b w:val="false"/>
          <w:color w:val="000000"/>
          <w:sz w:val="20"/>
        </w:rPr>
        <w:t xml:space="preserve">. Effective as of the Execution Date, Schedule 1.5 of the Agreement is hereby deleted in its entirely and replaced with the Schedule 1.5 attached hereto as </w:t>
      </w:r>
      <w:r>
        <w:rPr>
          <w:rFonts w:ascii="Times New Roman;sans-serif" w:hAnsi="Times New Roman;sans-serif"/>
          <w:b w:val="false"/>
          <w:color w:val="000000"/>
          <w:sz w:val="20"/>
          <w:u w:val="single"/>
        </w:rPr>
        <w:t>Attachment A</w:t>
      </w:r>
      <w:r>
        <w:rPr>
          <w:rFonts w:ascii="Times New Roman;sans-serif" w:hAnsi="Times New Roman;sans-serif"/>
          <w:b w:val="false"/>
          <w:color w:val="000000"/>
          <w:sz w:val="20"/>
        </w:rPr>
        <w:t>.</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Confirmation; Compliance with Agreement</w:t>
      </w:r>
      <w:r>
        <w:rPr>
          <w:rFonts w:ascii="Times New Roman;sans-serif" w:hAnsi="Times New Roman;sans-serif"/>
          <w:b w:val="false"/>
          <w:color w:val="000000"/>
          <w:sz w:val="20"/>
        </w:rPr>
        <w:t>. Except as expressly provided in this Amendment, all of the terms and conditions of the Agreement are and will remain in full force and effect, and are hereby ratified and confirmed by Sellers, the Company and Purchaser. Without limiting the generality of the foregoing, the amendments contained herein will not be construed as an amendment to or waiver of any other provision of the Agreement or as a waiver of or consent to any further or future action on the part of any party hereto that would require the waiver or consent of any other party. Except as expressly provided herein or in the Agreement, this Amendment shall not release, waive or excuse, and each party hereto shall remain responsible and liable for, such party’s respective rights and obligations (or breach thereof) under the Agreement, as amended by this Amendment, arising prior to, on or after the date hereof. Each reference in the Agreement to “this Agreement,” “the Agreement,” “hereunder,” “hereof,” “herein” or words of similar import will mean and be a reference to the Agreement as amended by this Amendment. By executing this Amendment, each of the Parties certifies on its own behalf that this Amendment has been executed and delivered in compliance with Section 14.9 of the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rPr>
        <w:t>The following provisions of the Agreement are hereby incorporated into and specifically made applicable to this Amendment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construing such incorporated provisions, any reference to “this Agreement” shall be deemed to refer to this Amendment):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14.2    Governing Law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14.3    Arbitration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14.4    Headings and Construction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14.9    Amendment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14.17    Counterparts</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14960"/>
                <wp:effectExtent l="0" t="0" r="0" b="0"/>
                <wp:wrapNone/>
                <wp:docPr id="55" name="Frame5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undersigned have executed this Amendment on the date first set forth above.</w:t>
      </w:r>
    </w:p>
    <w:tbl>
      <w:tblPr>
        <w:tblW w:w="3258" w:type="dxa"/>
        <w:jc w:val="left"/>
        <w:tblInd w:w="0" w:type="dxa"/>
        <w:tblLayout w:type="fixed"/>
        <w:tblCellMar>
          <w:top w:w="28" w:type="dxa"/>
          <w:left w:w="28" w:type="dxa"/>
          <w:bottom w:w="28" w:type="dxa"/>
          <w:right w:w="28" w:type="dxa"/>
        </w:tblCellMar>
      </w:tblPr>
      <w:tblGrid>
        <w:gridCol w:w="124"/>
        <w:gridCol w:w="109"/>
        <w:gridCol w:w="109"/>
        <w:gridCol w:w="412"/>
        <w:gridCol w:w="412"/>
        <w:gridCol w:w="412"/>
        <w:gridCol w:w="488"/>
        <w:gridCol w:w="488"/>
        <w:gridCol w:w="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rPr>
              <w:t>AMEREDEV PARENT</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AMEREDEV II PARENT,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240"/>
        <w:ind w:left="0" w:right="0" w:firstLine="720"/>
        <w:jc w:val="both"/>
        <w:rPr/>
      </w:pPr>
      <w:r>
        <w:rPr/>
      </w:r>
    </w:p>
    <w:tbl>
      <w:tblPr>
        <w:tblW w:w="3683" w:type="dxa"/>
        <w:jc w:val="left"/>
        <w:tblInd w:w="0" w:type="dxa"/>
        <w:tblLayout w:type="fixed"/>
        <w:tblCellMar>
          <w:top w:w="28" w:type="dxa"/>
          <w:left w:w="28" w:type="dxa"/>
          <w:bottom w:w="28" w:type="dxa"/>
          <w:right w:w="28" w:type="dxa"/>
        </w:tblCellMar>
      </w:tblPr>
      <w:tblGrid>
        <w:gridCol w:w="124"/>
        <w:gridCol w:w="109"/>
        <w:gridCol w:w="109"/>
        <w:gridCol w:w="520"/>
        <w:gridCol w:w="520"/>
        <w:gridCol w:w="520"/>
        <w:gridCol w:w="520"/>
        <w:gridCol w:w="520"/>
        <w:gridCol w:w="7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rPr>
              <w:t>AMEREDEV INTERMEDIATE</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AMEREDEV INTERMEDIATE II,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240"/>
        <w:ind w:left="0" w:right="0" w:firstLine="720"/>
        <w:jc w:val="both"/>
        <w:rPr/>
      </w:pPr>
      <w:r>
        <w:rPr/>
      </w:r>
    </w:p>
    <w:tbl>
      <w:tblPr>
        <w:tblW w:w="3380" w:type="dxa"/>
        <w:jc w:val="left"/>
        <w:tblInd w:w="0" w:type="dxa"/>
        <w:tblLayout w:type="fixed"/>
        <w:tblCellMar>
          <w:top w:w="28" w:type="dxa"/>
          <w:left w:w="28" w:type="dxa"/>
          <w:bottom w:w="28" w:type="dxa"/>
          <w:right w:w="28" w:type="dxa"/>
        </w:tblCellMar>
      </w:tblPr>
      <w:tblGrid>
        <w:gridCol w:w="124"/>
        <w:gridCol w:w="109"/>
        <w:gridCol w:w="109"/>
        <w:gridCol w:w="453"/>
        <w:gridCol w:w="453"/>
        <w:gridCol w:w="453"/>
        <w:gridCol w:w="482"/>
        <w:gridCol w:w="482"/>
        <w:gridCol w:w="7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6"/>
            <w:tcBorders/>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rPr>
              <w:t>COMPANY</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6"/>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AMEREDEV STATELINE II,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240"/>
        <w:ind w:left="0" w:right="0" w:firstLine="720"/>
        <w:jc w:val="both"/>
        <w:rPr/>
      </w:pPr>
      <w:r>
        <w:rPr/>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1 to Securities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1 to Securities Purchase Agreement</w:t>
                      </w:r>
                    </w:p>
                  </w:txbxContent>
                </v:textbox>
                <w10:wrap type="none"/>
              </v:rect>
            </w:pict>
          </mc:Fallback>
        </mc:AlternateContent>
      </w:r>
    </w:p>
    <w:tbl>
      <w:tblPr>
        <w:tblW w:w="6264" w:type="dxa"/>
        <w:jc w:val="left"/>
        <w:tblInd w:w="0" w:type="dxa"/>
        <w:tblLayout w:type="fixed"/>
        <w:tblCellMar>
          <w:top w:w="28" w:type="dxa"/>
          <w:left w:w="28" w:type="dxa"/>
          <w:bottom w:w="28" w:type="dxa"/>
          <w:right w:w="28" w:type="dxa"/>
        </w:tblCellMar>
      </w:tblPr>
      <w:tblGrid>
        <w:gridCol w:w="124"/>
        <w:gridCol w:w="109"/>
        <w:gridCol w:w="109"/>
        <w:gridCol w:w="254"/>
        <w:gridCol w:w="254"/>
        <w:gridCol w:w="254"/>
        <w:gridCol w:w="1506"/>
        <w:gridCol w:w="1506"/>
        <w:gridCol w:w="21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rPr>
              <w:t>PURCHASER</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Bryan A. 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Bryan A. 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Head of M&amp;A</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1 to Securities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1 to Securities Purchase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FIRST SUPPLEMENTAL INDENTURE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(6.500% Senior Notes due 2032)</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FIRST 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September 20, 2024, among MRC Toro, LLC, a Delaware limited liability company (the “</w:t>
      </w:r>
      <w:r>
        <w:rPr>
          <w:rFonts w:ascii="Times New Roman;sans-serif" w:hAnsi="Times New Roman;sans-serif"/>
          <w:b w:val="false"/>
          <w:i/>
          <w:color w:val="000000"/>
          <w:sz w:val="20"/>
        </w:rPr>
        <w:t>New Guarantor</w:t>
      </w:r>
      <w:r>
        <w:rPr>
          <w:color w:val="000000"/>
        </w:rPr>
        <w:t>”</w:t>
      </w:r>
      <w:r>
        <w:rPr>
          <w:rFonts w:ascii="Times New Roman;sans-serif" w:hAnsi="Times New Roman;sans-serif"/>
          <w:b w:val="false"/>
          <w:color w:val="000000"/>
          <w:sz w:val="20"/>
        </w:rPr>
        <w:t>), a subsidiary of Matador Resources Company, a Texas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the existing Guarantors (as defined in the Indenture referred to herein), the Company and U.S. Bank Trust Company, National Association, as trustee under the Indenture referred to herein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 The New Guarantor and the existing Guarantors are sometimes referred to collectively herein as the “</w:t>
      </w:r>
      <w:r>
        <w:rPr>
          <w:rFonts w:ascii="Times New Roman;sans-serif" w:hAnsi="Times New Roman;sans-serif"/>
          <w:b w:val="false"/>
          <w:i/>
          <w:color w:val="000000"/>
          <w:sz w:val="20"/>
        </w:rPr>
        <w:t>Guarantors</w:t>
      </w:r>
      <w:r>
        <w:rPr>
          <w:rFonts w:ascii="Times New Roman;sans-serif" w:hAnsi="Times New Roman;sans-serif"/>
          <w:b w:val="false"/>
          <w:color w:val="000000"/>
          <w:sz w:val="20"/>
        </w:rPr>
        <w:t>,” or individually as a “</w:t>
      </w:r>
      <w:r>
        <w:rPr>
          <w:rFonts w:ascii="Times New Roman;sans-serif" w:hAnsi="Times New Roman;sans-serif"/>
          <w:b w:val="false"/>
          <w:i/>
          <w:color w:val="000000"/>
          <w:sz w:val="20"/>
        </w:rPr>
        <w:t>Guarantor</w:t>
      </w:r>
      <w:r>
        <w:rPr>
          <w:rFonts w:ascii="Times New Roman;sans-serif" w:hAnsi="Times New Roman;sans-serif"/>
          <w:b w:val="false"/>
          <w:color w:val="000000"/>
          <w:sz w:val="20"/>
        </w:rPr>
        <w:t>.”</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WHEREAS, the Company and the existing Guarantors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April 2, 2024, relating to the 6.500% Senior Notes due 2032 (the “</w:t>
      </w:r>
      <w:r>
        <w:rPr>
          <w:rFonts w:ascii="Times New Roman;sans-serif" w:hAnsi="Times New Roman;sans-serif"/>
          <w:b w:val="false"/>
          <w:i/>
          <w:color w:val="000000"/>
          <w:sz w:val="20"/>
        </w:rPr>
        <w:t>Securities</w:t>
      </w:r>
      <w:r>
        <w:rPr>
          <w:color w:val="000000"/>
        </w:rPr>
        <w:t>”</w:t>
      </w:r>
      <w:r>
        <w:rPr>
          <w:rFonts w:ascii="Times New Roman;sans-serif" w:hAnsi="Times New Roman;sans-serif"/>
          <w:b w:val="false"/>
          <w:color w:val="000000"/>
          <w:sz w:val="20"/>
        </w:rPr>
        <w:t>)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pursuant to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of the Indenture, the Company, the Guarantors and the Trustee are authorized to execute and deliver this Supplemental Indenture to amend or supplement the Indenture without the consent of any Holder;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2.     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of the Indenture and reference is hereby made to the Indenture for the precise terms of the Subsidiary Guarantees.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Execution and Delivery. The New Guarantor agrees that its Subsidiary Guarantee shall remain in full force and effect notwithstanding any failure to endorse on each Security a notation of such Subsidiary Guarantee.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NEW YORK LAW TO GOVERN. THE LAWS OF THE STATE OF NEW YORK SHALL GOVERN AND BE USED TO CONSTRUE AND ENFORCE THIS SUPPLEMENTAL INDENTURE.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ans-serif" w:hAnsi="Times New Roman;sans-serif"/>
          <w:b w:val="false"/>
          <w:i/>
          <w:color w:val="000000"/>
          <w:sz w:val="20"/>
        </w:rPr>
        <w:t>Signature Law</w:t>
      </w:r>
      <w:r>
        <w:rPr>
          <w:color w:val="000000"/>
        </w:rPr>
        <w:t>”</w:t>
      </w:r>
      <w:r>
        <w:rPr>
          <w:rFonts w:ascii="Times New Roman;sans-serif" w:hAnsi="Times New Roman;sans-serif"/>
          <w:b w:val="false"/>
          <w:color w:val="000000"/>
          <w:sz w:val="20"/>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before="0" w:after="240"/>
        <w:ind w:left="0" w:right="0" w:firstLine="720"/>
        <w:jc w:val="both"/>
        <w:rPr/>
      </w:pPr>
      <w:r>
        <w:rPr/>
      </w:r>
    </w:p>
    <w:p>
      <w:pPr>
        <w:pStyle w:val="TextBody"/>
        <w:bidi w:val="0"/>
        <w:spacing w:lineRule="auto" w:line="300" w:before="0" w:after="160"/>
        <w:jc w:val="center"/>
        <w:rPr>
          <w:rFonts w:ascii="Times New Roman;sans-serif" w:hAnsi="Times New Roman;sans-serif"/>
          <w:b w:val="false"/>
          <w:i/>
          <w:color w:val="000000"/>
          <w:sz w:val="20"/>
        </w:rPr>
      </w:pPr>
      <w:r>
        <w:rPr>
          <w:rFonts w:ascii="Times New Roman;sans-serif" w:hAnsi="Times New Roman;sans-serif"/>
          <w:b w:val="false"/>
          <w:i/>
          <w:color w:val="000000"/>
          <w:sz w:val="20"/>
        </w:rPr>
        <w:t>[Remainder of Page Intentionally Left Blank; Signature Pages Follow]</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tbl>
      <w:tblPr>
        <w:tblW w:w="7986" w:type="dxa"/>
        <w:jc w:val="left"/>
        <w:tblInd w:w="0" w:type="dxa"/>
        <w:tblLayout w:type="fixed"/>
        <w:tblCellMar>
          <w:top w:w="28" w:type="dxa"/>
          <w:left w:w="28" w:type="dxa"/>
          <w:bottom w:w="28" w:type="dxa"/>
          <w:right w:w="28" w:type="dxa"/>
        </w:tblCellMar>
      </w:tblPr>
      <w:tblGrid>
        <w:gridCol w:w="124"/>
        <w:gridCol w:w="109"/>
        <w:gridCol w:w="109"/>
        <w:gridCol w:w="528"/>
        <w:gridCol w:w="528"/>
        <w:gridCol w:w="528"/>
        <w:gridCol w:w="1759"/>
        <w:gridCol w:w="1759"/>
        <w:gridCol w:w="2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644"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tbl>
      <w:tblPr>
        <w:tblW w:w="7196" w:type="dxa"/>
        <w:jc w:val="left"/>
        <w:tblInd w:w="0" w:type="dxa"/>
        <w:tblLayout w:type="fixed"/>
        <w:tblCellMar>
          <w:top w:w="28" w:type="dxa"/>
          <w:left w:w="28" w:type="dxa"/>
          <w:bottom w:w="28" w:type="dxa"/>
          <w:right w:w="28" w:type="dxa"/>
        </w:tblCellMar>
      </w:tblPr>
      <w:tblGrid>
        <w:gridCol w:w="124"/>
        <w:gridCol w:w="109"/>
        <w:gridCol w:w="109"/>
        <w:gridCol w:w="265"/>
        <w:gridCol w:w="265"/>
        <w:gridCol w:w="265"/>
        <w:gridCol w:w="1763"/>
        <w:gridCol w:w="1763"/>
        <w:gridCol w:w="25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854"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9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05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95"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95"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95"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59"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tbl>
      <w:tblPr>
        <w:tblW w:w="8891" w:type="dxa"/>
        <w:jc w:val="left"/>
        <w:tblInd w:w="0" w:type="dxa"/>
        <w:tblLayout w:type="fixed"/>
        <w:tblCellMar>
          <w:top w:w="28" w:type="dxa"/>
          <w:left w:w="28" w:type="dxa"/>
          <w:bottom w:w="28" w:type="dxa"/>
          <w:right w:w="28" w:type="dxa"/>
        </w:tblCellMar>
      </w:tblPr>
      <w:tblGrid>
        <w:gridCol w:w="124"/>
        <w:gridCol w:w="109"/>
        <w:gridCol w:w="109"/>
        <w:gridCol w:w="830"/>
        <w:gridCol w:w="830"/>
        <w:gridCol w:w="830"/>
        <w:gridCol w:w="1765"/>
        <w:gridCol w:w="1765"/>
        <w:gridCol w:w="2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549"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LP</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49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GP, Inc., 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490"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6059"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49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490"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49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59"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2580"/>
                <wp:effectExtent l="0" t="0" r="0" b="0"/>
                <wp:wrapNone/>
                <wp:docPr id="60" name="Frame6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v:textbox>
                <w10:wrap type="none"/>
              </v:rect>
            </w:pict>
          </mc:Fallback>
        </mc:AlternateContent>
      </w:r>
    </w:p>
    <w:tbl>
      <w:tblPr>
        <w:tblW w:w="9105" w:type="dxa"/>
        <w:jc w:val="left"/>
        <w:tblInd w:w="0" w:type="dxa"/>
        <w:tblLayout w:type="fixed"/>
        <w:tblCellMar>
          <w:top w:w="28" w:type="dxa"/>
          <w:left w:w="28" w:type="dxa"/>
          <w:bottom w:w="28" w:type="dxa"/>
          <w:right w:w="28" w:type="dxa"/>
        </w:tblCellMar>
      </w:tblPr>
      <w:tblGrid>
        <w:gridCol w:w="124"/>
        <w:gridCol w:w="109"/>
        <w:gridCol w:w="109"/>
        <w:gridCol w:w="901"/>
        <w:gridCol w:w="901"/>
        <w:gridCol w:w="901"/>
        <w:gridCol w:w="1770"/>
        <w:gridCol w:w="1770"/>
        <w:gridCol w:w="2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DELAWARE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GP, INC.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 TEXAS,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SOUTHEAST,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DELAWARE,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MATADOR PRODUCTION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DELAWARE RESOURCES,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SOUTHEAST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 TEXAS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PERMIAN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PERMIAN LKE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ROCKIES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SOUTHEAST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WR PERMIAN,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763"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HAT MESA,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703"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6060"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703"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703"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703"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2580"/>
                <wp:effectExtent l="0" t="0" r="0" b="0"/>
                <wp:wrapNone/>
                <wp:docPr id="61" name="Frame6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v:textbox>
                <w10:wrap type="none"/>
              </v:rect>
            </w:pict>
          </mc:Fallback>
        </mc:AlternateContent>
      </w:r>
    </w:p>
    <w:tbl>
      <w:tblPr>
        <w:tblW w:w="6582" w:type="dxa"/>
        <w:jc w:val="left"/>
        <w:tblInd w:w="0" w:type="dxa"/>
        <w:tblLayout w:type="fixed"/>
        <w:tblCellMar>
          <w:top w:w="28" w:type="dxa"/>
          <w:left w:w="28" w:type="dxa"/>
          <w:bottom w:w="28" w:type="dxa"/>
          <w:right w:w="28" w:type="dxa"/>
        </w:tblCellMar>
      </w:tblPr>
      <w:tblGrid>
        <w:gridCol w:w="124"/>
        <w:gridCol w:w="109"/>
        <w:gridCol w:w="109"/>
        <w:gridCol w:w="970"/>
        <w:gridCol w:w="970"/>
        <w:gridCol w:w="970"/>
        <w:gridCol w:w="970"/>
        <w:gridCol w:w="970"/>
        <w:gridCol w:w="1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240" w:type="dxa"/>
            <w:gridSpan w:val="6"/>
            <w:tcBorders/>
            <w:tcMar>
              <w:top w:w="0" w:type="dxa"/>
              <w:left w:w="0" w:type="dxa"/>
              <w:bottom w:w="0" w:type="dxa"/>
              <w:right w:w="0" w:type="dxa"/>
            </w:tcMar>
            <w:vAlign w:val="center"/>
          </w:tcPr>
          <w:p>
            <w:pPr>
              <w:pStyle w:val="TableContents"/>
              <w:bidi w:val="0"/>
              <w:spacing w:lineRule="auto" w:line="300" w:before="53" w:after="30"/>
              <w:jc w:val="both"/>
              <w:rPr/>
            </w:pPr>
            <w:r>
              <w:rPr>
                <w:rFonts w:ascii="Times New Roman;sans-serif" w:hAnsi="Times New Roman;sans-serif"/>
                <w:b/>
                <w:color w:val="000000"/>
                <w:sz w:val="20"/>
              </w:rPr>
              <w:t xml:space="preserve">U.S. BANK TRUST COMPANY, NATIONAL ASSOCIATION, </w:t>
            </w:r>
            <w:r>
              <w:rPr>
                <w:rFonts w:ascii="Times New Roman;sans-serif" w:hAnsi="Times New Roman;sans-serif"/>
                <w:b/>
                <w:i/>
                <w:color w:val="000000"/>
                <w:sz w:val="20"/>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3330"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T. Jensen</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T. Jensen</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3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4.3</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2580"/>
                <wp:effectExtent l="0" t="0" r="0" b="0"/>
                <wp:wrapNone/>
                <wp:docPr id="62" name="Frame6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SECOND SUPPLEMENTAL INDENTURE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(6.875% Senior Notes due 2028)</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SECOND 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September 20, 2024, among MRC Toro, LLC, a Delaware limited liability company (the “</w:t>
      </w:r>
      <w:r>
        <w:rPr>
          <w:rFonts w:ascii="Times New Roman;sans-serif" w:hAnsi="Times New Roman;sans-serif"/>
          <w:b w:val="false"/>
          <w:i/>
          <w:color w:val="000000"/>
          <w:sz w:val="20"/>
        </w:rPr>
        <w:t>New Guarantor</w:t>
      </w:r>
      <w:r>
        <w:rPr>
          <w:color w:val="000000"/>
        </w:rPr>
        <w:t>”</w:t>
      </w:r>
      <w:r>
        <w:rPr>
          <w:rFonts w:ascii="Times New Roman;sans-serif" w:hAnsi="Times New Roman;sans-serif"/>
          <w:b w:val="false"/>
          <w:color w:val="000000"/>
          <w:sz w:val="20"/>
        </w:rPr>
        <w:t>), a subsidiary of Matador Resources Company, a Texas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the existing Guarantors (as defined in the Indenture referred to herein), the Company and Computershare Trust Company, N.A., as trustee under the Indenture referred to herein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 The New Guarantor and the existing Guarantors are sometimes referred to collectively herein as the “</w:t>
      </w:r>
      <w:r>
        <w:rPr>
          <w:rFonts w:ascii="Times New Roman;sans-serif" w:hAnsi="Times New Roman;sans-serif"/>
          <w:b w:val="false"/>
          <w:i/>
          <w:color w:val="000000"/>
          <w:sz w:val="20"/>
        </w:rPr>
        <w:t>Guarantors</w:t>
      </w:r>
      <w:r>
        <w:rPr>
          <w:rFonts w:ascii="Times New Roman;sans-serif" w:hAnsi="Times New Roman;sans-serif"/>
          <w:b w:val="false"/>
          <w:color w:val="000000"/>
          <w:sz w:val="20"/>
        </w:rPr>
        <w:t>,” or individually as a “</w:t>
      </w:r>
      <w:r>
        <w:rPr>
          <w:rFonts w:ascii="Times New Roman;sans-serif" w:hAnsi="Times New Roman;sans-serif"/>
          <w:b w:val="false"/>
          <w:i/>
          <w:color w:val="000000"/>
          <w:sz w:val="20"/>
        </w:rPr>
        <w:t>Guarantor</w:t>
      </w:r>
      <w:r>
        <w:rPr>
          <w:rFonts w:ascii="Times New Roman;sans-serif" w:hAnsi="Times New Roman;sans-serif"/>
          <w:b w:val="false"/>
          <w:color w:val="000000"/>
          <w:sz w:val="20"/>
        </w:rPr>
        <w:t xml:space="preserve">.” </w:t>
      </w:r>
    </w:p>
    <w:p>
      <w:pPr>
        <w:pStyle w:val="TextBody"/>
        <w:bidi w:val="0"/>
        <w:spacing w:lineRule="auto" w:line="288"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WHEREAS, the Company and the existing Guarantors have heretofore executed and delivered to the Trustee an indenture (as supplemented by the First Supplemental Indenture dated as of July 25, 2023,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April 11, 2023, relating to the 6.875% Senior Notes due 2028 (the “</w:t>
      </w:r>
      <w:r>
        <w:rPr>
          <w:rFonts w:ascii="Times New Roman;sans-serif" w:hAnsi="Times New Roman;sans-serif"/>
          <w:b w:val="false"/>
          <w:i/>
          <w:color w:val="000000"/>
          <w:sz w:val="20"/>
        </w:rPr>
        <w:t>Securities</w:t>
      </w:r>
      <w:r>
        <w:rPr>
          <w:color w:val="000000"/>
        </w:rPr>
        <w:t>”</w:t>
      </w:r>
      <w:r>
        <w:rPr>
          <w:rFonts w:ascii="Times New Roman;sans-serif" w:hAnsi="Times New Roman;sans-serif"/>
          <w:b w:val="false"/>
          <w:color w:val="000000"/>
          <w:sz w:val="20"/>
        </w:rPr>
        <w:t xml:space="preserve">) of the Company;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WHEREAS,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 xml:space="preserve">of the Indenture in certain circumstances requires the Company to cause a newly acquired or created Restricted Subsidiary (i) to become a Guarantor by executing a supplemental indenture and (ii) to deliver an Opinion of Counsel to the Trustee as provided in such Section; and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WHEREAS, pursuant to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 xml:space="preserve">of the Indenture, the Company, the Guarantors and the Trustee are authorized to execute and deliver this Supplemental Indenture to amend or supplement the Indenture without the consent of any Holder;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1.     CAPITALIZED TERMS. Capitalized terms used herein without definition shall have the meanings assigned to them in the Indenture. </w:t>
      </w:r>
    </w:p>
    <w:p>
      <w:pPr>
        <w:pStyle w:val="TextBody"/>
        <w:bidi w:val="0"/>
        <w:spacing w:lineRule="auto" w:line="288" w:before="240" w:after="283"/>
        <w:jc w:val="both"/>
        <w:rPr/>
      </w:pPr>
      <w:r>
        <w:rPr>
          <w:color w:val="000000"/>
        </w:rPr>
        <w:t>    </w:t>
      </w:r>
      <w:r>
        <w:rPr>
          <w:rFonts w:ascii="Times New Roman;sans-serif" w:hAnsi="Times New Roman;sans-serif"/>
          <w:b w:val="false"/>
          <w:color w:val="000000"/>
          <w:sz w:val="20"/>
        </w:rPr>
        <w:t xml:space="preserve">2.     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 xml:space="preserve">of the Indenture and reference is hereby made to the Indenture for the precise terms of the Subsidiary Guarantees.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3.     EXECUTION AND DELIVERY. The New Guarantor agrees that its Subsidiary Guarantee shall remain in full force and effect notwithstanding any failure to endorse on each Security a notation of such Subsidiary Guarantee.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4.     NEW YORK LAW TO GOVERN. THE LAWS OF THE STATE OF NEW YORK SHALL GOVERN AND BE USED TO CONSTRUE AND ENFORCE THIS SUPPLEMENTAL INDENTURE. </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0"/>
        </w:rPr>
        <w:t xml:space="preserve">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This Supplemental Indenture (or any documents executed in connection with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ans-serif" w:hAnsi="Times New Roman;sans-serif"/>
          <w:b w:val="false"/>
          <w:i/>
          <w:color w:val="000000"/>
          <w:sz w:val="20"/>
        </w:rPr>
        <w:t>Signature Law</w:t>
      </w:r>
      <w:r>
        <w:rPr>
          <w:color w:val="000000"/>
        </w:rPr>
        <w:t>”</w:t>
      </w:r>
      <w:r>
        <w:rPr>
          <w:rFonts w:ascii="Times New Roman;sans-serif" w:hAnsi="Times New Roman;sans-serif"/>
          <w:b w:val="false"/>
          <w:color w:val="000000"/>
          <w:sz w:val="20"/>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6.     EFFECT OF HEADINGS. The Section headings herein are for convenience only and shall not affect the construction hereof.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bidi w:val="0"/>
        <w:spacing w:before="240" w:after="283"/>
        <w:jc w:val="left"/>
        <w:rPr/>
      </w:pPr>
      <w:r>
        <w:rPr/>
      </w:r>
    </w:p>
    <w:p>
      <w:pPr>
        <w:pStyle w:val="TextBody"/>
        <w:bidi w:val="0"/>
        <w:spacing w:lineRule="auto" w:line="288" w:before="240"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Remainder of Page Intentionally Left Blank; Signature Pages Follow</w:t>
      </w:r>
      <w:r>
        <w:rPr>
          <w:rFonts w:ascii="Times New Roman;sans-serif" w:hAnsi="Times New Roman;sans-serif"/>
          <w:b w:val="false"/>
          <w:color w:val="000000"/>
          <w:sz w:val="20"/>
        </w:rPr>
        <w: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hereto have caused this Supplemental Indenture to be duly executed and attested, all as of the date first above written. </w:t>
      </w:r>
    </w:p>
    <w:tbl>
      <w:tblPr>
        <w:tblW w:w="7986" w:type="dxa"/>
        <w:jc w:val="left"/>
        <w:tblInd w:w="0" w:type="dxa"/>
        <w:tblLayout w:type="fixed"/>
        <w:tblCellMar>
          <w:top w:w="28" w:type="dxa"/>
          <w:left w:w="28" w:type="dxa"/>
          <w:bottom w:w="28" w:type="dxa"/>
          <w:right w:w="28" w:type="dxa"/>
        </w:tblCellMar>
      </w:tblPr>
      <w:tblGrid>
        <w:gridCol w:w="124"/>
        <w:gridCol w:w="109"/>
        <w:gridCol w:w="109"/>
        <w:gridCol w:w="528"/>
        <w:gridCol w:w="528"/>
        <w:gridCol w:w="528"/>
        <w:gridCol w:w="1759"/>
        <w:gridCol w:w="1759"/>
        <w:gridCol w:w="2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tbl>
      <w:tblPr>
        <w:tblW w:w="7196" w:type="dxa"/>
        <w:jc w:val="left"/>
        <w:tblInd w:w="0" w:type="dxa"/>
        <w:tblLayout w:type="fixed"/>
        <w:tblCellMar>
          <w:top w:w="28" w:type="dxa"/>
          <w:left w:w="28" w:type="dxa"/>
          <w:bottom w:w="28" w:type="dxa"/>
          <w:right w:w="28" w:type="dxa"/>
        </w:tblCellMar>
      </w:tblPr>
      <w:tblGrid>
        <w:gridCol w:w="124"/>
        <w:gridCol w:w="109"/>
        <w:gridCol w:w="109"/>
        <w:gridCol w:w="265"/>
        <w:gridCol w:w="265"/>
        <w:gridCol w:w="265"/>
        <w:gridCol w:w="1763"/>
        <w:gridCol w:w="1763"/>
        <w:gridCol w:w="25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tbl>
      <w:tblPr>
        <w:tblW w:w="8891" w:type="dxa"/>
        <w:jc w:val="left"/>
        <w:tblInd w:w="0" w:type="dxa"/>
        <w:tblLayout w:type="fixed"/>
        <w:tblCellMar>
          <w:top w:w="28" w:type="dxa"/>
          <w:left w:w="28" w:type="dxa"/>
          <w:bottom w:w="28" w:type="dxa"/>
          <w:right w:w="28" w:type="dxa"/>
        </w:tblCellMar>
      </w:tblPr>
      <w:tblGrid>
        <w:gridCol w:w="124"/>
        <w:gridCol w:w="109"/>
        <w:gridCol w:w="109"/>
        <w:gridCol w:w="830"/>
        <w:gridCol w:w="830"/>
        <w:gridCol w:w="830"/>
        <w:gridCol w:w="1765"/>
        <w:gridCol w:w="1765"/>
        <w:gridCol w:w="2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GP, Inc., 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2580"/>
                <wp:effectExtent l="0" t="0" r="0" b="0"/>
                <wp:wrapNone/>
                <wp:docPr id="65" name="Frame6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v:textbox>
                <w10:wrap type="none"/>
              </v:rect>
            </w:pict>
          </mc:Fallback>
        </mc:AlternateContent>
      </w:r>
    </w:p>
    <w:tbl>
      <w:tblPr>
        <w:tblW w:w="9105" w:type="dxa"/>
        <w:jc w:val="left"/>
        <w:tblInd w:w="0" w:type="dxa"/>
        <w:tblLayout w:type="fixed"/>
        <w:tblCellMar>
          <w:top w:w="28" w:type="dxa"/>
          <w:left w:w="28" w:type="dxa"/>
          <w:bottom w:w="28" w:type="dxa"/>
          <w:right w:w="28" w:type="dxa"/>
        </w:tblCellMar>
      </w:tblPr>
      <w:tblGrid>
        <w:gridCol w:w="124"/>
        <w:gridCol w:w="109"/>
        <w:gridCol w:w="109"/>
        <w:gridCol w:w="901"/>
        <w:gridCol w:w="901"/>
        <w:gridCol w:w="901"/>
        <w:gridCol w:w="1770"/>
        <w:gridCol w:w="1770"/>
        <w:gridCol w:w="2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DELAWARE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GP,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 TEXAS,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SOUTHEAST,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DELAWARE,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MATADOR PRODUCTION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DELAWARE RESOURCES,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SOUTHEAST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 TEXAS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PERMIAN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PERMIAN LKE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ROCKIES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SOUTHEAST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WR PERMIAN,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HAT MESA,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2580"/>
                <wp:effectExtent l="0" t="0" r="0" b="0"/>
                <wp:wrapNone/>
                <wp:docPr id="66" name="Frame6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v:textbox>
                <w10:wrap type="none"/>
              </v:rect>
            </w:pict>
          </mc:Fallback>
        </mc:AlternateContent>
      </w:r>
    </w:p>
    <w:p>
      <w:pPr>
        <w:pStyle w:val="TextBody"/>
        <w:bidi w:val="0"/>
        <w:spacing w:before="0" w:after="0"/>
        <w:jc w:val="left"/>
        <w:rPr/>
      </w:pPr>
      <w:r>
        <w:rPr/>
      </w:r>
    </w:p>
    <w:tbl>
      <w:tblPr>
        <w:tblW w:w="5379" w:type="dxa"/>
        <w:jc w:val="left"/>
        <w:tblInd w:w="0" w:type="dxa"/>
        <w:tblLayout w:type="fixed"/>
        <w:tblCellMar>
          <w:top w:w="28" w:type="dxa"/>
          <w:left w:w="28" w:type="dxa"/>
          <w:bottom w:w="28" w:type="dxa"/>
          <w:right w:w="28" w:type="dxa"/>
        </w:tblCellMar>
      </w:tblPr>
      <w:tblGrid>
        <w:gridCol w:w="124"/>
        <w:gridCol w:w="109"/>
        <w:gridCol w:w="109"/>
        <w:gridCol w:w="783"/>
        <w:gridCol w:w="783"/>
        <w:gridCol w:w="783"/>
        <w:gridCol w:w="783"/>
        <w:gridCol w:w="783"/>
        <w:gridCol w:w="11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6"/>
            <w:tcBorders/>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rPr>
              <w:t xml:space="preserve">COMPUTERSHARE TRUST COMPANY, N.A., </w:t>
            </w:r>
            <w:r>
              <w:rPr>
                <w:rFonts w:ascii="Times New Roman;sans-serif" w:hAnsi="Times New Roman;sans-serif"/>
                <w:b/>
                <w:i/>
                <w:color w:val="000000"/>
                <w:sz w:val="20"/>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Scott R. Little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2580"/>
                <wp:effectExtent l="0" t="0" r="0" b="0"/>
                <wp:wrapNone/>
                <wp:docPr id="67" name="Frame6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110" w:type="dxa"/>
        <w:jc w:val="left"/>
        <w:tblInd w:w="0" w:type="dxa"/>
        <w:tblLayout w:type="fixed"/>
        <w:tblCellMar>
          <w:top w:w="28" w:type="dxa"/>
          <w:left w:w="28" w:type="dxa"/>
          <w:bottom w:w="28" w:type="dxa"/>
          <w:right w:w="28" w:type="dxa"/>
        </w:tblCellMar>
      </w:tblPr>
      <w:tblGrid>
        <w:gridCol w:w="553"/>
        <w:gridCol w:w="487"/>
        <w:gridCol w:w="489"/>
        <w:gridCol w:w="1068"/>
        <w:gridCol w:w="1068"/>
        <w:gridCol w:w="107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J. Willey,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66" w:type="dxa"/>
        <w:jc w:val="left"/>
        <w:tblInd w:w="0" w:type="dxa"/>
        <w:tblLayout w:type="fixed"/>
        <w:tblCellMar>
          <w:top w:w="28" w:type="dxa"/>
          <w:left w:w="28" w:type="dxa"/>
          <w:bottom w:w="28" w:type="dxa"/>
          <w:right w:w="28" w:type="dxa"/>
        </w:tblCellMar>
      </w:tblPr>
      <w:tblGrid>
        <w:gridCol w:w="553"/>
        <w:gridCol w:w="487"/>
        <w:gridCol w:w="489"/>
        <w:gridCol w:w="898"/>
        <w:gridCol w:w="898"/>
        <w:gridCol w:w="898"/>
        <w:gridCol w:w="510"/>
        <w:gridCol w:w="510"/>
        <w:gridCol w:w="72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2024</w:t>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September 30, 2024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110" w:type="dxa"/>
        <w:jc w:val="left"/>
        <w:tblInd w:w="0" w:type="dxa"/>
        <w:tblLayout w:type="fixed"/>
        <w:tblCellMar>
          <w:top w:w="28" w:type="dxa"/>
          <w:left w:w="28" w:type="dxa"/>
          <w:bottom w:w="28" w:type="dxa"/>
          <w:right w:w="28" w:type="dxa"/>
        </w:tblCellMar>
      </w:tblPr>
      <w:tblGrid>
        <w:gridCol w:w="553"/>
        <w:gridCol w:w="487"/>
        <w:gridCol w:w="489"/>
        <w:gridCol w:w="1068"/>
        <w:gridCol w:w="1068"/>
        <w:gridCol w:w="107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September 30, 2024 as filed with the Securities and Exchange Commission on the date hereof (the “Form 10-Q”), I, Brian J. Willey,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967" w:type="dxa"/>
        <w:jc w:val="left"/>
        <w:tblInd w:w="0" w:type="dxa"/>
        <w:tblLayout w:type="fixed"/>
        <w:tblCellMar>
          <w:top w:w="28" w:type="dxa"/>
          <w:left w:w="28" w:type="dxa"/>
          <w:bottom w:w="28" w:type="dxa"/>
          <w:right w:w="28" w:type="dxa"/>
        </w:tblCellMar>
      </w:tblPr>
      <w:tblGrid>
        <w:gridCol w:w="553"/>
        <w:gridCol w:w="487"/>
        <w:gridCol w:w="489"/>
        <w:gridCol w:w="1193"/>
        <w:gridCol w:w="1193"/>
        <w:gridCol w:w="1198"/>
        <w:gridCol w:w="250"/>
        <w:gridCol w:w="250"/>
        <w:gridCol w:w="3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2024</w:t>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06/000119312523013640/d428449dex21.htm" TargetMode="External"/><Relationship Id="rId3" Type="http://schemas.openxmlformats.org/officeDocument/2006/relationships/hyperlink" Target="https://www.sec.gov/Archives/edgar/data/1520006/000110465924070829/tm2417025d1_ex2-1.htm" TargetMode="External"/><Relationship Id="rId4" Type="http://schemas.openxmlformats.org/officeDocument/2006/relationships/hyperlink" Target="https://www.sec.gov/Archives/edgar/data/1520006/000152000617000188/a20170630mtdr10q-exhibit32.htm" TargetMode="External"/><Relationship Id="rId5" Type="http://schemas.openxmlformats.org/officeDocument/2006/relationships/hyperlink" Target="https://www.sec.gov/Archives/edgar/data/1520006/000152000617000188/a20170630mtdr10q-exhibit33.htm" TargetMode="External"/><Relationship Id="rId6" Type="http://schemas.openxmlformats.org/officeDocument/2006/relationships/hyperlink" Target="https://www.sec.gov/Archives/edgar/data/1520006/000152000617000188/a20170630mtdr10q-exhibit34.htm" TargetMode="External"/><Relationship Id="rId7" Type="http://schemas.openxmlformats.org/officeDocument/2006/relationships/hyperlink" Target="https://www.sec.gov/Archives/edgar/data/1520006/000152000618000051/a20171231mtdr8k-amendedbyl.htm" TargetMode="External"/><Relationship Id="rId8" Type="http://schemas.openxmlformats.org/officeDocument/2006/relationships/hyperlink" Target="https://www.sec.gov/Archives/edgar/data/1520006/000110465924102789/tm2424667d1_ex4-1.htm" TargetMode="External"/><Relationship Id="rId9" Type="http://schemas.openxmlformats.org/officeDocument/2006/relationships/hyperlink" Target="https://www.sec.gov/Archives/edgar/data/1520006/000110465924102789/tm2424667d1_ex4-1.htm" TargetMode="External"/><Relationship Id="rId10" Type="http://schemas.openxmlformats.org/officeDocument/2006/relationships/hyperlink" Target="https://www.sec.gov/Archives/edgar/data/1520006/000110465924102789/tm2424667d1_ex4-1.htm" TargetMode="External"/><Relationship Id="rId11" Type="http://schemas.openxmlformats.org/officeDocument/2006/relationships/hyperlink" Target="https://www.sec.gov/Archives/edgar/data/1520006/000110465924102789/tm2424667d1_ex4-1.htm" TargetMode="External"/><Relationship Id="rId12" Type="http://schemas.openxmlformats.org/officeDocument/2006/relationships/hyperlink" Target="https://www.sec.gov/Archives/edgar/data/1520006/000110465924102789/tm2424667d1_ex4-1.htm" TargetMode="External"/><Relationship Id="rId13" Type="http://schemas.openxmlformats.org/officeDocument/2006/relationships/hyperlink" Target="https://www.sec.gov/Archives/edgar/data/1520006/000110465924102789/tm2424667d1_ex4-1.htm" TargetMode="External"/><Relationship Id="rId14" Type="http://schemas.openxmlformats.org/officeDocument/2006/relationships/hyperlink" Target="https://www.sec.gov/Archives/edgar/data/1520006/000110465924102789/tm2424667d1_ex4-1.htm" TargetMode="External"/><Relationship Id="rId15" Type="http://schemas.openxmlformats.org/officeDocument/2006/relationships/hyperlink" Target="https://www.sec.gov/Archives/edgar/data/1520006/000110465924102789/tm2424667d1_ex4-1.htm" TargetMode="External"/><Relationship Id="rId16" Type="http://schemas.openxmlformats.org/officeDocument/2006/relationships/hyperlink" Target="https://www.sec.gov/Archives/edgar/data/1520006/000110465924101211/tm2424254d1_ex1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35169</Words>
  <Characters>196879</Characters>
  <CharactersWithSpaces>230741</CharactersWithSpaces>
  <Paragraphs>3658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