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69"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6"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0"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26, 2022, there were 118,118,082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80" w:type="dxa"/>
            <w:vAlign w:val="bottom"/>
            <w:gridSpan w:val="6"/>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8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June 30, 2022 and December 31, 2021</w:t>
            </w:r>
          </w:p>
        </w:tc>
        <w:tc>
          <w:tcPr>
            <w:tcW w:w="3840" w:type="dxa"/>
            <w:vAlign w:val="bottom"/>
            <w:gridSpan w:val="5"/>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2022 and 2021</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June 30, 2022 and 2021</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10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40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2"/>
          </w:tcPr>
          <w:p>
            <w:pPr>
              <w:spacing w:after="0"/>
              <w:rPr>
                <w:sz w:val="18"/>
                <w:szCs w:val="18"/>
                <w:color w:val="auto"/>
              </w:rPr>
            </w:pP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6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300" w:type="dxa"/>
            <w:vAlign w:val="bottom"/>
          </w:tcPr>
          <w:p>
            <w:pPr>
              <w:spacing w:after="0"/>
              <w:rPr>
                <w:sz w:val="18"/>
                <w:szCs w:val="18"/>
                <w:color w:val="auto"/>
              </w:rPr>
            </w:pPr>
          </w:p>
        </w:tc>
        <w:tc>
          <w:tcPr>
            <w:tcW w:w="820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164,242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800,927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371,305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6,352,486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6,007,325</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900,979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(4,261,984)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(4,046,456)</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4,103,575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3,856,685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34,163</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4,963,876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4,262,153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253,283</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28,692</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609,139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464,837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1,042,580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22,721</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1,669,928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118,201,399 and 117,861,923 shares issued; and 118,130,068 and</w:t>
            </w:r>
          </w:p>
        </w:tc>
        <w:tc>
          <w:tcPr>
            <w:tcW w:w="2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117,850,233 shares outstanding, respectively</w:t>
            </w:r>
          </w:p>
        </w:tc>
        <w:tc>
          <w:tcPr>
            <w:tcW w:w="2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2,090,564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2,077,592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71,331 and 11,945 shares, respectively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212,881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2,742,051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190"/>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4,963,876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4,262,153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6620" w:type="dxa"/>
            <w:vAlign w:val="bottom"/>
            <w:gridSpan w:val="4"/>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7780" w:type="dxa"/>
            <w:vAlign w:val="bottom"/>
            <w:gridSpan w:val="7"/>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620" w:type="dxa"/>
            <w:vAlign w:val="bottom"/>
            <w:gridSpan w:val="4"/>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0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728,307</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(86,227)</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624,272</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78,017</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operating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54,691</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166,307</w:t>
            </w:r>
          </w:p>
        </w:tc>
        <w:tc>
          <w:tcPr>
            <w:tcW w:w="0" w:type="dxa"/>
            <w:vAlign w:val="bottom"/>
          </w:tcPr>
          <w:p>
            <w:pPr>
              <w:spacing w:after="0"/>
              <w:rPr>
                <w:sz w:val="1"/>
                <w:szCs w:val="1"/>
                <w:color w:val="auto"/>
              </w:rPr>
            </w:pPr>
          </w:p>
        </w:tc>
      </w:tr>
      <w:tr>
        <w:trPr>
          <w:trHeight w:val="229"/>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386,503</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237,769</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(37,590)</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199,518</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191,329</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0" w:type="dxa"/>
            <w:vAlign w:val="bottom"/>
          </w:tcPr>
          <w:p>
            <w:pPr>
              <w:spacing w:after="0"/>
              <w:rPr>
                <w:sz w:val="1"/>
                <w:szCs w:val="1"/>
                <w:color w:val="auto"/>
              </w:rPr>
            </w:pPr>
          </w:p>
        </w:tc>
      </w:tr>
      <w:tr>
        <w:trPr>
          <w:trHeight w:val="223"/>
        </w:trPr>
        <w:tc>
          <w:tcPr>
            <w:tcW w:w="67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119,903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118,993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119,857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w:t>
      </w:r>
    </w:p>
    <w:p>
      <w:pPr>
        <w:spacing w:after="0" w:line="200" w:lineRule="exact"/>
        <w:rPr>
          <w:sz w:val="20"/>
          <w:szCs w:val="20"/>
          <w:color w:val="auto"/>
        </w:rPr>
      </w:pPr>
    </w:p>
    <w:p>
      <w:pPr>
        <w:spacing w:after="0" w:line="21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8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9"/>
                <w:szCs w:val="9"/>
                <w:color w:val="auto"/>
              </w:rPr>
            </w:pPr>
          </w:p>
        </w:tc>
        <w:tc>
          <w:tcPr>
            <w:tcW w:w="720" w:type="dxa"/>
            <w:vAlign w:val="bottom"/>
            <w:vMerge w:val="restart"/>
          </w:tcPr>
          <w:p>
            <w:pPr>
              <w:jc w:val="right"/>
              <w:ind w:right="20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$ 2,077,592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$4.8</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224,185</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$ 2,087,788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29,940</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2,118,600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218,864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2,337,464</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($0.05 per share)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415,718</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436,195</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$ 2,090,564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2,742,051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w:t>
      </w:r>
    </w:p>
    <w:p>
      <w:pPr>
        <w:spacing w:after="0" w:line="3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3980" w:type="dxa"/>
            <w:vAlign w:val="bottom"/>
          </w:tcPr>
          <w:p>
            <w:pPr>
              <w:spacing w:after="0"/>
              <w:rPr>
                <w:sz w:val="4"/>
                <w:szCs w:val="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$ 2,027,069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(741,705)</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1,513,025</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69,498</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$ 2,043,703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1,580,533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Dividends declared ($0.025 per share)</w:t>
            </w: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tcBorders>
              <w:top w:val="single" w:sz="8" w:color="CCEEFF"/>
            </w:tcBorders>
            <w:vMerge w:val="continue"/>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105,905</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121,831</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$ 2,061,815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1,479,762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1,702,126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12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660,380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191,329</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44,599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86,227</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215,877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166,307</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7,077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152,818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8,189</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debt-related costs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(78,900)</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30,492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34,345</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56,539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16,207</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38,170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06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975,256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427,595</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(210,725)</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(15,356)</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(25,092)</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midstream assets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6"/>
        </w:trPr>
        <w:tc>
          <w:tcPr>
            <w:tcW w:w="9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46,412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(251,122)</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Cost to amend credit facilities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22,750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31,626</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90"/>
        </w:trPr>
        <w:tc>
          <w:tcPr>
            <w:tcW w:w="1280" w:type="dxa"/>
            <w:vAlign w:val="bottom"/>
            <w:tcBorders>
              <w:bottom w:val="single" w:sz="8" w:color="CCEEFF"/>
            </w:tcBorders>
          </w:tcPr>
          <w:p>
            <w:pPr>
              <w:spacing w:after="0"/>
              <w:rPr>
                <w:sz w:val="16"/>
                <w:szCs w:val="16"/>
                <w:color w:val="auto"/>
              </w:rPr>
            </w:pPr>
          </w:p>
        </w:tc>
        <w:tc>
          <w:tcPr>
            <w:tcW w:w="7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(258,889)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(188,648)</w:t>
            </w:r>
          </w:p>
        </w:tc>
      </w:tr>
      <w:tr>
        <w:trPr>
          <w:trHeight w:val="20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restricted cash</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195,363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(12,175)</w:t>
            </w:r>
          </w:p>
        </w:tc>
      </w:tr>
      <w:tr>
        <w:trPr>
          <w:trHeight w:val="196"/>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86,920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91,383</w:t>
            </w:r>
          </w:p>
        </w:tc>
      </w:tr>
      <w:tr>
        <w:trPr>
          <w:trHeight w:val="221"/>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282,283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2021 filed with the SEC on February 28, 2022 (the “Annual Report”). The Company consolidates certain subsidiaries and joint ventures that are less than wholly-owned and are not involved in oil and natural gas exploration, including its midstream joint venture, San Mateo Midstream, LLC (collectively with its subsidiaries, “San Mateo”), and the net income and equity attributable to the non-controlling interest in these subsidiaries have been reported separately as required by Accounting Standards Codification,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2022. Amounts as of December 31, 2021 are derived from the Company’s audited consolidated financial statements included in the Annual Report.</w:t>
      </w:r>
    </w:p>
    <w:p>
      <w:pPr>
        <w:spacing w:after="0" w:line="8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and six months ended June 30, 2022 and 2021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442,842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779,023</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(68,524)</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(42,804)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(86,227)</w:t>
            </w:r>
          </w:p>
        </w:tc>
      </w:tr>
      <w:tr>
        <w:trPr>
          <w:trHeight w:val="223"/>
        </w:trPr>
        <w:tc>
          <w:tcPr>
            <w:tcW w:w="4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357,427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1,509,622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624,272</w:t>
            </w: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528,393</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199,914</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15,428</w:t>
            </w:r>
          </w:p>
        </w:tc>
      </w:tr>
      <w:tr>
        <w:trPr>
          <w:trHeight w:val="248"/>
        </w:trPr>
        <w:tc>
          <w:tcPr>
            <w:tcW w:w="5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779,023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and six months ended June 30, 2022, the cost center ceiling was higher than the capitalized costs of oil and natural gas properties, and, as a result, no impairment charge was necessary.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capitalized approximately $10.4 million and $9.2 million of its general and administrative costs and approximately $0.8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 million of its interest expense for the three months ended June 30, 2022 and 2021, respectively. The Company capitalized approximately $23.6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$18.7 million of its general and administrative costs and approximately $4.4 million and $2.5 million of its interest expense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and six months ended June 30, 2022 and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2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116,804</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118,617</w:t>
            </w: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A total of 0.5 million and 1.5 million options to purchase shares of Matador’s common stock were excluded from the diluted weighted average common shares outstanding for the three and six months ended June 30, 2021, respectively, because their effects were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 RETIREMENT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six months ended June 30, 2022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38,840</w:t>
            </w:r>
          </w:p>
        </w:tc>
      </w:tr>
      <w:tr>
        <w:trPr>
          <w:trHeight w:val="230"/>
        </w:trPr>
        <w:tc>
          <w:tcPr>
            <w:tcW w:w="10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38,392</w:t>
            </w:r>
          </w:p>
        </w:tc>
      </w:tr>
      <w:tr>
        <w:trPr>
          <w:trHeight w:val="20"/>
        </w:trPr>
        <w:tc>
          <w:tcPr>
            <w:tcW w:w="10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2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June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At June 30, 2022, the Company had (i) $906.0 million of outstanding senior notes due 2026 (the “Notes”), (ii) no borrowings outstanding under its reserves-based revolving credit facility (the “Credit Agreement”) and (iii) approximately $45.6 million in outstanding letters of credit issued pursuant to the Credit Agreement. During the first quarter of 2022, the $7.5 million unsecured U.S. Small Business Administration loan was forgiven under the terms of the loan agreement and recorded as a gain on the extinguishment of debt within “Other expense” on the unaudited condensed consolidated statement of operations. During the second quarter of 2022, the Company repaid the remaining $50.0 million of borrowings under the Credit Agreement and repurchased $144.0 million of its Notes for $142.4 million. Between June 30, 2022 and July 25, 2022, the Company repurchased an additional $14.2 million of its Notes for $13.7 million.</w:t>
      </w:r>
    </w:p>
    <w:p>
      <w:pPr>
        <w:spacing w:after="0" w:line="81"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At June 30, 2022, San Mateo had $420.0 million in borrowings outstanding under its revolving credit facility (the “San Mateo Credit Facility”) and approximately $9.0 million in outstanding letters of credit issued pursuant to the San Mateo Credit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Between June 30, 2022 and July 26, 2022, San Mateo repaid $20.0 million of borrowings under the San Mateo Credit Facility.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2022, the lenders completed their review of the Company’s proved oil and natural gas reserves, and, as a result, the borrowing base was increased to $2.0 billion, the borrowing commitment was increased to $775.0 million and the maximum facility amount remained $1.5 billion.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This April 2022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October 31, 2026.</w:t>
      </w:r>
    </w:p>
    <w:p>
      <w:pPr>
        <w:spacing w:after="0" w:line="8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The Company believes that it was in compliance with the terms of the Credit Agreement at June 30, 2022.</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19, 2023 and lender commitments under the revolving credit facility were $450.0 million at June 30, 2022 (subject to San Mateo’s compliance with the covenants noted below). The San Mateo Credit Facility includes an accordion feature, which provides for potential increases in lender commitments to up to $700.0 million.</w:t>
      </w:r>
    </w:p>
    <w:p>
      <w:pPr>
        <w:spacing w:after="0" w:line="7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June 30,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the Company repurchased $144.0 million of its Notes for $142.4 million. At June 30, 2022, the Company had $906.0 million of outstanding Notes, which have a 5.875% coupon rate. The Notes mature September 15, 2026, and interest is payable on the Notes semi-annually in arrears on each March 15 and September 15. The Notes are guaranteed on a senior unsecured basis by certain subsidiaries of the Company.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recorded a current income tax provision of $36.3 million and $51.7 million, respectively, and a deferred income tax provision of $99.7 million and $152.8 million, respectively, for the three and six months ended June 30, 2022. The Company’s effective income tax rate of 25% for both the three and six months ended June 30, 2022 differed from the U.S. federal statutory rate due primarily to permanent differences between book and tax income and state taxes, primarily in New Mexico.</w:t>
      </w:r>
    </w:p>
    <w:p>
      <w:pPr>
        <w:spacing w:after="0" w:line="72"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The Company recorded a deferred income tax provision of $5.3 million and $8.2 million, respectively, for the three and six months ended June 30, 2021, which resulted in an effective tax rate of 5% in each period. The effective tax rate differed from amounts computed by applying the U.S. federal statutory rate to the pre-tax income due primarily to recording a net deferred tax liability for state taxes, primarily in New Mexico, and continuing to recognize a valuation allowance against the Company’s U.S. federal net deferred tax assets. As a result of the full-cost ceiling impairments recorded in 2020, the Company recognized a valuation allowance against its net deferred tax assets for the year ended December 31, 2020. Due to a variety of factors, including the Company’s significant net income during 2021, the Company’s federal valuation allowance was reversed as of September 30, 2021 as the deferred tax assets were determined to be more likely than not to be utilized.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awards to certain of its employees of 226,238 service-based restricted stock units to be settled in cash, which are liability instruments, and 230,251 performance-based stock units and 210,156 service-based shares of restricted stock, which are equity instruments. The performance-based stock units vest in an amount between zero and 200% of the target units granted based on the Company’s relative total shareholder return over the three-year period ending December 31, 2024, as compared to a designated peer group. The service-based restricted stock and restricted stock units vest over a three-year period. The fair value of these awards was approximately $34.3 million on the grant date.</w:t>
      </w:r>
    </w:p>
    <w:p>
      <w:pPr>
        <w:spacing w:after="0" w:line="79"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the Company’s Board of Directors (the “Board”) adopted and shareholders approved the first amendment to the 2019 Long-Term Incentive Plan, authorizing an additional 3.7 million shares of common stock for issuance to employees, directors, contractors or advisors of the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119"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the Board adopted and shareholders approved an Employee Stock Purchase Plan (the “ESPP”). The purpose of the ESPP is to encourage and enable the Company’s eligible employees to acquire an interest in the Company through the ownership of common stock. A maximum of 4.0 million shares of common stock may be purchased under the ESPP.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Board declared a quarterly cash dividend of $0.05 per share of common stock in both the first and second quarters of 2022. The dividend, which totaled $5.9 million in each quarter, was paid on March 14, 2022 and June 3, 2022. In June 2022, the Board amended the Company’s dividend policy to increase the quarterly dividend to $0.10 per share of common stock. In July 2022, the Board declared a quarterly cash dividend of $0.10 per share of common stock payable on September 1, 2022 to shareholders of record as of August 17,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June 30, 2022 and 2021, San Mateo distributed $27.5 million and $15.3 million, respectively, to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million and $14.7 million, respectively, to a subsidiary of Five Point Energy LLC (“Five Point”), the Company’s joint venture partner in San Mateo.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and 2021, San Mateo distributed $46.7 million and $30.1 million, respectively, to the Company and</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$44.8 million and $28.9 million, respectively, to Five Point. During the three and six months ended June 30, 2022 and 2021, there were no contributions to San Mateo by either the Company or Five Point.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No performance incentives were paid by Five Point to the Company during the three months ended June 30, 2022. Five Point paid to the Company $16.3 million in performance incentives during the three months ended June 30, 2021. Five Point paid to the Company $22.8 million and $31.6 million in performance incentives during the six months ended June 30, 2022 and 2021, respectively. These performance incentives are recorded when received, net of the $4.8 million deferred tax impact to Matador for the six months ended June 30, 2022, in “Additional paid-in capital” in the Company’s interim unaudited condensed consolidated balance sheets. These performance incentives for the six months ended June 30, 2022 and 2021 are also denoted as “Contributions related to formation of San Mateo” under “Financing activities” in the Company’s interim unaudited condensed consolidated statements of cash flows and changes in shareholders’ equity.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At June 30, 2022,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June 30, 2022, each contract was set to expire at varying times during 2022. The Company had no open contracts associated with natural gas liquids (“NGL”) prices at June 30, 2022.</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for oil and natural gas at June 30, 2022.</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Notional Quantity (Bbl or</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6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5"/>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2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Floor ($/Bbl or</w:t>
            </w: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Ceiling ($/Bbl or</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43"/>
        </w:trPr>
        <w:tc>
          <w:tcPr>
            <w:tcW w:w="162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6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07/01/2022 - 12/31/2022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w:t>
            </w: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07/01/2022 - 12/31/2022</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01/01/2023 - 03/31/2023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23"/>
        </w:trPr>
        <w:tc>
          <w:tcPr>
            <w:tcW w:w="41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swap contracts for oil at June 30, 2022.</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6"/>
                <w:szCs w:val="16"/>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6"/>
                <w:szCs w:val="16"/>
                <w:color w:val="auto"/>
              </w:rPr>
            </w:pPr>
          </w:p>
        </w:tc>
        <w:tc>
          <w:tcPr>
            <w:tcW w:w="1260" w:type="dxa"/>
            <w:vAlign w:val="bottom"/>
          </w:tcPr>
          <w:p>
            <w:pPr>
              <w:jc w:val="right"/>
              <w:ind w:right="430"/>
              <w:spacing w:after="0" w:line="184"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(Bbl)</w:t>
            </w:r>
          </w:p>
        </w:tc>
        <w:tc>
          <w:tcPr>
            <w:tcW w:w="260" w:type="dxa"/>
            <w:vAlign w:val="bottom"/>
          </w:tcPr>
          <w:p>
            <w:pPr>
              <w:spacing w:after="0"/>
              <w:rPr>
                <w:sz w:val="19"/>
                <w:szCs w:val="19"/>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Basis</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07/01/2022 - 12/31/2022</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open basis swap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2022, the aggregate liability value for the Company’s open derivative financial instruments was $59.5 million.</w:t>
      </w:r>
    </w:p>
    <w:p>
      <w:pPr>
        <w:spacing w:after="0" w:line="117"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 — Continued</w:t>
      </w:r>
    </w:p>
    <w:p>
      <w:pPr>
        <w:spacing w:after="0" w:line="200" w:lineRule="exact"/>
        <w:rPr>
          <w:sz w:val="20"/>
          <w:szCs w:val="20"/>
          <w:color w:val="auto"/>
        </w:rPr>
      </w:pPr>
    </w:p>
    <w:p>
      <w:pPr>
        <w:spacing w:after="0" w:line="259" w:lineRule="exact"/>
        <w:rPr>
          <w:sz w:val="20"/>
          <w:szCs w:val="20"/>
          <w:color w:val="auto"/>
        </w:rPr>
      </w:pPr>
    </w:p>
    <w:p>
      <w:pPr>
        <w:jc w:val="both"/>
        <w:ind w:right="460" w:firstLine="445"/>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gross asset and liability fair values of the Company’s commodity price derivative financial instruments and the location of these balances in the interim unaudited condensed consolidated balance sheets as of June 30, 2022 and December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6"/>
                <w:szCs w:val="16"/>
                <w:color w:val="auto"/>
              </w:rPr>
            </w:pPr>
          </w:p>
        </w:tc>
        <w:tc>
          <w:tcPr>
            <w:tcW w:w="15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89"/>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6"/>
                <w:szCs w:val="16"/>
                <w:color w:val="auto"/>
              </w:rPr>
            </w:pPr>
          </w:p>
        </w:tc>
        <w:tc>
          <w:tcPr>
            <w:tcW w:w="150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0"/>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(59,477)</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operations for the periods presented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6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Instrument</w:t>
            </w:r>
          </w:p>
        </w:tc>
        <w:tc>
          <w:tcPr>
            <w:tcW w:w="43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2300" w:type="dxa"/>
            <w:vAlign w:val="bottom"/>
            <w:gridSpan w:val="2"/>
            <w:vMerge w:val="continue"/>
          </w:tcPr>
          <w:p>
            <w:pPr>
              <w:spacing w:after="0"/>
              <w:rPr>
                <w:sz w:val="16"/>
                <w:szCs w:val="16"/>
                <w:color w:val="auto"/>
              </w:rPr>
            </w:pPr>
          </w:p>
        </w:tc>
        <w:tc>
          <w:tcPr>
            <w:tcW w:w="434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(34,237)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Realized (loss) gain on derivatives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rPr>
              <w:t>(26,926)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gridSpan w:val="4"/>
          </w:tcPr>
          <w:p>
            <w:pPr>
              <w:ind w:left="5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rPr>
              <w:t>(61,163)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(68,524)</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gain (loss) on derivatives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(74,432)</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gain (loss) on derivatives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rPr>
              <w:t>19,794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23"/>
        </w:trPr>
        <w:tc>
          <w:tcPr>
            <w:tcW w:w="66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30,430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(86,227)</w:t>
            </w:r>
          </w:p>
        </w:tc>
        <w:tc>
          <w:tcPr>
            <w:tcW w:w="0" w:type="dxa"/>
            <w:vAlign w:val="bottom"/>
          </w:tcPr>
          <w:p>
            <w:pPr>
              <w:spacing w:after="0"/>
              <w:rPr>
                <w:sz w:val="1"/>
                <w:szCs w:val="1"/>
                <w:color w:val="auto"/>
              </w:rPr>
            </w:pPr>
          </w:p>
        </w:tc>
      </w:tr>
      <w:tr>
        <w:trPr>
          <w:trHeight w:val="223"/>
        </w:trPr>
        <w:tc>
          <w:tcPr>
            <w:tcW w:w="2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rPr>
              <w:t>(30,733)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(154,751)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 Continued</w:t>
      </w:r>
    </w:p>
    <w:p>
      <w:pPr>
        <w:spacing w:after="0" w:line="35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June 30, 2022 and December 31, 2021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Oil derivatives and basis swaps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Natural gas derivatives</w:t>
      </w:r>
    </w:p>
    <w:p>
      <w:pPr>
        <w:spacing w:after="0" w:line="23" w:lineRule="exact"/>
        <w:rPr>
          <w:sz w:val="20"/>
          <w:szCs w:val="20"/>
          <w:color w:val="auto"/>
        </w:rPr>
      </w:pPr>
    </w:p>
    <w:p>
      <w:pPr>
        <w:ind w:left="480" w:right="1800" w:hanging="323"/>
        <w:spacing w:after="0" w:line="292" w:lineRule="auto"/>
        <w:rPr>
          <w:sz w:val="20"/>
          <w:szCs w:val="20"/>
          <w:color w:val="auto"/>
        </w:rPr>
      </w:pPr>
      <w:r>
        <w:rPr>
          <w:rFonts w:ascii="Times New Roman" w:cs="Times New Roman" w:eastAsia="Times New Roman" w:hAnsi="Times New Roman"/>
          <w:sz w:val="18"/>
          <w:szCs w:val="18"/>
          <w:color w:val="auto"/>
        </w:rPr>
        <w:t>Contingent consideration related to business combination Total</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Oil derivatives and basis swaps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Natural gas derivatives</w:t>
      </w:r>
    </w:p>
    <w:p>
      <w:pPr>
        <w:spacing w:after="0" w:line="23" w:lineRule="exact"/>
        <w:rPr>
          <w:sz w:val="20"/>
          <w:szCs w:val="20"/>
          <w:color w:val="auto"/>
        </w:rPr>
      </w:pPr>
    </w:p>
    <w:p>
      <w:pPr>
        <w:ind w:left="480" w:right="1800" w:hanging="323"/>
        <w:spacing w:after="0" w:line="292" w:lineRule="auto"/>
        <w:rPr>
          <w:sz w:val="20"/>
          <w:szCs w:val="20"/>
          <w:color w:val="auto"/>
        </w:rPr>
      </w:pPr>
      <w:r>
        <w:rPr>
          <w:rFonts w:ascii="Times New Roman" w:cs="Times New Roman" w:eastAsia="Times New Roman" w:hAnsi="Times New Roman"/>
          <w:sz w:val="18"/>
          <w:szCs w:val="18"/>
          <w:color w:val="auto"/>
        </w:rPr>
        <w:t>Contingent consideration related to business combination 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June 30, 2022 using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448"/>
        </w:trPr>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2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2021 using</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48"/>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(14,727)</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(8,203)</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(23,081)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-1765300</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-1473835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-2065020</wp:posOffset>
            </wp:positionV>
            <wp:extent cx="71151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-479425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-187960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-779145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the carrying values reported on the interim unaudited condensed consolidated balance sheets for accounts receivable, prepaid expenses and other current assets, accounts payable, accrued liabilities, royalties payable, amounts due to affiliates, advances from joint interest owners, income taxes payable and other current liabilities approximated their fair values due to their short-term maturities.</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fair value of the Notes was $869.9 million and $1.08 billion, respectively, based on quoted market prices, which represent Level 1 inputs in the fair value hierarchy.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$12.8 million and $15.1 million for deliveries under these agreements during the three months ended June 30, 2022 and 2021, respectively, and $23.8 million and $27.7 million for deliveries under these agreements during the six months ended June 30, 2022 and 2021,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2022, the total deficiencies required to be paid by the Company under these agreements would be approximately $563.3 million.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June 30, 2022 was approximately $315.5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June 30, 2022 and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37,458</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 —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six months ended June 30, 2022 and 2021 (in thousands).</w:t>
      </w:r>
    </w:p>
    <w:p>
      <w:pPr>
        <w:spacing w:after="0" w:line="23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asset retirement obligations related to mineral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drilling, completion and equipping capital expenditures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acquisition of oil and natural gas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midstream properties capital expenditures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a liability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inventory to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bl>
    <w:p>
      <w:pPr>
        <w:spacing w:after="0" w:line="35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7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4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Wolf and Stateline asset areas and the Greater Stebbins Area in the Delaware Basin, which comprise most of the Company’s midstream operations, are conducted through San Mateo. In addition, on June 30, 2022, an indirect wholly-owned subsidiary of the Company acquired a cryogenic gas processing plant, three compressor stations and approximately 45 miles of natural gas gathering pipelines in Lea and Eddy Counties, New Mexico through the acquisition of a wholly-owned subsidiary of Summit Midstream Partners, LP (“Summit”) that was subsequently renamed Pronto Midstream, LLC (“Pronto”). Neither San Mateo or its subsidiaries nor Pronto are guarantors of the Notes.</w:t>
      </w:r>
    </w:p>
    <w:p>
      <w:pPr>
        <w:spacing w:after="0" w:line="84"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892,769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(53,158)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(53,158)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348,941</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570,934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44,835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(20,780)</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594,989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4,963,876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172,640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92,043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264,741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42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$111.2 million and $8.3 million for the exploration and production and midstream segments, respectively. Also includes corporate depletion, depreciation and amortization expenses of $0.6 million.</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$20.5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460" w:hanging="332"/>
        <w:spacing w:after="0" w:line="30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$29.6 million attributable to land and seismic acquisition expenditures related to the exploration and production segment, $75.0 million attributable to midstream acquisition expenditures and $8.2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412,074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(39,841)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212,321</w:t>
            </w: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130,712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37,155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(22,761)</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145,106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107,928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115,903</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0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$83.0 million and $7.8 million for the exploration and production and midstream segments, respectively. Also includes corporate depletion, depreciation and amortization expenses of $0.7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$15.9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 million attributable to land and seismic acquisition expenditures related to the exploration and production segment and $3.8 million in capital expenditures attributable to non-controlling interest in subsidiaries related to the midstream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160" w:type="dxa"/>
            <w:vAlign w:val="bottom"/>
          </w:tcPr>
          <w:p>
            <w:pPr>
              <w:spacing w:after="0"/>
              <w:rPr>
                <w:sz w:val="18"/>
                <w:szCs w:val="18"/>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Production</w:t>
            </w: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and Eliminations</w:t>
            </w:r>
          </w:p>
        </w:tc>
        <w:tc>
          <w:tcPr>
            <w:tcW w:w="1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1,519,284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(103,243)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79,347</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(103,243)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605,326</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867,924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83,394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(47,022)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904,296</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4,963,876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412,488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111,124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523,895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8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$198.4 million and $16.3 million for the exploration and production and midstream segments, respectively. Also includes corporate depletion, depreciation and amortization expenses of $1.2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$70.7 million attributable to land and seismic acquisition expenditures related to the exploration and production segment, $75.0 million in midstream acquisition expenditures and $17.5 million in capital expenditures attributable to non-controlling interest in subsidiaries related to the midstream segment.</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160" w:type="dxa"/>
            <w:vAlign w:val="bottom"/>
          </w:tcPr>
          <w:p>
            <w:pPr>
              <w:spacing w:after="0"/>
              <w:rPr>
                <w:sz w:val="17"/>
                <w:szCs w:val="17"/>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140" w:type="dxa"/>
            <w:vAlign w:val="bottom"/>
          </w:tcPr>
          <w:p>
            <w:pPr>
              <w:spacing w:after="0"/>
              <w:rPr>
                <w:sz w:val="17"/>
                <w:szCs w:val="17"/>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Production</w:t>
            </w: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and Eliminations</w:t>
            </w:r>
          </w:p>
        </w:tc>
        <w:tc>
          <w:tcPr>
            <w:tcW w:w="14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728,307</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(68,312)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(86,227)</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(68,312)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386,503</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222,040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58,452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(42,723)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237,769</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3,834,549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242,793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17,636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260,674</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6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$149.4 million and $15.6 million for the exploration and production and midstream segments, respectively. Also includes corporate depletion, depreciation and amortization expenses of $1.3 million.</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$24.8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$15.6 million attributable to land and seismic acquisition expenditures related to the exploration and production segment and $8.2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20" w:name="page21"/>
    <w:bookmarkEnd w:id="20"/>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COMBINATIONS</w:t>
      </w:r>
    </w:p>
    <w:p>
      <w:pPr>
        <w:spacing w:after="0" w:line="200" w:lineRule="exact"/>
        <w:rPr>
          <w:sz w:val="20"/>
          <w:szCs w:val="20"/>
          <w:color w:val="auto"/>
        </w:rPr>
      </w:pPr>
    </w:p>
    <w:p>
      <w:pPr>
        <w:spacing w:after="0" w:line="23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December 14, 2021, the Company completed an acquisition of assets from a private operator. This acquisition was accounted for as a business combination in accordance with ASC Topic 805, which requires the assets acquired and liabilities assumed to be recorded at fair value as of the respective acquisition date. The Company obtained certain oil and natural gas producing properties and undeveloped acreage located in Lea and Eddy Counties, New Mexico, strategically located primarily within the Company’s existing acreage in its Ranger and Arrowhead asset areas.</w:t>
      </w:r>
    </w:p>
    <w:p>
      <w:pPr>
        <w:spacing w:after="0" w:line="7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As consideration for the business combination, the Company paid approximately $161.7 million in cash, subject to certain customary post-closing working capital adjustments, including adjusting for production, revenues, operating expenses and capital expenditures from August 1, 2021 to closing. In addition, the Company will increase the purchase price by $5.0 million for each quarter during 2022 in which the average oil price, as defined in the purchase and sale agreement, is greater than $75.00 per barrel. The Company recorded this contingent consideration at fair value on the date of the business combination and will record the change in the fair value in future periods as “Other expense” in its unaudited condensed consolidated statements of operations. The fair value of the contingent consideration increased $10.1 million between December 31, 2021 and June 30, 2022. During the three and six months ended June 30, 2022, the Company paid $5.0 million in cash related to this contingent consideration. The estimated fair value of the remaining payments was $13.3 million as of June 30, 2022. The Company used the Monte Carlo simulation method to measure the fair value of the contingent consideration, which has unobservable inputs and is thus classified at Level 3 in the fair value hierarchy (see Note 8 for discussion of the fair value hierarchy).</w:t>
      </w:r>
    </w:p>
    <w:p>
      <w:pPr>
        <w:spacing w:after="0" w:line="8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consideration given related to this business combination was as follows (in thousands). The Company anticipates that the allocation of the consideration given should be finalized during 2022 upon determination of the final customary purchase price adjustments.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 given</w:t>
            </w:r>
          </w:p>
        </w:tc>
        <w:tc>
          <w:tcPr>
            <w:tcW w:w="22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
        </w:trPr>
        <w:tc>
          <w:tcPr>
            <w:tcW w:w="80" w:type="dxa"/>
            <w:vAlign w:val="bottom"/>
            <w:tcBorders>
              <w:bottom w:val="single" w:sz="8" w:color="CCEDFF"/>
            </w:tcBorders>
          </w:tcPr>
          <w:p>
            <w:pPr>
              <w:spacing w:after="0" w:line="20" w:lineRule="exact"/>
              <w:rPr>
                <w:sz w:val="1"/>
                <w:szCs w:val="1"/>
                <w:color w:val="auto"/>
              </w:rPr>
            </w:pPr>
          </w:p>
        </w:tc>
        <w:tc>
          <w:tcPr>
            <w:tcW w:w="1540" w:type="dxa"/>
            <w:vAlign w:val="bottom"/>
            <w:tcBorders>
              <w:top w:val="single" w:sz="8" w:color="auto"/>
              <w:bottom w:val="single" w:sz="8" w:color="CCEDFF"/>
            </w:tcBorders>
          </w:tcPr>
          <w:p>
            <w:pPr>
              <w:spacing w:after="0" w:line="20" w:lineRule="exact"/>
              <w:rPr>
                <w:sz w:val="1"/>
                <w:szCs w:val="1"/>
                <w:color w:val="auto"/>
              </w:rPr>
            </w:pPr>
          </w:p>
        </w:tc>
        <w:tc>
          <w:tcPr>
            <w:tcW w:w="620" w:type="dxa"/>
            <w:vAlign w:val="bottom"/>
            <w:tcBorders>
              <w:bottom w:val="single" w:sz="8" w:color="CCEDFF"/>
            </w:tcBorders>
          </w:tcPr>
          <w:p>
            <w:pPr>
              <w:spacing w:after="0" w:line="20" w:lineRule="exact"/>
              <w:rPr>
                <w:sz w:val="1"/>
                <w:szCs w:val="1"/>
                <w:color w:val="auto"/>
              </w:rPr>
            </w:pPr>
          </w:p>
        </w:tc>
        <w:tc>
          <w:tcPr>
            <w:tcW w:w="756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0" w:type="dxa"/>
            <w:vAlign w:val="bottom"/>
            <w:tcBorders>
              <w:bottom w:val="single" w:sz="8" w:color="CCEDFF"/>
            </w:tcBorders>
            <w:shd w:val="clear" w:color="auto" w:fill="CCEDFF"/>
          </w:tcPr>
          <w:p>
            <w:pPr>
              <w:spacing w:after="0"/>
              <w:rPr>
                <w:sz w:val="20"/>
                <w:szCs w:val="20"/>
                <w:color w:val="auto"/>
              </w:rPr>
            </w:pPr>
          </w:p>
        </w:tc>
        <w:tc>
          <w:tcPr>
            <w:tcW w:w="9720" w:type="dxa"/>
            <w:vAlign w:val="bottom"/>
            <w:tcBorders>
              <w:bottom w:val="single" w:sz="8" w:color="CCEDFF"/>
            </w:tcBorders>
            <w:gridSpan w:val="3"/>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161,680</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contingent consideration at December 14, 2021</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consideration given</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163,879</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98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48"/>
        </w:trPr>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7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30"/>
        </w:trPr>
        <w:tc>
          <w:tcPr>
            <w:tcW w:w="9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Evaluated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139,312</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Unproved and unevaluated</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163,879</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COMBINATIONS — Continued</w:t>
      </w:r>
    </w:p>
    <w:p>
      <w:pPr>
        <w:spacing w:after="0" w:line="200" w:lineRule="exact"/>
        <w:rPr>
          <w:sz w:val="20"/>
          <w:szCs w:val="20"/>
          <w:color w:val="auto"/>
        </w:rPr>
      </w:pPr>
    </w:p>
    <w:p>
      <w:pPr>
        <w:spacing w:after="0" w:line="31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On June 30, 2022, the Company acquired a cryogenic gas processing plant, 3 compressor stations and approximately 45 miles of natural gas gathering pipelines in Lea and Eddy Counties, New Mexico through the acquisition of a wholly-owned subsidiary of Summit that was subsequently renamed Pronto. This acquisition was also accounted for as a business combination in accordance with ASC Topic 805. In addition, the Company assumed certain takeaway capacity on a Federal Energy Regulatory Commission regulated natural gas pipeline. As consideration for the business combination, the Company paid approximately $77.8 million in cash, subject to certain customary post-closing adjustments. The pro forma impact of this business combination to revenues and net income for 2022 would not be material to the Company’s 2022 revenues and net income as reported.</w:t>
      </w:r>
    </w:p>
    <w:p>
      <w:pPr>
        <w:spacing w:after="0" w:line="7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consideration given related to this business combination was as follows (in thousands). The Company anticipates that the allocation of the consideration given should be finalized during 2022 upon determination of the final customary purchase price adjustments.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 given</w:t>
            </w:r>
          </w:p>
        </w:tc>
        <w:tc>
          <w:tcPr>
            <w:tcW w:w="22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consideration given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77,828</w:t>
            </w:r>
          </w:p>
        </w:tc>
      </w:tr>
      <w:tr>
        <w:trPr>
          <w:trHeight w:val="189"/>
        </w:trPr>
        <w:tc>
          <w:tcPr>
            <w:tcW w:w="9800" w:type="dxa"/>
            <w:vAlign w:val="bottom"/>
            <w:gridSpan w:val="4"/>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8"/>
        </w:trPr>
        <w:tc>
          <w:tcPr>
            <w:tcW w:w="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7"/>
        </w:trPr>
        <w:tc>
          <w:tcPr>
            <w:tcW w:w="80" w:type="dxa"/>
            <w:vAlign w:val="bottom"/>
            <w:shd w:val="clear" w:color="auto" w:fill="CCEEFF"/>
          </w:tcPr>
          <w:p>
            <w:pPr>
              <w:spacing w:after="0"/>
              <w:rPr>
                <w:sz w:val="22"/>
                <w:szCs w:val="22"/>
                <w:color w:val="auto"/>
              </w:rPr>
            </w:pPr>
          </w:p>
        </w:tc>
        <w:tc>
          <w:tcPr>
            <w:tcW w:w="97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acquired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77,828</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2021 (the “Annual Report”) filed with the Securities and Exchange Commission (the “SEC”) on February 28, 2022,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right="60" w:firstLine="445"/>
        <w:spacing w:after="0" w:line="252"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Times New Roman" w:cs="Times New Roman" w:eastAsia="Times New Roman" w:hAnsi="Times New Roman"/>
          <w:sz w:val="18"/>
          <w:szCs w:val="18"/>
          <w:color w:val="0A0A0A"/>
        </w:rPr>
        <w:t>general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the operating results of our midstream business’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the operating results of and any potential distributions from our joint ventures; weather and environmental conditions; the impact of the worldwide spread of the novel coronavirus (“COVID-19”) on oil and natural gas demand, oil and natural gas prices and our business; </w:t>
      </w:r>
      <w:r>
        <w:rPr>
          <w:rFonts w:ascii="Times New Roman" w:cs="Times New Roman" w:eastAsia="Times New Roman" w:hAnsi="Times New Roman"/>
          <w:sz w:val="18"/>
          <w:szCs w:val="18"/>
          <w:color w:val="000000"/>
        </w:rPr>
        <w:t>and the other factors discussed below and elsewhere in this</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Quarterly Report and in other documents that we file with or furnish to the SEC, all of which are difficult to predict. Forward-looking statements may include statements about:</w:t>
      </w:r>
    </w:p>
    <w:p>
      <w:pPr>
        <w:spacing w:after="0" w:line="8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natural gas liquids;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natural gas liquids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midstream joint venture to construct, maintain and operate midstream pipelines and facilities, including the operation of its Black River cryogenic natural gas processing plant and the drilling of additional salt water disposal wells;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the oil and natural gas industry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Highlights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our total oil equivalent production was 10.1 million BOE, and our average daily oil equivalent production was 110,750 BOE per day, of which 64,300 Bbl per day, or 58%, was oil and 278.5 MMcf per day, or 42%, was natural gas. Our average daily oil production of 64,300 Bbl per day for the three months ended June 30, 2022 increased 21% year-over-year from 53,400 Bbl per day for the three months ended June 30, 2021. Our average daily natural gas production of 278.5 MMcf per day for the three months ended June 30, 2022 increased 16% year-over-year from 239.1 MMcf per day for the three months ended June 30, 2021.</w:t>
      </w:r>
    </w:p>
    <w:p>
      <w:pPr>
        <w:spacing w:after="0" w:line="75"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For the second quarter of 2022, we reported net income attributable to Matador shareholders of $415.7 million, or $3.47 per diluted common share, on a generally accepted accounting principles in the United States (“GAAP”) basis, as compared to net income attributable to Matador shareholders of $105.9 million, or $0.89 per diluted common share, for the second quarter of 2021. For the second quarter of 2022, our Adjusted EBITDA attributable to Matador shareholders (“Adjusted EBITDA”), a</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non-GAAP financial measure, was $663.8 million, as compared to Adjusted EBITDA of $261.0 million during the second quarter of 2021. For a definition of Adjusted EBITDA and a reconciliation of Adjusted EBITDA to our net income and net cash provided by operating activities, see “—Liquidity and Capital Resources—Non-GAAP Financial Measures.” For more information regarding our financial results for the three months ended June 30, 2022, see “—Results of Operations” below.</w:t>
      </w:r>
    </w:p>
    <w:p>
      <w:pPr>
        <w:spacing w:after="0" w:line="7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2022, we reported net income attributable to Matador shareholders of $622.8 million, or $5.20 per diluted common share, on a GAAP basis, as compared to net income attributable to Matador shareholders of $166.6 million, or $1.40 per diluted common share, for the six months ended June 30, 2021. For the six months ended June 30, 2022, our Adjusted EBITDA, a non-GAAP financial measure, was $1.1 billion, as compared to Adjusted EBITDA of $459.1 million during the six months ended June 30, 2021. For a definition of Adjusted EBITDA and a reconciliation of Adjusted EBITDA to our net income and net cash provided by operating activities, see “—Liquidity and Capital Resources—Non-GAAP Financial Measures.” For more information regarding our financial results for the three and three and six months ended June 30, 2022, see “—Results of Operations” below.</w:t>
      </w:r>
    </w:p>
    <w:p>
      <w:pPr>
        <w:spacing w:after="0" w:line="81"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On June 30, 2022, we acquired a cryogenic gas processing plant, 3 compressor stations and approximately 45 miles of natural gas gathering pipelines in Lea and Eddy Counties, New Mexico through the acquisition of a wholly-owned subsidiary of Summit Midstream Partners, LP (“Summit”) that was subsequently renamed Pronto Midstream, LLC (“Pronto”). In addition, the Company assumed certain takeaway capacity on a Federal Energy Regulatory Commission regulated natural gas pipeline. As consideration for the business combination, the Company paid approximately $77.8 million in cash, subject to certain customary post-closing adjustments.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Update</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began 2022 operating five drilling rigs in the Delaware Basin but contracted a sixth drilling rig during the first quarter to begin development of certain acquired assets in the western portion of the Ranger asset area in Lea County, New Mexico. We operated six drilling rigs in the Delaware Basin throughout the second quarter of 2022. At July 26, 2022, three of these rigs were operating in the Ranger asset area, two of these rigs were operating in the Rustler Breaks asset area and the sixth rig was operating in the Stateline asset area. We signed a contract for a seventh drilling rig late in the second quarter of 2022, which we plan to begin operating in September 2022. Thereafter, we plan to operate seven drilling rigs throughout the remainder of 2022. We have built significant optionality into our drilling program, which should generally allow us to decrease or increase the number of rigs we operate as necessary based on changing commodity prices and other factors.</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turned to sales a total of 29 gross (7.7 net) horizontal wells in the Delaware Basin during the second quarter of 2022, including 11 gross (6.4 net) operated horizontal wells and 18 gross (1.3 net) non-operated horizontal wells. During the second quarter of 2022, we turned to sales 11 gross (6.4 net) horizontal operated wells in the Rustler Breaks asset area: four were Second Bone Spring completions, three were First Bone Spring completions, two were Third Bone Spring completions, one was a Wolfcamp B completion and one was a Wolfcamp A completion. We also participated in nine gross (0.1 net) non-operated wells turned to sales in the Antelope Ridge asset area, five gross (0.4 net) non-operated wells in the Rustler Breaks asset area, two gross (0.7 net) non-operated wells in the Arrowhead asset area and two gross (0.1 net) non-operated wells in the Ranger asset area.</w:t>
      </w:r>
    </w:p>
    <w:p>
      <w:pPr>
        <w:spacing w:after="0" w:line="7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average daily oil equivalent production in the Delaware Basin for the second quarter of 2022 was 105,200 BOE per day, consisting of 63,300 Bbl of oil per day and 251.4 MMcf of natural gas per day, a 20% increase from 87,500 BOE per day, consisting of 51,700 Bbl of oil per day and 214.7 MMcf of natural gas per day, in the second quarter of 2021. The Delaware Basin contributed approximately 98% of our daily oil production and approximately 90% of our daily natural gas production in the second quarter of 2022, as compared to approximately 97% of our daily oil production and approximately 90% of our daily natural gas production in the second quarter of 2021.</w:t>
      </w:r>
    </w:p>
    <w:p>
      <w:pPr>
        <w:spacing w:after="0" w:line="75"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we did not turn to sales any operated wells or participate in any non-operated wells turned to sales on our leasehold properties in the Eagle Ford shale play in South Texas or in the Haynesville shale and Cotton Valley plays in Northwest Louisiana.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Capital Expenditure Budget</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At July 26, 2022, we increased our estimated 2022 capital expenditures for drilling, completing and equipping wells (“D/C/E capital expenditures”) to $765.0 to $835.0 million from $640.0 to $710.0 million, as originally estimated, primarily to accommodate the seventh drilling rig and an accelerated drilling program on our Rodney Robinson leasehold in the western portion of the Antelope Ridge asset area and additional working interests obtained through acreage trades and other transactions. At July 26, 2022, our anticipated midstream capital expenditures remained $50.0 to $60.0 million, which includes our proportionate share of estimated 2022 capital expenditures for San Mateo and other wholly-owned midstream projects.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Board of Directors (the “Board”) declared quarterly cash dividends of $0.05 per share of common stock in both the first and second quarters of 2022, which were paid on March 14, 2022 and June 3, 2022, respectively. In June 2022, the Board amended the Company’s dividend policy to increase the quarterly dividend to $0.10 per share of common stock. In July 2022, the Board declared a quarterly cash dividend of $0.10 per share of common stock payable on September 1, 2022 to shareholders of record as of August 17, 2022.</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we repaid the remaining $50.0 million of borrowings under our fourth amended and restated credit agreement (the “Credit Agreement”). We did not have any outstanding borrowings under our Credit Agreement at June 30, 2022. We repurchased $144.0 million of our outstanding senior notes due 2026 (the “Notes”) for $142.4 million during the three months ended June 30, 2022 and also repurchased an additional $14.2 million of Notes for $13.7 million between June 30, 2022 and July 25, 2022.</w:t>
      </w:r>
    </w:p>
    <w:p>
      <w:pPr>
        <w:spacing w:after="0" w:line="72"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In April 2022, the lenders under our Credit Agreement, led by Royal Bank of Canada, completed their review of our proved oil and natural gas reserves, and, as a result, the borrowing base was increased to $2.0 billion from $1.35 billion, the Company’s elected borrowing commitment increased to $775.0 million from $700.0 million, the maximum facility amount remained $1.5 billion and one additional bank joined our lending group.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This April 2022 redetermination constituted the regularly scheduled May 1 redetermination. Borrowings under the Credit Agreement are limited to the lowest of the borrowing base, the maximum facility amount and the elected borrowing commitment.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recent accounting pronouncements that are expected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528,393</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199,914</w:t>
            </w:r>
          </w:p>
        </w:tc>
      </w:tr>
      <w:tr>
        <w:trPr>
          <w:trHeight w:val="223"/>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728,307</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w:t>
            </w:r>
          </w:p>
        </w:tc>
      </w:tr>
      <w:tr>
        <w:trPr>
          <w:trHeight w:val="229"/>
        </w:trPr>
        <w:tc>
          <w:tcPr>
            <w:tcW w:w="6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(86,227)</w:t>
            </w:r>
          </w:p>
        </w:tc>
      </w:tr>
      <w:tr>
        <w:trPr>
          <w:trHeight w:val="223"/>
        </w:trPr>
        <w:tc>
          <w:tcPr>
            <w:tcW w:w="6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624,272</w:t>
            </w:r>
          </w:p>
        </w:tc>
      </w:tr>
      <w:tr>
        <w:trPr>
          <w:trHeight w:val="229"/>
        </w:trPr>
        <w:tc>
          <w:tcPr>
            <w:tcW w:w="6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r>
      <w:tr>
        <w:trPr>
          <w:trHeight w:val="229"/>
        </w:trPr>
        <w:tc>
          <w:tcPr>
            <w:tcW w:w="63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638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r>
      <w:tr>
        <w:trPr>
          <w:trHeight w:val="230"/>
        </w:trPr>
        <w:tc>
          <w:tcPr>
            <w:tcW w:w="638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83,650</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280" w:hanging="332"/>
        <w:spacing w:after="0" w:line="30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 equivalent, estimated using a conversion ratio of one Bbl of oil per six Mcf of natural gas.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June 30, 2022 as Compared to Three Months Ended June 30, 2021</w:t>
      </w:r>
    </w:p>
    <w:p>
      <w:pPr>
        <w:spacing w:after="0" w:line="117"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$480.7 million, or 117%, to $892.8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as compared to $412.1 million for the three months ended June 30, 2021. Our oil revenues increased $335.1 million, or 106%, to $650.2 million for the three months ended June 30, 2022, as compared to $315.1 million for the three months ended June 30, 2021. This increase in oil revenues resulted from a 71% increase in the weighted average oil price realized for the three months ended June 30, 2022 to $111.06 per Bbl, as compared to $64.90 per Bbl for the three months ended June 30, 2021, and from a 21% increase in our oil production to 5.9 million Bbl for the three months ended June 30, 2022, as compared to 4.9 million Bbl for the three months ended June 30, 2021. Our natural gas revenues increased $145.6 million, or 150%, to $242.5 million for the three months ended June 30, 2022, as compared to $97.0 million for the three months ended June 30, 2021. The increase in natural gas revenues resulted from a 115% increase in the weighted average natural gas price realized for the three months ended June 30, 2022 to $9.57 per Mcf, as compared to a weighted average natural gas price of $4.46 per Mcf realized for the three months ended June 30, 2021, and from a 16% increase in our natural gas production to 25.3 Bcf for the three months ended June 30, 2022, as compared to 21.8 Bcf for the three months ended June 30,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$2.0 million, or 10%, to $21.9 million for the three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2022, as compared to $19.9 million for the three months ended June 30, 2021. Third-party midstream services revenues are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midstream operations related to third parties, including working interest owners in our operated wells. This increase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an increase in our third-party produced water disposal revenues to $8.4 million for the three months ended June 30, 2022,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million for the three months ended June 30, 2021, and an increase in our third-party natural gas gathering and processing revenues to $10.7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June 30, 2022, as compared to $10.3 million for the three months ended June 30, 2021.</w:t>
      </w:r>
    </w:p>
    <w:p>
      <w:pPr>
        <w:spacing w:after="0" w:line="9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$49.1 million, over five-fold, to $60.0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as compared to $10.9 million for the three months ended June 30, 2021. This increase was the result of both an increase in purchased natural gas volumes sold and the natural gas price realized during the three months ended June 30, 2022.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75"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Realized loss on derivatives. </w:t>
      </w:r>
      <w:r>
        <w:rPr>
          <w:rFonts w:ascii="Times New Roman" w:cs="Times New Roman" w:eastAsia="Times New Roman" w:hAnsi="Times New Roman"/>
          <w:sz w:val="18"/>
          <w:szCs w:val="18"/>
          <w:color w:val="auto"/>
        </w:rPr>
        <w:t>Our realized net loss on derivatives was $61.2 million for the three months ended June 30, 2022,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net loss of $42.6 million for the three months ended June 30, 2021. We realized a net loss of $34.2 million related to our oil costless collar and oil basis swap contracts for the three months ended June 30, 2022, resulting primarily from oil prices that were above the ceiling prices of certain of our oil costless collar contracts and above the strike prices of certain of our oil basis swap contracts. We realized a net loss of $26.9 million related to our natural gas costless collar contracts for the three months ended June 30, 2022, resulting primarily from natural gas prices that were above the ceiling prices of certain of our natural gas costless collar contracts. We realized an average loss on our oil derivatives of approximately $5.85 per Bbl produced during the three months ended June 30, 2022, as compared to an average loss of approximately $8.77 per Bbl produced during the three months ended June 30, 2021. We realized an average loss on our natural gas derivatives of approximately $1.06 per Mcf produced during the three months ended June 30, 2022.</w:t>
      </w:r>
    </w:p>
    <w:p>
      <w:pPr>
        <w:spacing w:after="0" w:line="7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derivatives. </w:t>
      </w:r>
      <w:r>
        <w:rPr>
          <w:rFonts w:ascii="Times New Roman" w:cs="Times New Roman" w:eastAsia="Times New Roman" w:hAnsi="Times New Roman"/>
          <w:sz w:val="18"/>
          <w:szCs w:val="18"/>
          <w:color w:val="auto"/>
        </w:rPr>
        <w:t>During the three months ended June 30, 2022, the aggregate net fair value of our open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contracts changed to a net liability of $59.5 million from a net liability of $89.9 million at March 31, 2022, resulting in an unrealized gain on derivatives of $30.4 million for the three months ended June 30, 2022. During the three months ended June 30, 2021, the aggregate net fair value of our open oil and natural gas derivative contracts changed to a net liability of $122.1 million from a net liability of $79.3 million at March 31, 2021, resulting in an unrealized loss on derivatives of $42.8 million for the three months ended June 30, 2021.</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Six Months Ended June 30, 2022 as Compared to Six Months Ended June 30, 2021</w:t>
      </w:r>
    </w:p>
    <w:p>
      <w:pPr>
        <w:spacing w:after="0" w:line="117"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$791.0 million, or 109%, to $1.5 billion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$728.3 million for the six months ended June 30, 2021. Our oil revenues increased $582.0 million, or 110%, to $1.1 billion for the six months ended June 30, 2022, as compared to $528.4 million for the six months ended June 30, 2021. This increase in oil revenues resulted from a 69% increase in the weighted average oil price realized for the six months ended June 30, 2022 to $104.01 per Bbl, as compared to $61.49 per Bbl for the six months ended June 30, 2021, and from a 24% increase in our oil production to 10.7 million Bbl for the six months ended June 30, 2022, as compared to 8.6 million Bbl for the six months ended June 30, 2021. Our natural gas revenues increased by $209.0 million, or 105%, to $408.9 million for the six months ended June 30, 2022, as compared to $199.9 million for the six months ended June 30, 2021. The increase in natural gas revenues resulted from a 70% increase in the weighted average natural gas price realized for the six months ended June 30, 2022 to $8.67 per Mcf, as compared to a weighted average natural gas price of $5.09 per Mcf for the six months ended June 30, 2021, and from a 20% increase in our natural gas production to 47.2 Bcf for the six months ended June 30, 2022, as compared to 39.3 Bcf for the six months ended June 30, 2021.</w:t>
      </w:r>
    </w:p>
    <w:p>
      <w:pPr>
        <w:spacing w:after="0" w:line="7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$3.9 million, or 11%, to $39.2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as compared to $35.3 million for the six months ended June 30, 2021. This increase was primarily attributable to an increase in our third-party produced water disposal revenues to $16.2 million for the six months ended June 30, 2022, as compared to $13.5 million for the six months ended June 30, 2021, and an increase in our third-party natural gas gathering and processing revenues to $18.4 million for the six months ended June 30, 2022, as compared to $17.1 million for the six months ended June 30, 2021.</w:t>
      </w:r>
    </w:p>
    <w:p>
      <w:pPr>
        <w:spacing w:after="0" w:line="75" w:lineRule="exact"/>
        <w:rPr>
          <w:sz w:val="20"/>
          <w:szCs w:val="20"/>
          <w:color w:val="auto"/>
        </w:rPr>
      </w:pPr>
    </w:p>
    <w:p>
      <w:pPr>
        <w:ind w:right="1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$63.9 million, or over four-fold, to $79.3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as compared to $15.4 million for the six months ended June 30, 2021. This increase was the result of both an increase in natural gas volumes sold and the natural gas price realized during the six months ended June 30,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Realized loss on derivatives. </w:t>
      </w:r>
      <w:r>
        <w:rPr>
          <w:rFonts w:ascii="Times New Roman" w:cs="Times New Roman" w:eastAsia="Times New Roman" w:hAnsi="Times New Roman"/>
          <w:sz w:val="18"/>
          <w:szCs w:val="18"/>
          <w:color w:val="auto"/>
        </w:rPr>
        <w:t>Our realized net loss on derivatives was $83.6 million for the six months ended June 30, 2022, as compared to a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loss of $68.5 million for the six months ended June 30, 2021. We realized a net loss of $52.4 million related to our oil costless collar and oil basis swap contracts for the six months ended June 30, 2022, resulting primarily from oil prices that were above the ceiling prices of certain of our oil costless collar contracts and above the strike prices of certain of our oil basis swap contracts. We realized a net loss of $31.2 million related to our natural gas costless collar contracts for the six months ended June 30, 2022, resulting primarily from natural gas prices that were above the ceiling prices of certain of our natural gas costless collar contracts. We realized an average loss on our oil derivatives of approximately $4.91 per Bbl produced during the six months ended June 30, 2022, as compared to an average loss of $8.00 per Bbl produced during the six months ended June 30, 2021. We realized an average loss on our natural gas derivatives of approximately $0.66 per Mcf produced during the six months ended June 30, 2022.</w:t>
      </w:r>
    </w:p>
    <w:p>
      <w:pPr>
        <w:spacing w:after="0" w:line="7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derivatives. </w:t>
      </w:r>
      <w:r>
        <w:rPr>
          <w:rFonts w:ascii="Times New Roman" w:cs="Times New Roman" w:eastAsia="Times New Roman" w:hAnsi="Times New Roman"/>
          <w:sz w:val="18"/>
          <w:szCs w:val="18"/>
          <w:color w:val="auto"/>
        </w:rPr>
        <w:t>During the period from December 31, 2021 through June 30, 2022, the aggregate net fair value of our open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natural gas derivative contracts changed to a net liability of $59.5 million from a net liability of $14.9 million, resulting in an unrealized loss on derivatives of $44.6 million for the six months ended June 30, 2022. During the period from December 31, 2020 through June 30, 2021, the aggregate net fair value of our open oil and natural gas derivative contracts changed to a net liability of $122.1 million from a net liability of $35.9 million, resulting in an unrealized loss on derivatives of $86.2 million for the six months ended June 30,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78,017</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54,691</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166,307</w:t>
            </w: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46,585</w:t>
            </w:r>
          </w:p>
        </w:tc>
      </w:tr>
      <w:tr>
        <w:trPr>
          <w:trHeight w:val="223"/>
        </w:trPr>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386,503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237,769</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(37,590)</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3"/>
        </w:trPr>
        <w:tc>
          <w:tcPr>
            <w:tcW w:w="63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(38,251)</w:t>
            </w:r>
          </w:p>
        </w:tc>
      </w:tr>
      <w:tr>
        <w:trPr>
          <w:trHeight w:val="223"/>
        </w:trPr>
        <w:tc>
          <w:tcPr>
            <w:tcW w:w="6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199,518</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23"/>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191,329</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166,550</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4"/>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June 30, 2022 as Compared to Three Months Ended June 30, 2021</w:t>
      </w:r>
    </w:p>
    <w:p>
      <w:pPr>
        <w:spacing w:after="0" w:line="117"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$41.8 million, or 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$85.7 million for the three months ended June 30, 2022, as compared to $43.8 million for the three months ended June 30, 2021. On a unit-of-production basis, our production taxes and transportation and processing expenses increased 64% to $8.50 per BOE for the three months ended June 30, 2022, as compared to $5.17 per BOE for the three months ended June 30, 2021. These increases were primarily attributable to a $39.4 million increase in production taxes to $70.5 million for the three months ended June 30, 2022, as compared to $31.1 million for the three months ended June 30, 2021, primarily due to the significant increase in the oil and natural gas revenues between the two periods.</w:t>
      </w:r>
    </w:p>
    <w:p>
      <w:pPr>
        <w:spacing w:after="0" w:line="74"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increased $11.1 million, or 39%, to $39.9 million for the three months ended June 30,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$28.8 million for the three months ended June 30, 2021. Our lease operating expenses on a unit-of-production basis increased 17% to $3.95 per BOE for the three months ended June 30, 2022, as compared to $3.39 per BOE for the three months ended June 30, 2021. These increases were primarily attributable to the increased number of wells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being operated by us and other operators (where we own a working interest) and to operating cost inflation for the three months ended June 30, 2022, as compared to the three months ended June 30, 2021.</w:t>
      </w:r>
    </w:p>
    <w:p>
      <w:pPr>
        <w:spacing w:after="0" w:line="52"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$8.3 million, or 60%, to $22.0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2022, as compared to $13.7 million for the three months ended June 30, 2021. This increase was primarily attributable to our increased volumes as well as increased third-party volumes, which resulted in (i) increased expenses associated with our commercial produced water disposal operations of $11.7 million for the three months ended June 30, 2022, as compared to $6.6 million for the three months ended June 30, 2021, and (ii) increased expenses associated with our pipeline operations of $6.8 million for the three months ended June 30, 2022, as compared to $3.7 million for the three months ended June 30, 2021.</w:t>
      </w:r>
    </w:p>
    <w:p>
      <w:pPr>
        <w:spacing w:after="0" w:line="74"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$28.6 million, or 31%, to $120.0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2022, as compared to $91.4 million for the three months ended June 30, 2021, primarily as a result of the 19% increase in our total oil equivalent production for the three months ended June 30, 2022, as compared to June 30, 2021. On a unit-of-production basis, our depletion, depreciation and amortization expenses increased 10% to $11.91 per BOE for the three months ended June 30, 2022, as compared to $10.78 per BOE for the three months ended June 30, 2021, primarily as a result of the increase in actual costs and estimated future costs to drill, complete and equip our wells between the two periods.</w:t>
      </w:r>
    </w:p>
    <w:p>
      <w:pPr>
        <w:spacing w:after="0" w:line="74"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remained consistent at $24.4 million for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three months ended June 30, 2021. Our general and administrative expenses decreased 16% on a unit-of-production basis to $2.42 per BOE for the three months ended June 30, 2022, as compared to $2.88 per BOE for the three months ended June 30, 2021, which was attributable to the 19% increase in our total oil equivalent production between the two periods.</w:t>
      </w:r>
    </w:p>
    <w:p>
      <w:pPr>
        <w:spacing w:after="0" w:line="72"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June 30, 2022, we incurred total interest expense of $19.3 million. We capitalized $0.8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on certain qualifying projects for the three months ended June 30, 2022 and expensed the remaining $18.5 million to operations. For the three months ended June 30, 2021, we incurred total interest expense of $19.8 million. We capitalized $1.9 million of our interest expense on certain qualifying projects for the three months ended June 30, 2021 and expensed the remaining $17.9 million to operations.</w:t>
      </w:r>
    </w:p>
    <w:p>
      <w:pPr>
        <w:spacing w:after="0" w:line="7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As a result of the full-cost ceiling impairments recorded during 2020, we recognized a valuation allowance against our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deferred tax assets as of September 30, 2020, which remained in place at June 30, 2021. As a result, we recorded an income tax provision of $5.3 million for the three months ended June 30, 2021. Our income tax provision differed from amounts computed by applying the U.S. federal statutory rate to the pre-tax income due to recording the net deferred tax liability for state taxes, primarily in New Mexico, and continuing to recognize a valuation allowance against our U.S. federal net deferred tax assets. Due to a variety of factors, including our significant net income during 2021, our federal valuation allowance was reversed in the third quarter of 2021. Our current income tax provision was $36.3 million and our deferred income tax provision was $99.7 million for the three months ended June 30, 2022. Our effective tax rate of 25% for the three months ended June 30, 2022 differed from the U.S. federal statutory rate due primarily to permanent differences between book and taxable income and state taxes, primarily in New Mexico.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Six Months Ended June 30, 2022 as Compared to Six Months Ended June 30, 2021</w:t>
      </w:r>
    </w:p>
    <w:p>
      <w:pPr>
        <w:spacing w:after="0" w:line="171"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transportation and processing expenses increased by approximately $67.5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86%, to approximately $145.5 million for the six months ended June 30, 2022, as compared to $78.0 million for the six months ended June 30, 2021. On a unit-of-production basis, our production taxes, transportation and processing expenses increased by 52% to $7.85 per BOE for the six months ended June 30, 2022, as compared to $5.15 per BOE for the six months ended June 30, 2021. These increases were primarily attributable to a $64.4 million increase in production taxes to $119.2 million for the six months ended June 30, 2022, as compared to $54.8 million for the six months ended June 30, 2021, primarily due to the significant increase in oil and natural gas revenues between the two periods.</w:t>
      </w:r>
    </w:p>
    <w:p>
      <w:pPr>
        <w:spacing w:after="0" w:line="12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Our lease operating expenses increased by approximately $19.1 million, or 35%, to $73.8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as compared to $54.7 million for the six months ended June 30, 2021. Our lease operating expenses per unit of production increased 10% to $3.98 per BOE for the six months ended June 30, 2022, as compared to $3.61 per BOE for the six months ended June 30, 2021. These increases were primarily attributable to the increased number of wells being operated by us and other operators (where we own a working interest) and to operating cost inflation for the six months ended June 30, 2022, as compared to the six months ended June 30, 2021.</w:t>
      </w:r>
    </w:p>
    <w:p>
      <w:pPr>
        <w:spacing w:after="0" w:line="75" w:lineRule="exact"/>
        <w:rPr>
          <w:sz w:val="20"/>
          <w:szCs w:val="20"/>
          <w:color w:val="auto"/>
        </w:rPr>
      </w:pPr>
    </w:p>
    <w:p>
      <w:pPr>
        <w:ind w:right="1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$14.1 million, or 51%, to $41.5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2022, as compared to $27.4 million for the six months ended June 30, 2021. This increase was primarily attributable to our increased volumes as well as third-party volumes,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which caused (i) increased expenses associated with our commercial produced water disposal operations of $21.7 million for the six months ended June 30, 2022, as compared to $14.2 million for the six months ended June 30, 2021, (ii) increased expenses associated with our pipeline operations of $12.5 million for the six months ended June 30, 2022, as compared to $7.0 million for the six months ended June 30, 2021, and (iii) increased expenses associated with operating the Black River Processing Plant of $7.3 million for the six months ended June 30, 2022, as compared to $6.2 million for the six months ended June 30, 2021.</w:t>
      </w:r>
    </w:p>
    <w:p>
      <w:pPr>
        <w:spacing w:after="0" w:line="7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by $49.6 million to $215.9 million,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30%, for the six months ended June 30, 2022, as compared to $166.3 million for the six months ended June 30, 2021, primarily as a result of the 22% increase in our oil equivalent production. On a unit-of-production basis, our depletion, depreciation and amortization expenses increased to $11.65 per BOE for the six months ended June 30, 2022, or 6%, from $10.98 per BOE for the six months ended June 30, 2021, primarily as a result of the increase in actual costs and estimated future costs to drill, complete and equip our wells between the two periods.</w:t>
      </w:r>
    </w:p>
    <w:p>
      <w:pPr>
        <w:spacing w:after="0" w:line="129"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by $7.6 million to $54.2 million, or 16%,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as compared to $46.6 million for the six months ended June 30, 2021, primarily due to increased payroll for our existing employees as well as with additional employees joining Matador to support our increased land, geoscience, drilling, completion, production, midstream and administration functions as a result of our continued growth. While our general and administrative expenses increased 16% on an absolute basis, our general and administrative expenses decreased by 5% on a unit-of-production basis to $2.92 per BOE for the six months ended June 30, 2022, as compared to $3.08 per BOE for the six months ended June 30, 2021, primarily as a result of the 22% increase in our oil equivalent production between the two periods.</w:t>
      </w:r>
    </w:p>
    <w:p>
      <w:pPr>
        <w:spacing w:after="0" w:line="12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six months ended June 30, 2022, we incurred total interest expense of approximately $39.1 million. We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$4.4 million of our interest expense on certain qualifying projects for the six months ended June 30, 2022 and expensed the remaining $34.7 million to operations. For the six months ended June 30, 2021, we incurred total interest expense of approximately $40.1 million. We capitalized approximately $2.5 million of our interest expense on certain qualifying projects for the six months ended June 30, 2021 and expensed the remaining $37.6 million to operations.</w:t>
      </w:r>
    </w:p>
    <w:p>
      <w:pPr>
        <w:spacing w:after="0" w:line="12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As a result of the full-cost ceiling impairments recorded during 2020, we recognized a valuation allowance against our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deferred tax assets as of September 30, 2020, which remained in place at June 30, 2021. As a result, we recorded an income tax provision of $8.2 million for the six months ended June 30, 2021. Our income tax provision differed from amounts computed by applying the U.S. federal statutory rate to the pre-tax income due to recording the net deferred tax liability for state taxes, primarily in New Mexico, and continuing to recognize a valuation allowance against our U.S. federal net deferred tax assets. Due to a variety of factors, including our significant net income during 2021, our federal valuation allowance was reversed in the third quarter of 2021. Our current income tax provision was $51.7 million and our deferred income tax provision was $152.8 million for the six months ended June 30, 2022. Our effective tax rate of 25% for the six months ended June 30, 2022 differed from the U.S. federal statutory rate due primarily to permanent differences between book and taxable income and state taxes, primarily in New Mexico.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2022 and for the foreseeable future, for the acquisition, exploration and development of oil and natural gas properties and for midstream investments. Excluding any possible significant acquisitions, we expect to fund our capital expenditures for the remainder of 2022 primarily through a combination of cash on hand, operating cash flows and performance incentives paid to us by a subsidiary of Five Point Energy LLC, our joint venture partner in San Mateo, in connection with San Mateo. If capital expenditures were to exceed our operating cash flows during the remainder of 2022, we expect to fund any such excess capital expenditures through borrowings under the Credit Agreement or San Mateo’s revolving credit facility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At June 30, 2022, we had cash totaling $230.4 million and restricted cash totaling $51.9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2022, the Board declared a quarterly cash dividend of $0.05 per share of common stock, which was paid on March 14, 2022. In April 2022, the Board declared a quarterly cash dividend of $0.05 per share of common stock, which was paid on June 3, 2022. In June 2022, the Board amended our dividend policy to increase the quarterly dividend to $0.10 per share of common stock. In July 2022, the Board declared a quarterly cash dividend of $0.10 per share of common stock payable on September 1, 2022 to shareholders of record as of August 17, 2022.</w:t>
      </w:r>
    </w:p>
    <w:p>
      <w:pPr>
        <w:spacing w:after="0" w:line="7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At June 30, 2022, we had (i) $906.0 million of outstanding senior notes due 2026 (the “Notes”), (ii) no borrowings outstanding under the Credit Agreement and (iii) approximately $45.6 million in outstanding letters of credit issued pursuant to the Credit Agreement. During the first quarter of 2022, the $7.5 million unsecured U.S. Small Business Administration loan was forgiven under the terms of the loan agreement. During the second quarter of 2022, we repaid the remaining $50.0 million of borrowings under the Credit Agreement and repurchased $144.0 million of our Notes for $142.4 million.</w:t>
      </w:r>
    </w:p>
    <w:p>
      <w:pPr>
        <w:spacing w:after="0" w:line="7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April 2022, the lenders under our Credit Agreement completed their review of our proved oil and natural gas reserves, and, as a result, the borrowing base was increased to $2.0 billion from $1.35 billion, the borrowing commitment was increased to $775.0 million from $700.0 million and the maximum facility amount remained $1.5 billion. In addition, the terms of the Credit Agreement were amended to increase the sublimit for issuances of letters of credit under the Credit Agreement from $50 million to $100 million and replace the LIBOR interest rate benchmark with an Adjusted Term SOFR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in each case depending on the level of borrowings under the Credit Agreement. In addition, the Adjusted Term SOFR includes a credit spread adjustment of 0.10% per annum for all interest periods. Borrowings under the Credit Agreement are limited to the lowest of the borrowing base, the maximum facility amount and the elected commitment (subject to compliance with the covenant noted below). The Credit Agreement matures in October 2026.</w:t>
      </w:r>
    </w:p>
    <w:p>
      <w:pPr>
        <w:spacing w:after="0" w:line="8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We believe that we were in compliance with the terms of the Credit Agreement at June 30, 2022.</w:t>
      </w:r>
    </w:p>
    <w:p>
      <w:pPr>
        <w:spacing w:after="0" w:line="75"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At June 30, 2022, San Mateo had $420.0 million in borrowings outstanding under the San Mateo Credit Facility and approximately $9.0 million in outstanding letters of credit issued pursuant to the San Mateo Credit Facility. The San Mateo Credit Facility matures December 19, 2023 and the lender commitments under that facility are $450 million (subject to San Mateo’s compliance with the covenants noted below). The San Mateo Credit Facility includes an accordion feature, which provides for potential increases in lender commitments to up to $700.0 million. The San Mateo Credit Facility is guaranteed by San Mateo’s subsidiaries, secured by substantially all of San Mateo’s assets, including real property, and is non-recourse with respect to Matador and its wholly-owned subsidiaries.</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June 30, 2022.</w:t>
      </w:r>
    </w:p>
    <w:p>
      <w:pPr>
        <w:spacing w:after="0" w:line="7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oil and natural gas industry experienced continued improvement in commodity prices as compared to 2021, primarily resulting from (i) improvements in oil demand as the impact from COVID-19 has subsided, (ii) actions taken by the Organization of Petroleum Exporting Countries, Russia and certain other oil-exporting countries (“OPEC+”) to moderate the worldwide supply of oil and (iii) changes in supply and demand dynamics, particularly with respect to instability in Russia and Ukraine. As a result, West Texas Intermediate (“WTI”) oil prices have increased from $75.21 per barrel at December 31, 2021 to as high as $123.70 per barrel in early March 2022, before falling back to $105.76 per barrel at June 30, 2022, based upon the WTI oil futures contract price for earliest delivery date. Prices for natural gas were also much higher during the six months ended June 30, 2022 as compared to 2021, increasing from $3.73 per MMBtu at December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31, 2021 to as high as $9.32 per MMBtu in early June 2022, before falling back to $5.42 per MMBtu at June 30, 2022, based upon the NYMEX Henry Hub natural gas futures contract price for earliest delivery date. While oil and natural gas prices have improved significantly in 2022, the general outlook for the oil and natural gas industry for the remainder of the year remains unclear, and we can provide no assurances that commodity prices will remain at current levels. In fact, commodity prices may decline from their current levels. The economic disruptions associated with COVID-19 and the conflict between Russia and Ukraine and the volatility in oil and natural gas prices have also impacted our ability to access the capital markets on reasonably similar terms as were available prior to 2020.</w:t>
      </w:r>
    </w:p>
    <w:p>
      <w:pPr>
        <w:spacing w:after="0" w:line="7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 2022. We began 2022 operating five contracted drilling rigs in the Delaware Basin but contracted a sixth drilling rig during the first quarter to begin development of certain acquired assets in the western portion of the Ranger asset area in Lea County, New Mexico. We operated six drilling rigs in the Delaware Basin throughout the second quarter of 2022. We signed a contract for a seventh drilling rig late in the second quarter of 2022, which we plan to begin operating in September. Thereafter, we plan to operate seven drilling rigs throughout the remainder of 2022. We have built significant optionality into our drilling program, which should generally allow us to decrease or increase the number of rigs we operate as necessary based on changing commodity prices and other factors. At July 26, 2022, we increased our estimated 2022 capital expenditures for D/C/E capital expenditures to $765.0 to $835.0 million from $640.0 to $710.0 million, as originally estimated, primarily to accommodate the seventh rig and an accelerated drilling program on our Rodney Robinson leasehold in the western portion of the Antelope Ridge asset area and additional working interests obtained through acreage trades and other transactions. At July 26, 2022, our anticipated midstream capital expenditures for 2022 remained at $50.0 to $60.0 million, which includes our proportionate share of estimated 2022 capital expenditures for San Mateo and other wholly-owned midstream projects. Substantially all of these 2022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2022 Delaware Basin operated drilling program is expected to continue to focus on the continued development of our various asset areas throughout the Delaware Basin, with a continued emphasis on drilling and completing a higher percentage of longer horizontal wells in 2022, including 90% with anticipated completed lateral lengths of two miles or greater.</w:t>
      </w:r>
    </w:p>
    <w:p>
      <w:pPr>
        <w:spacing w:after="0" w:line="85"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may divest portions of our non-core assets, particularly in the Eagle Ford shale in South Texas and the Haynesville shale and Cotton Valley plays in Northwest Louisiana as we have done in the first half of 2022, as well as consider monetizing other assets, such as certain acreage, mineral and royalty interests and midstream assets, as value-creating opportunities arise. In addition, we intend to continue evaluating the opportunistic acquisition of acreage, mineral and royalty interests and midstream assets, principally in the Delaware Basin, during the remainder of 2022. These monetizations, divestitures and capital expenditures are opportunity-specific, and purchase price multiples and per-acre prices can vary significantly based on the asset or prospect. As a result, it is difficult to estimate these monetizations, divestitures and capital expenditures with any degree of certainty; therefore, we have not provided estimated proceeds related to monetizations or divestitures or estimated capital expenditures related to acquiring acreage, mineral and royalty interests and midstream assets for 2022.</w:t>
      </w:r>
    </w:p>
    <w:p>
      <w:pPr>
        <w:spacing w:after="0" w:line="84"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2022 capital expenditures may be adjusted as business conditions warrant, and the amount, timing and allocation of such expenditures is largely discretionary and within our control. The aggregate amount of capital we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If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2022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the remainder of 2022 and the hedges we currently have in place. For further discussion of our expectations of such commodity prices, see “—General Outlook and Trends” below. We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unaudited cash flows for the six months ended June 30, 2022 and 2021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6"/>
                <w:szCs w:val="16"/>
                <w:color w:val="auto"/>
              </w:rPr>
            </w:pPr>
          </w:p>
        </w:tc>
      </w:tr>
      <w:tr>
        <w:trPr>
          <w:trHeight w:val="212"/>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9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427,595</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(251,122)</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(258,889)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(188,648)</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459,081</w:t>
            </w:r>
          </w:p>
        </w:tc>
      </w:tr>
      <w:tr>
        <w:trPr>
          <w:trHeight w:val="29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85" w:lineRule="exact"/>
        <w:rPr>
          <w:sz w:val="20"/>
          <w:szCs w:val="20"/>
          <w:color w:val="auto"/>
        </w:rPr>
      </w:pPr>
    </w:p>
    <w:p>
      <w:pPr>
        <w:ind w:left="340" w:right="300" w:hanging="332"/>
        <w:spacing w:after="0" w:line="30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$547.7 million to $975.3 million for the six months ended June 30, 2022 from $427.6 million for the six months ended June 30, 2021. Excluding changes in operating assets and liabilities, net cash provided by operating activities increased $625.8 million to $1.1 billion for the six months ended June 30, 2022 from $457.4 million for the six months ended June 30, 2021, primarily attributable to significantly higher realized oil and natural gas prices and higher oil and natural gas production for the six months ended June 30, 2022, as compared to the six months ended June 30, 2021. Changes in our operating assets and liabilities between the two periods resulted in a net decrease of approximately $78.2 million in net cash provided by operating activities for the six months ended June 30, 2022, as compared to the six months ended June 30, 2021.</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increased $269.9 million to $521.0 million for the six months ended June 30, 2022 from $251.1 million for the six months ended June 30, 2021. This increase in net cash used in investing activities was primarily due to (i) an increase of $179.2 million in D/C/E capital expenditures, (ii) an increase of $57.8 million in expenditures related to the acquisition of oil and natural gas properties for the six months ended June 30, 2022, as compared to the six months ended June 30, 2021, and (iii) the acquisition of a cryogenic natural gas processing plant, compressor stations and natural gas gathering pipelines through the acquisition of a wholly-owned subsidiary of Summit for $75.8 million. These increases were partially offset by a $46.1 million increase in proceeds from the sale of primarily non-core oil and gas assets. Cash used for D/C/E capital expenditures and for the acquisition of oil and natural gas properties for the six months ended June 30, 2022 and 2021 was primarily attributable to our operated and non-operated drilling and completion activities in the Delaware Basin.</w:t>
      </w:r>
    </w:p>
    <w:p>
      <w:pPr>
        <w:spacing w:after="0" w:line="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increased $70.2 million to $258.9 million for the six months ended June 30, 2022 from $188.6 million for the six months ended June 30, 2021. During the six months ended June 30, 2022, our primary uses of cash related to financing activities were for the repurchase of Notes for $142.4 million and the net repayment of $100.0 million in borrowings under our Credit Agreement. These payments were partially offset by net borrowings under the San Mateo Credit Facility of $35.0 million. During the six months ended June 30, 2021, our primary use of cash related to financing activities was for the net repayment of $200.0 million in borrowings under our Credit Agreement.</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See Note 4 to the interim unaudited condensed consolidated financial statements in this Quarterly Report for a summary of our debt, including the Credit Agreement, the San Mateo Credit Facility and the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Financial Information</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Notes are jointly and severally guaranteed by certain subsidiaries of Matador (the “Guarantor Subsidiaries”) on a full and unconditional basis (except for customary release provisions). At June 30, 2022, the Guarantor Subsidiaries were 100% owned by Matador. Matador is a parent holding company and has no independent assets or operations, and there are no significant restrictions on the ability of Matador to obtain funds from the Guarantor Subsidiaries by dividend or loan. Neither San Mateo or its subsidiaries nor Pronto are guarantors of the Notes.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0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721,665</w:t>
            </w:r>
          </w:p>
        </w:tc>
      </w:tr>
      <w:tr>
        <w:trPr>
          <w:trHeight w:val="229"/>
        </w:trPr>
        <w:tc>
          <w:tcPr>
            <w:tcW w:w="9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3,212,364</w:t>
            </w:r>
          </w:p>
        </w:tc>
      </w:tr>
      <w:tr>
        <w:trPr>
          <w:trHeight w:val="230"/>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73,061</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610,104</w:t>
            </w:r>
          </w:p>
        </w:tc>
      </w:tr>
      <w:tr>
        <w:trPr>
          <w:trHeight w:val="230"/>
        </w:trPr>
        <w:tc>
          <w:tcPr>
            <w:tcW w:w="9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900,261</w:t>
            </w:r>
          </w:p>
        </w:tc>
      </w:tr>
      <w:tr>
        <w:trPr>
          <w:trHeight w:val="229"/>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288,034</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902,854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1,437,346</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614,493</w:t>
            </w:r>
          </w:p>
        </w:tc>
      </w:tr>
      <w:tr>
        <w:trPr>
          <w:trHeight w:val="22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822,853</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(34,419)</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(204,488)</w:t>
            </w:r>
          </w:p>
        </w:tc>
      </w:tr>
      <w:tr>
        <w:trPr>
          <w:trHeight w:val="248"/>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583,946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75"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415,718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166,550</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w:t>
            </w: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191,329</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37,590</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166,307</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86,227</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related to contingent consideration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493,303</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(34,222)</w:t>
            </w: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459,081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3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5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427,595</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35,935</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related to contingent consideration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(34,222)</w:t>
            </w: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459,081</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2022, net income attributable to Matador shareholders increased $309.8 million to $415.7 million, as compared to net income attributable to Matador shareholders of $105.9 million for the three months ended June 30, 2021. The increase in net income attributable to Matador shareholders primarily resulted from higher oil and natural gas production and higher realized oil and natural gas prices for the three months ended June 30, 2022, as compared to the three months ended June 30, 2021, and from an unrealized gain on derivatives of $30.4 million for the three months ended June 30, 2022, as compared to an unrealized loss on derivatives of $42.8 million for the three months ended June 30, 2021. This increase was partially offset by an increase in the total income tax provision to $136.0 million for the three months ended June 30, 2022, as compared to $5.3 million for the three months ended June 30, 2021.</w:t>
      </w:r>
    </w:p>
    <w:p>
      <w:pPr>
        <w:spacing w:after="0" w:line="8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2022, net income attributable to Matador shareholders increased $456.3 million to $622.8 million, as compared to net income attributable to Matador shareholders of $166.6 million for the six months ended June 30, 2021. The increase in net income attributable to Matador shareholders primarily resulted from higher oil and natural gas production and higher realized oil and natural gas prices for the six months ended June 30, 2022, as compared to the six months ended June 30, 2021, and from an unrealized loss on derivatives of $44.6 million for the six months ended June 30, 2022, as compared to an unrealized loss on derivatives of $86.2 million for the six months ended June 30, 2021. This increase was partially offset by an increase in the total income tax provision to $204.5 million for the six months ended June 30, 2022, as compared to $8.2 million for the six months ended June 30,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$402.8 million to $663.8 million for the three months ended June 30, 2022, as compared to $261.0 million for the three months ended June 30, 2021. This increase is primarily attributable to higher oil and natural gas production and higher realized oil and natural gas prices for the three months ended June 30, 2022, as compared to the three months ended June 30, 2021.</w:t>
      </w:r>
    </w:p>
    <w:p>
      <w:pPr>
        <w:spacing w:after="0" w:line="6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$666.6 million to $1.13 billion for the six months ended June 30, 2022, as compared to $459.1 million for the six months ended June 30, 2021. This increase is primarily attributable to higher oil and natural gas production and higher realized oil and natural gas prices for the six months ended June 30, 2022, as compared to the six months ended June 30,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of June 30, 2022,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June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260" w:type="dxa"/>
            <w:vAlign w:val="bottom"/>
          </w:tcPr>
          <w:p>
            <w:pPr>
              <w:spacing w:after="0"/>
              <w:rPr>
                <w:sz w:val="11"/>
                <w:szCs w:val="11"/>
                <w:color w:val="auto"/>
              </w:rPr>
            </w:pPr>
          </w:p>
        </w:tc>
        <w:tc>
          <w:tcPr>
            <w:tcW w:w="8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8"/>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474,572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and other capital commitments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33,103</w:t>
            </w:r>
          </w:p>
        </w:tc>
        <w:tc>
          <w:tcPr>
            <w:tcW w:w="0" w:type="dxa"/>
            <w:vAlign w:val="bottom"/>
          </w:tcPr>
          <w:p>
            <w:pPr>
              <w:spacing w:after="0"/>
              <w:rPr>
                <w:sz w:val="1"/>
                <w:szCs w:val="1"/>
                <w:color w:val="auto"/>
              </w:rPr>
            </w:pPr>
          </w:p>
        </w:tc>
      </w:tr>
      <w:tr>
        <w:trPr>
          <w:trHeight w:val="181"/>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 with</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non-affiliates</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215,934</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 with</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San Mateo</w:t>
            </w:r>
            <w:r>
              <w:rPr>
                <w:rFonts w:ascii="Times New Roman" w:cs="Times New Roman" w:eastAsia="Times New Roman" w:hAnsi="Times New Roman"/>
                <w:sz w:val="23"/>
                <w:szCs w:val="23"/>
                <w:color w:val="auto"/>
                <w:vertAlign w:val="superscript"/>
              </w:rPr>
              <w:t>(7)</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2,393,414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1,202,067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249,037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80" w:hanging="332"/>
        <w:spacing w:after="0" w:line="266"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June 30, 2022, we had no borrowings outstanding under the Credit Agreement and approximately $45.6 million in outstanding letters of credit issued pursuant to the Credit Agreement. The Credit Agreement matures in October 2026. At June 30, 2022, San Mateo had $420.0 million of borrowings outstanding under the San Mateo Credit Facility and approximately $9.0 million in outstanding letters of credit issued pursuant to the San Mateo Credit Facility. The San Mateo Credit Facility matures in December 2023. Assuming the amount outstanding and interest rate of 3.67% for the San Mateo Credit Facility at June 30, 2022, the interest expense is expected to be approximately $15.6 million each year until maturity.</w:t>
      </w:r>
    </w:p>
    <w:p>
      <w:pPr>
        <w:spacing w:after="0" w:line="79" w:lineRule="exact"/>
        <w:rPr>
          <w:rFonts w:ascii="Times New Roman" w:cs="Times New Roman" w:eastAsia="Times New Roman" w:hAnsi="Times New Roman"/>
          <w:sz w:val="14"/>
          <w:szCs w:val="14"/>
          <w:color w:val="auto"/>
        </w:rPr>
      </w:pPr>
    </w:p>
    <w:p>
      <w:pPr>
        <w:ind w:left="340" w:right="6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$906.0 million of outstanding Notes as of June 30, 2022 is expected to be approximately $53.2 million each year until maturity.</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2022, we had outstanding commitments to drill and complete and to participate in the drilling and completion of various operated and non-operated wells.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June 30,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120" w:hanging="332"/>
        <w:spacing w:after="0" w:line="268"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right="80" w:hanging="332"/>
        <w:spacing w:after="0" w:line="266"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and Wolf asset areas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9 to the interim unaudited condensed consolidated financial statements in this Quarterly Report for more information about these contractual commitments.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conflict between Russia and Ukraine as well as political instability in China and the Middle East, the actions of OPEC+, the ongoing impact of COVID-19, weather, pipeline capacity constraints, inventory storage levels, oil and natural gas price differentials and other factors.</w:t>
      </w:r>
    </w:p>
    <w:p>
      <w:pPr>
        <w:spacing w:after="0" w:line="75" w:lineRule="exact"/>
        <w:rPr>
          <w:sz w:val="20"/>
          <w:szCs w:val="20"/>
          <w:color w:val="auto"/>
        </w:rPr>
      </w:pPr>
    </w:p>
    <w:p>
      <w:pPr>
        <w:jc w:val="both"/>
        <w:ind w:right="100" w:firstLine="445"/>
        <w:spacing w:after="0" w:line="272" w:lineRule="auto"/>
        <w:rPr>
          <w:sz w:val="20"/>
          <w:szCs w:val="20"/>
          <w:color w:val="auto"/>
        </w:rPr>
      </w:pPr>
      <w:r>
        <w:rPr>
          <w:rFonts w:ascii="Times New Roman" w:cs="Times New Roman" w:eastAsia="Times New Roman" w:hAnsi="Times New Roman"/>
          <w:sz w:val="17"/>
          <w:szCs w:val="17"/>
          <w:color w:val="auto"/>
        </w:rPr>
        <w:t>The prices we receive for oil, natural gas and NGLs heavily influence our revenues,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oil prices averaged $108.52 per Bbl, ranging from a low of $94.29 per Bbl in mid-April to a high of $122.11 per Bbl in early June, based upon the WTI oil futures contract price for the earliest delivery date. We realized a weighted average oil price of $111.06 per Bbl ($105.21 per Bbl including realized losses from oil derivatives) for our oil production for the three months ended June 30, 2022, as compared to $64.90 per Bbl ($56.13 per Bbl including realized losses from oil derivatives) for our oil production for the three months ended June 30, 2021. At July 26, 2022, the WTI oil futures contract for the earliest delivery date had decreased from the average price for the second quarter of 2022 of $108.52 per Bbl, settling at $94.98 per Bbl, which was still a significant increase as compared to $71.91 per Bbl at July 26, 2021.</w:t>
      </w:r>
    </w:p>
    <w:p>
      <w:pPr>
        <w:spacing w:after="0" w:line="7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were also higher in the second quarter of 2022, as compared to the second quarter of 2021. For the three months ended June 30, 2022, natural gas prices averaged $7.50 per MMBtu, ranging from a high of $9.32 per MMBtu in early June to a low of $5.42 per MMBtu in late June, based upon the NYMEX Henry Hub natural gas futures contract price for the earliest delivery date. We realized a weighted average natural gas price of $9.57 per Mcf ($8.51 per Mcf including realized losses from natural gas derivatives) for our natural gas production (including revenues attributable to NGLs) for the three months ended June 30, 2022, as compared to $4.46 per Mcf for our natural gas production (including revenues attributable to NGLs) for the three months ended June 30, 2021. Certain volumes of our natural gas production are sold at prices established at the beginning of each month by the various markets where we sell our natural gas production, and certain volumes of our natural gas production are sold at daily market prices. NGL prices, and especially propane prices, were also strong in the second quarter of 2022, which further contributed to our second quarter weighted average realized natural gas price. At July 26, 2022, the NYMEX Henry Hub natural gas futures contract price for the earliest delivery date had increased from the average price for the second quarter of 2022 of $7.50 per MMBtu, settling at $8.99 per MMBtu, which was also a significant increase as compared to $4.10 per MMBtu at July 26, 2021.</w:t>
      </w:r>
    </w:p>
    <w:p>
      <w:pPr>
        <w:spacing w:after="0" w:line="8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six months of 2022, we incurred realized losses on our oil derivative contracts of approximately $52.4 million, primarily as a result of oil prices that were above the ceiling prices of certain of our oil costless collar contracts and above the strike price of certain of our oil basis swap contracts. We also incurred losses on our natural gas derivative contracts of approximately $31.2 million during the second quarter of 2022 as a result of natural gas prices that were above the ceiling prices of certain of our natural gas costless collar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contracts. At July 26, 2022, we have derivative contracts in place for approximately 5.4 million Bbl of our anticipated oil production for the third through fourth quarters of 2022, approximately 31.2 Bcf of our anticipated natural gas production for the third through fourth quarters of 2022 and 2.4 Bcf of our anticipated natural gas production for the first quarter of 2023.</w:t>
      </w:r>
    </w:p>
    <w:p>
      <w:pPr>
        <w:spacing w:after="0" w:line="6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June 30, 2022,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75" w:lineRule="exact"/>
        <w:rPr>
          <w:sz w:val="20"/>
          <w:szCs w:val="20"/>
          <w:color w:val="auto"/>
        </w:rPr>
      </w:pPr>
    </w:p>
    <w:p>
      <w:pPr>
        <w:ind w:right="500"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July 26, 2022, this oil price differential was positive at approximately +$1.60 per Bbl. At July 26, 2022, we had derivative contracts in place to mitigate our exposure to this Midland-Cushing (Oklahoma) oil price differential on a portion of our anticipated full year 2022 oil production.</w:t>
      </w:r>
    </w:p>
    <w:p>
      <w:pPr>
        <w:spacing w:after="0" w:line="68"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early 2022, concerns about natural gas pipeline takeaway capacity out of the Delaware Basin, particularly beginning in the latter half of 2022 and into 2023, began to increase. As a result, the Waha basis differential began to widen, and, at July 26, 2022, this natural gas price differential was approximately ($0.80) per MMBtu. A significant portion of our Delaware Basin natural gas production, however, is sold at Houston Ship Channel pricing and is not exposed to Waha pricing. During 2021 and through the second quarter of 2022,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9% of our reported natural gas production for the six months ended June 30, 2022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At July 26, 2022,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in 2022.</w:t>
      </w:r>
    </w:p>
    <w:p>
      <w:pPr>
        <w:spacing w:after="0" w:line="81"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As a result of the recent increases in oil and natural gas prices, we have begun to experience inflation in the costs of certain oilfield services, including diesel, steel, labor, trucking, sand, personnel and completion costs, among others. Should oil and natural gas prices remain at their current levels or increase further, we expect to be subject to additional service cost inflation in future periods, which may increase our costs to drill, complete, equip and operate wells. When we revised our D/C/E capital expenditure budget as of July 26, 2022, we budgeted a 20% increase in oilfield service costs, as compared to the fourth quarter of 2021. Should we experience service cost inflation above 20% during the remainder of 2022, we may be required to further increase our 2022 estimated capital expenditure budget. In addition, during the remainder of 2022, supply chain disruptions being experienced throughout the United States and global economy and in the oil and natural gas industry may limit our ability to procure the necessary products and services we need for drilling, completing and producing wells in a timely fashion, which could result in delays to our operations and could, in turn, adversely affect our business, financial condition, results of operations and cash flows.</w:t>
      </w:r>
    </w:p>
    <w:p>
      <w:pPr>
        <w:spacing w:after="0" w:line="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should oil and natural gas prices remain at their current levels throughout the remainder of 2022, we expect to exhaust our federal or state net operating loss carryforwards and become subject to federal and state income taxes in future periods. At July 26, 2022, given our current projections, we expect to pay federal income taxes and state income taxes in New Mexico beginning in 2022, as reflected by our current income tax provision of $51.7 million for the six months ended June 30, 2022.</w:t>
      </w:r>
    </w:p>
    <w:p>
      <w:pPr>
        <w:spacing w:after="0" w:line="7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proposed similar rules and regulations.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84" w:lineRule="exact"/>
        <w:rPr>
          <w:sz w:val="20"/>
          <w:szCs w:val="20"/>
          <w:color w:val="auto"/>
        </w:rPr>
      </w:pPr>
    </w:p>
    <w:p>
      <w:pPr>
        <w:ind w:right="240" w:firstLine="445"/>
        <w:spacing w:after="0" w:line="253" w:lineRule="auto"/>
        <w:rPr>
          <w:sz w:val="20"/>
          <w:szCs w:val="20"/>
          <w:color w:val="auto"/>
        </w:rPr>
      </w:pPr>
      <w:r>
        <w:rPr>
          <w:rFonts w:ascii="Times New Roman" w:cs="Times New Roman" w:eastAsia="Times New Roman" w:hAnsi="Times New Roman"/>
          <w:sz w:val="18"/>
          <w:szCs w:val="18"/>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has lapsed at June 30, 2022. In 2019, 2020 and 2021, an environmental group filed three lawsuits in federal district courts in New Mexico and the District of Columbia challenging certain Bureau of Land Management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has, at times, indicated that the lease sale litigation and the social cost of carbon litigation may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2022 and future drilling and completion plans and could materially impact our production volumes, revenues, reserves, cash flows and availability under our Credit Agreement. See “Risk Factors—Risks Related to Laws and Regulations” in the Annual Report.</w:t>
      </w:r>
    </w:p>
    <w:p>
      <w:pPr>
        <w:spacing w:after="0" w:line="82"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spacing w:after="0" w:line="8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7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75"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2021, which are disclosed in Part II, Item 7A of the Annual Report and incorporated herein by reference.</w:t>
      </w:r>
    </w:p>
    <w:p>
      <w:pPr>
        <w:spacing w:after="0" w:line="52" w:lineRule="exact"/>
        <w:rPr>
          <w:sz w:val="20"/>
          <w:szCs w:val="20"/>
          <w:color w:val="auto"/>
        </w:rPr>
      </w:pPr>
    </w:p>
    <w:p>
      <w:pPr>
        <w:jc w:val="both"/>
        <w:ind w:right="2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84" w:lineRule="exact"/>
        <w:rPr>
          <w:sz w:val="20"/>
          <w:szCs w:val="20"/>
          <w:color w:val="auto"/>
        </w:rPr>
      </w:pPr>
    </w:p>
    <w:p>
      <w:pPr>
        <w:jc w:val="both"/>
        <w:ind w:right="180" w:firstLine="445"/>
        <w:spacing w:after="0" w:line="256"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June 30, 2022, The Bank of Nova Scotia, BMO Harris Financing (Bank of Montreal), PNC Bank, Royal Bank of Canada and Truist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Principal Financial Officer. Based on that evaluation, our Chief Executive Officer and our Principal Financial Officer concluded that the Company’s disclosure controls and procedures were effective as of June 30, 2022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Principal Financial Officer,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during the three months ended June 30, 2022 that have materially affected or are reasonably likely to have a material effect on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on our legal proceeding with the Environmental Protection Agency and the New Mexico Environment Department, see “Item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 in the Annual Report. There have been no material changes regarding such legal proceeding.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For a discussion of such risks and uncertainties, please see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the Annual Report. There have been no material changes to the risk factors we have disclosed in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2022, the Company re-acquired shares of common stock from certain employees in order to satisfy the employees’ tax liability in connection with the vesting of restricted stock.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April 1, 2022 to April 30, 2022</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1, 2022 to May 31, 2022</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June 1, 2022 to June 30, 2022</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0" w:type="dxa"/>
            <w:vAlign w:val="bottom"/>
          </w:tcPr>
          <w:p>
            <w:pPr>
              <w:spacing w:after="0"/>
              <w:rPr>
                <w:sz w:val="1"/>
                <w:szCs w:val="1"/>
                <w:color w:val="auto"/>
              </w:rPr>
            </w:pPr>
          </w:p>
        </w:tc>
      </w:tr>
      <w:tr>
        <w:trPr>
          <w:trHeight w:val="218"/>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20,592</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Pr>
          <w:p>
            <w:pPr>
              <w:spacing w:after="0"/>
              <w:rPr>
                <w:sz w:val="18"/>
                <w:szCs w:val="18"/>
                <w:color w:val="auto"/>
              </w:rPr>
            </w:pPr>
          </w:p>
        </w:tc>
        <w:tc>
          <w:tcPr>
            <w:tcW w:w="184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Pr>
          <w:p>
            <w:pPr>
              <w:spacing w:after="0"/>
              <w:rPr>
                <w:sz w:val="20"/>
                <w:szCs w:val="20"/>
                <w:color w:val="auto"/>
              </w:rPr>
            </w:pP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37,451</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-333375</wp:posOffset>
            </wp:positionV>
            <wp:extent cx="683196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14541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-633730</wp:posOffset>
            </wp:positionV>
            <wp:extent cx="683196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15430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680" w:space="720"/>
            <w:col w:w="6820"/>
          </w:cols>
          <w:pgMar w:left="320" w:top="121" w:right="359" w:bottom="1440" w:gutter="0" w:footer="0" w:header="0"/>
          <w:type w:val="continuous"/>
        </w:sectPr>
      </w:pPr>
    </w:p>
    <w:p>
      <w:pPr>
        <w:ind w:left="340" w:right="140" w:hanging="332"/>
        <w:spacing w:after="0" w:line="30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80" w:type="dxa"/>
            <w:vAlign w:val="bottom"/>
            <w:gridSpan w:val="20"/>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2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00" w:type="dxa"/>
            <w:vAlign w:val="bottom"/>
            <w:tcBorders>
              <w:top w:val="single" w:sz="8" w:color="auto"/>
            </w:tcBorders>
            <w:gridSpan w:val="25"/>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to the Quarterly Report on Form 10-Q for the quarter ended June 30, 2017).</w:t>
              </w:r>
            </w:hyperlink>
          </w:p>
        </w:tc>
        <w:tc>
          <w:tcPr>
            <w:tcW w:w="336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5"/>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63">
              <w:r>
                <w:rPr>
                  <w:rFonts w:ascii="Times New Roman" w:cs="Times New Roman" w:eastAsia="Times New Roman" w:hAnsi="Times New Roman"/>
                  <w:sz w:val="18"/>
                  <w:szCs w:val="18"/>
                  <w:color w:val="0000FF"/>
                  <w:w w:val="97"/>
                </w:rPr>
                <w:t>30, 2017).</w:t>
              </w:r>
            </w:hyperlink>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5"/>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the Amended and Restated Certificate of Formation of Matador Resources Company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5"/>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ended June 30, 2017).</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the Current Report on Form 8-K filed on February 22, 2018).</w:t>
              </w:r>
            </w:hyperlink>
          </w:p>
        </w:tc>
        <w:tc>
          <w:tcPr>
            <w:tcW w:w="43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5"/>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First Amendment to Fourth Amended and Restated Credit Agreement dated as of April 25, 2022, by and among MRC</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Energy Company, as Borrower, the lending entities from time to time parties thereto as Lenders, and Royal Bank of</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Canada, as Administrative Agent (incorporated by reference to Exhibit 10.1 to the Quarterly Report on Form 10-Q</w:t>
              </w:r>
            </w:hyperlink>
          </w:p>
        </w:tc>
        <w:tc>
          <w:tcPr>
            <w:tcW w:w="580" w:type="dxa"/>
            <w:vAlign w:val="bottom"/>
            <w:gridSpan w:val="14"/>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 the</w:t>
              </w:r>
            </w:hyperlink>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quarter ended March 31, 2022).</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22"/>
                <w:szCs w:val="22"/>
                <w:color w:val="auto"/>
              </w:rPr>
            </w:pPr>
          </w:p>
        </w:tc>
        <w:tc>
          <w:tcPr>
            <w:tcW w:w="8900" w:type="dxa"/>
            <w:vAlign w:val="bottom"/>
            <w:gridSpan w:val="25"/>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First Amendment to Matador Resources Company 2019 Long-Term Incentive Plan effective April 21, 2022 (incorporated</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by reference to Exhibit 10.1 to the Current Report on Form 8-K filed on June 16, 2022).</w:t>
              </w:r>
            </w:hyperlink>
          </w:p>
        </w:tc>
        <w:tc>
          <w:tcPr>
            <w:tcW w:w="24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24"/>
                <w:szCs w:val="24"/>
                <w:color w:val="auto"/>
              </w:rPr>
            </w:pPr>
          </w:p>
        </w:tc>
        <w:tc>
          <w:tcPr>
            <w:tcW w:w="8900" w:type="dxa"/>
            <w:vAlign w:val="bottom"/>
            <w:gridSpan w:val="2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Matador Resources Company 2022 Employee Stock Purchase Plan (incorporated by reference to Exhibit 10.2 to the</w:t>
              </w:r>
            </w:hyperlink>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7"/>
          </w:tcPr>
          <w:p>
            <w:pPr>
              <w:spacing w:after="0" w:line="136" w:lineRule="exact"/>
              <w:rPr>
                <w:rFonts w:ascii="Times New Roman" w:cs="Times New Roman" w:eastAsia="Times New Roman" w:hAnsi="Times New Roman"/>
                <w:sz w:val="15"/>
                <w:szCs w:val="15"/>
                <w:color w:val="0000FF"/>
              </w:rPr>
            </w:pPr>
            <w:hyperlink r:id="rId68">
              <w:r>
                <w:rPr>
                  <w:rFonts w:ascii="Times New Roman" w:cs="Times New Roman" w:eastAsia="Times New Roman" w:hAnsi="Times New Roman"/>
                  <w:sz w:val="15"/>
                  <w:szCs w:val="15"/>
                  <w:color w:val="0000FF"/>
                </w:rPr>
                <w:t>Current Report on Form 8-K filed on June 16, 2022).</w:t>
              </w:r>
            </w:hyperlink>
          </w:p>
        </w:tc>
        <w:tc>
          <w:tcPr>
            <w:tcW w:w="5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18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 (filed herewith).</w:t>
            </w: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 (filed herewith).</w:t>
            </w:r>
          </w:p>
        </w:tc>
        <w:tc>
          <w:tcPr>
            <w:tcW w:w="40" w:type="dxa"/>
            <w:vAlign w:val="bottom"/>
            <w:tcBorders>
              <w:top w:val="single" w:sz="8" w:color="0000FF"/>
            </w:tcBorders>
          </w:tcPr>
          <w:p>
            <w:pPr>
              <w:spacing w:after="0"/>
              <w:rPr>
                <w:sz w:val="22"/>
                <w:szCs w:val="22"/>
                <w:color w:val="auto"/>
              </w:rPr>
            </w:pPr>
          </w:p>
        </w:tc>
        <w:tc>
          <w:tcPr>
            <w:tcW w:w="2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5120" w:type="dxa"/>
            <w:vAlign w:val="bottom"/>
            <w:gridSpan w:val="1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00" w:right="439" w:hanging="582"/>
        <w:spacing w:after="0" w:line="217"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June 30, 2022,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65" w:lineRule="exact"/>
        <w:rPr>
          <w:sz w:val="20"/>
          <w:szCs w:val="20"/>
          <w:color w:val="auto"/>
        </w:rPr>
      </w:pPr>
    </w:p>
    <w:p>
      <w:pPr>
        <w:ind w:left="900" w:hanging="582"/>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38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2022</w:t>
            </w: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2022</w:t>
            </w: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Frenzel</w:t>
            </w:r>
          </w:p>
        </w:tc>
      </w:tr>
      <w:tr>
        <w:trPr>
          <w:trHeight w:val="218"/>
        </w:trPr>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Frenzel</w:t>
            </w:r>
          </w:p>
        </w:tc>
      </w:t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Treasurer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July 29, 2022</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8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8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Frenzel, certify that:</w:t>
      </w:r>
    </w:p>
    <w:p>
      <w:pPr>
        <w:spacing w:after="0" w:line="171" w:lineRule="exact"/>
        <w:rPr>
          <w:sz w:val="20"/>
          <w:szCs w:val="20"/>
          <w:color w:val="auto"/>
        </w:rPr>
      </w:pPr>
    </w:p>
    <w:p>
      <w:pPr>
        <w:ind w:left="640" w:hanging="18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July 29, 2022</w:t>
      </w:r>
      <w:r>
        <w:rPr>
          <w:sz w:val="20"/>
          <w:szCs w:val="20"/>
          <w:color w:val="auto"/>
        </w:rPr>
        <w:tab/>
      </w:r>
      <w:r>
        <w:rPr>
          <w:rFonts w:ascii="Times New Roman" w:cs="Times New Roman" w:eastAsia="Times New Roman" w:hAnsi="Times New Roman"/>
          <w:sz w:val="17"/>
          <w:szCs w:val="17"/>
          <w:color w:val="auto"/>
        </w:rPr>
        <w:t>/s/ Michael D. Frenzel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25031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D. Frenzel</w:t>
      </w:r>
    </w:p>
    <w:p>
      <w:pPr>
        <w:ind w:left="5740"/>
        <w:spacing w:after="0" w:line="219" w:lineRule="auto"/>
        <w:rPr>
          <w:sz w:val="20"/>
          <w:szCs w:val="20"/>
          <w:color w:val="auto"/>
        </w:rPr>
      </w:pPr>
      <w:r>
        <w:rPr>
          <w:rFonts w:ascii="Times New Roman" w:cs="Times New Roman" w:eastAsia="Times New Roman" w:hAnsi="Times New Roman"/>
          <w:sz w:val="18"/>
          <w:szCs w:val="18"/>
          <w:color w:val="auto"/>
        </w:rPr>
        <w:t>Executive Vice President and Treasurer</w:t>
      </w: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jc w:val="both"/>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June 30, 2022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July 29, 2022</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5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520" w:type="dxa"/>
            <w:vAlign w:val="bottom"/>
          </w:tcPr>
          <w:p>
            <w:pPr>
              <w:spacing w:after="0"/>
              <w:rPr>
                <w:sz w:val="15"/>
                <w:szCs w:val="15"/>
                <w:color w:val="auto"/>
              </w:rPr>
            </w:pPr>
          </w:p>
        </w:tc>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June 30, 2022 as filed with the Securities and Exchange Commission on the date hereof (the “Form 10-Q”), I, Michael D. Frenzel, hereby certify in my capacity as Executive Vice President and Treasurer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July 29, 2022</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Frenzel</w:t>
            </w:r>
          </w:p>
        </w:tc>
      </w:tr>
      <w:tr>
        <w:trPr>
          <w:trHeight w:val="218"/>
        </w:trPr>
        <w:tc>
          <w:tcPr>
            <w:tcW w:w="49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Frenzel</w:t>
            </w:r>
          </w:p>
        </w:tc>
      </w:tr>
      <w:tr>
        <w:trPr>
          <w:trHeight w:val="180"/>
        </w:trPr>
        <w:tc>
          <w:tcPr>
            <w:tcW w:w="4920" w:type="dxa"/>
            <w:vAlign w:val="bottom"/>
          </w:tcPr>
          <w:p>
            <w:pPr>
              <w:spacing w:after="0"/>
              <w:rPr>
                <w:sz w:val="15"/>
                <w:szCs w:val="15"/>
                <w:color w:val="auto"/>
              </w:rPr>
            </w:pPr>
          </w:p>
        </w:tc>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Treasurer</w:t>
            </w:r>
          </w:p>
        </w:tc>
      </w:tr>
      <w:tr>
        <w:trPr>
          <w:trHeight w:val="234"/>
        </w:trPr>
        <w:tc>
          <w:tcPr>
            <w:tcW w:w="49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62" Type="http://schemas.openxmlformats.org/officeDocument/2006/relationships/hyperlink" Target="http://www.sec.gov/Archives/edgar/data/1520006/000152000617000188/a20170630mtdr10q-exhibit32.htm" TargetMode="External"/><Relationship Id="rId63" Type="http://schemas.openxmlformats.org/officeDocument/2006/relationships/hyperlink" Target="http://www.sec.gov/Archives/edgar/data/1520006/000152000617000188/a20170630mtdr10q-exhibit33.htm" TargetMode="External"/><Relationship Id="rId64" Type="http://schemas.openxmlformats.org/officeDocument/2006/relationships/hyperlink" Target="http://www.sec.gov/Archives/edgar/data/1520006/000152000617000188/a20170630mtdr10q-exhibit34.htm" TargetMode="External"/><Relationship Id="rId65" Type="http://schemas.openxmlformats.org/officeDocument/2006/relationships/hyperlink" Target="http://www.sec.gov/Archives/edgar/data/1520006/000152000618000051/a20171231mtdr8k-amendedbyl.htm" TargetMode="External"/><Relationship Id="rId66" Type="http://schemas.openxmlformats.org/officeDocument/2006/relationships/hyperlink" Target="http://www.sec.gov/Archives/edgar/data/1520006/000152000622000109/a20220331mtdr10qex101.htm" TargetMode="External"/><Relationship Id="rId67" Type="http://schemas.openxmlformats.org/officeDocument/2006/relationships/hyperlink" Target="http://www.sec.gov/Archives/edgar/data/1520006/000152000622000164/mtdrltipamendment-ex101.htm" TargetMode="External"/><Relationship Id="rId68" Type="http://schemas.openxmlformats.org/officeDocument/2006/relationships/hyperlink" Target="http://www.sec.gov/Archives/edgar/data/1520006/000152000622000164/mtdrespp-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2022-07-29T15:18:44Z</dcterms:created>
  <dcterms:modified xsi:type="dcterms:W3CDTF">2022-07-29T15:18:44Z</dcterms:modified>
</cp:coreProperties>
</file>