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June 10, 2026 </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Matador Resources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tbl>
      <w:tblPr>
        <w:tblW w:w="5271" w:type="dxa"/>
        <w:jc w:val="center"/>
        <w:tblInd w:w="0" w:type="dxa"/>
        <w:tblLayout w:type="fixed"/>
        <w:tblCellMar>
          <w:top w:w="28" w:type="dxa"/>
          <w:left w:w="28" w:type="dxa"/>
          <w:bottom w:w="28" w:type="dxa"/>
          <w:right w:w="28" w:type="dxa"/>
        </w:tblCellMar>
      </w:tblPr>
      <w:tblGrid>
        <w:gridCol w:w="746"/>
        <w:gridCol w:w="658"/>
        <w:gridCol w:w="665"/>
        <w:gridCol w:w="109"/>
        <w:gridCol w:w="109"/>
        <w:gridCol w:w="109"/>
        <w:gridCol w:w="353"/>
        <w:gridCol w:w="353"/>
        <w:gridCol w:w="358"/>
        <w:gridCol w:w="109"/>
        <w:gridCol w:w="109"/>
        <w:gridCol w:w="109"/>
        <w:gridCol w:w="433"/>
        <w:gridCol w:w="433"/>
        <w:gridCol w:w="618"/>
      </w:tblGrid>
      <w:tr>
        <w:trPr/>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001-35410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27-4662601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3" w:type="dxa"/>
        <w:jc w:val="center"/>
        <w:tblInd w:w="0" w:type="dxa"/>
        <w:tblLayout w:type="fixed"/>
        <w:tblCellMar>
          <w:top w:w="28" w:type="dxa"/>
          <w:left w:w="28" w:type="dxa"/>
          <w:bottom w:w="28" w:type="dxa"/>
          <w:right w:w="28" w:type="dxa"/>
        </w:tblCellMar>
      </w:tblPr>
      <w:tblGrid>
        <w:gridCol w:w="688"/>
        <w:gridCol w:w="603"/>
        <w:gridCol w:w="608"/>
        <w:gridCol w:w="341"/>
        <w:gridCol w:w="341"/>
        <w:gridCol w:w="343"/>
        <w:gridCol w:w="272"/>
        <w:gridCol w:w="272"/>
        <w:gridCol w:w="385"/>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5400 LBJ Freeway,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1500</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75240</w:t>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Dallas,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(972) 371-5200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786" w:type="dxa"/>
        <w:jc w:val="center"/>
        <w:tblInd w:w="0" w:type="dxa"/>
        <w:tblLayout w:type="fixed"/>
        <w:tblCellMar>
          <w:top w:w="28" w:type="dxa"/>
          <w:left w:w="28" w:type="dxa"/>
          <w:bottom w:w="28" w:type="dxa"/>
          <w:right w:w="28" w:type="dxa"/>
        </w:tblCellMar>
      </w:tblPr>
      <w:tblGrid>
        <w:gridCol w:w="332"/>
        <w:gridCol w:w="291"/>
        <w:gridCol w:w="293"/>
        <w:gridCol w:w="1131"/>
        <w:gridCol w:w="1131"/>
        <w:gridCol w:w="160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1.01</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88" w:before="0" w:after="0"/>
        <w:ind w:left="0" w:right="0" w:firstLine="720"/>
        <w:jc w:val="left"/>
        <w:rPr/>
      </w:pPr>
      <w:r>
        <w:rPr>
          <w:rFonts w:ascii="Times New Roman;serif" w:hAnsi="Times New Roman;serif"/>
          <w:b w:val="false"/>
          <w:color w:val="000000"/>
          <w:sz w:val="20"/>
        </w:rPr>
        <w:t>On June 10, 2026, MRC Energy Company, a wholly-owned subsidiary of Matador Resources Company (the “Company”), entered into an Eighth Amendment to Fourth Amended and Restated Credit Agreement (the “Amendment”), which amended the Company’s existing secured revolving credit facility (the “Credit Agreement”) to, among other things,</w:t>
      </w:r>
      <w:r>
        <w:rPr>
          <w:color w:val="000000"/>
        </w:rPr>
        <w:t xml:space="preserve"> </w:t>
      </w:r>
      <w:r>
        <w:rPr>
          <w:rFonts w:ascii="Times New Roman;serif" w:hAnsi="Times New Roman;serif"/>
          <w:b w:val="false"/>
          <w:color w:val="000000"/>
          <w:sz w:val="20"/>
        </w:rPr>
        <w:t>(i) reaffirm the borrowing base at $3.25 billion and (ii) increase the aggregate elected borrowing commitments under the Credit Agreement from $2.25 billion to $2.75 billion.</w:t>
      </w:r>
      <w:r>
        <w:rPr>
          <w:color w:val="000000"/>
        </w:rPr>
        <w:t xml:space="preserve"> </w:t>
      </w:r>
      <w:r>
        <w:rPr>
          <w:rFonts w:ascii="Times New Roman;serif" w:hAnsi="Times New Roman;serif"/>
          <w:b w:val="false"/>
          <w:color w:val="000000"/>
          <w:sz w:val="20"/>
        </w:rPr>
        <w:t>This reaffirmation of the borrowing base pursuant to the Amendment constituted the regularly scheduled May 1 redetermination.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Amendment does not purport to be complete and is subject to, and qualified in its entirety by, the full text of the Amendment, a copy of which is filed as Exhibit 10.1 to this Current Report on Form 8-K (this “Current Report”) and is incorporated herein by reference.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1"/>
        <w:gridCol w:w="293"/>
        <w:gridCol w:w="2719"/>
        <w:gridCol w:w="2719"/>
        <w:gridCol w:w="385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2.03</w:t>
            </w:r>
          </w:p>
        </w:tc>
        <w:tc>
          <w:tcPr>
            <w:tcW w:w="9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Creation of a Direct Financial Obligation or an Obligation Under an Off-Balance Sheet Arrangement of a Registrant.</w:t>
            </w:r>
          </w:p>
        </w:tc>
      </w:tr>
    </w:tbl>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disclosures under Item 1.01 of this Current Report are also responsive to Item 2.03 of this Current Report and are incorporated herein by reference.</w:t>
      </w:r>
    </w:p>
    <w:p>
      <w:pPr>
        <w:pStyle w:val="TextBody"/>
        <w:bidi w:val="0"/>
        <w:spacing w:before="0" w:after="0"/>
        <w:ind w:left="0" w:right="0" w:firstLine="720"/>
        <w:jc w:val="left"/>
        <w:rPr/>
      </w:pPr>
      <w:r>
        <w:rPr/>
      </w:r>
    </w:p>
    <w:tbl>
      <w:tblPr>
        <w:tblW w:w="5460" w:type="dxa"/>
        <w:jc w:val="left"/>
        <w:tblInd w:w="0" w:type="dxa"/>
        <w:tblLayout w:type="fixed"/>
        <w:tblCellMar>
          <w:top w:w="28" w:type="dxa"/>
          <w:left w:w="28" w:type="dxa"/>
          <w:bottom w:w="28" w:type="dxa"/>
          <w:right w:w="28" w:type="dxa"/>
        </w:tblCellMar>
      </w:tblPr>
      <w:tblGrid>
        <w:gridCol w:w="332"/>
        <w:gridCol w:w="291"/>
        <w:gridCol w:w="293"/>
        <w:gridCol w:w="1329"/>
        <w:gridCol w:w="1329"/>
        <w:gridCol w:w="188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Submission of Matters to a Vote of Security Holders.</w:t>
            </w:r>
          </w:p>
        </w:tc>
      </w:tr>
    </w:tbl>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held its Annual Meeting of Shareholders (the “Annual Meeting”) on June 11, 2026. At the Annual Meeting, the Company was pleased to discuss, among other things, its recent acquisition of undeveloped acreage in the Bureau of Land Management Oil and Gas Lease Sale, its natural gas marketing efforts, certain operational efficiencies and the growth in the Company’s midstream businesses. More information is available on the Company’s website, www.matadorresources.com, on the Events and Presentations page under the Investor Relations tab, including the webcast recording of the Annual Meeting. The information on the Company’s website shall not be deemed to be “filed” for the purposes of Section 18 of the Securities Exchange Act of 1934, as amended, and will not be incorporated by reference into any filing under the Securities Act of 1933, as amended, unless specifically identified therein as being incorporated therein by reference.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the April 13, 2026 record date for the Annual Meeting, there were 124,200,880 shares of the Company’s common stock outstanding with each such share being entitled to one vote. A total of 115,739,804 shares of the Company’s common stock were represented in person or by proxy at the Annual Meeting. The number of votes cast for, against or withheld, as well as abstentions and broker non-votes, as applicable, with respect to each matter is set forth below. </w:t>
      </w:r>
    </w:p>
    <w:p>
      <w:pPr>
        <w:pStyle w:val="TextBody"/>
        <w:bidi w:val="0"/>
        <w:spacing w:before="0" w:after="0"/>
        <w:ind w:left="0" w:right="0" w:firstLine="720"/>
        <w:jc w:val="left"/>
        <w:rPr/>
      </w:pPr>
      <w:r>
        <w:rPr/>
      </w:r>
    </w:p>
    <w:p>
      <w:pPr>
        <w:pStyle w:val="TextBody"/>
        <w:bidi w:val="0"/>
        <w:spacing w:lineRule="auto" w:line="288" w:before="100" w:after="283"/>
        <w:ind w:left="0" w:right="0" w:hanging="1440"/>
        <w:jc w:val="left"/>
        <w:rPr>
          <w:rFonts w:ascii="Times New Roman;serif" w:hAnsi="Times New Roman;serif"/>
          <w:b/>
          <w:i/>
          <w:color w:val="000000"/>
          <w:sz w:val="20"/>
        </w:rPr>
      </w:pPr>
      <w:r>
        <w:rPr>
          <w:rFonts w:ascii="Times New Roman;serif" w:hAnsi="Times New Roman;serif"/>
          <w:b/>
          <w:i/>
          <w:color w:val="000000"/>
          <w:sz w:val="20"/>
        </w:rPr>
        <w:t>Proposal 1: Election of Directors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shareholders elected each of Joseph Wm. Foran, Reynald A. Baribault and Timothy E. Parker as a Class III director of the Company for a term expiring at the Annual Meeting of Shareholders in 2029. Each such director shall serve for the applicable term or the earlier death, retirement, resignation or removal of such director. </w:t>
      </w:r>
    </w:p>
    <w:tbl>
      <w:tblPr>
        <w:tblW w:w="8688" w:type="dxa"/>
        <w:jc w:val="center"/>
        <w:tblInd w:w="0" w:type="dxa"/>
        <w:tblLayout w:type="fixed"/>
        <w:tblCellMar>
          <w:top w:w="28" w:type="dxa"/>
          <w:left w:w="28" w:type="dxa"/>
          <w:bottom w:w="28" w:type="dxa"/>
          <w:right w:w="28" w:type="dxa"/>
        </w:tblCellMar>
      </w:tblPr>
      <w:tblGrid>
        <w:gridCol w:w="667"/>
        <w:gridCol w:w="586"/>
        <w:gridCol w:w="591"/>
        <w:gridCol w:w="109"/>
        <w:gridCol w:w="109"/>
        <w:gridCol w:w="109"/>
        <w:gridCol w:w="379"/>
        <w:gridCol w:w="379"/>
        <w:gridCol w:w="383"/>
        <w:gridCol w:w="109"/>
        <w:gridCol w:w="109"/>
        <w:gridCol w:w="109"/>
        <w:gridCol w:w="420"/>
        <w:gridCol w:w="420"/>
        <w:gridCol w:w="421"/>
        <w:gridCol w:w="109"/>
        <w:gridCol w:w="109"/>
        <w:gridCol w:w="109"/>
        <w:gridCol w:w="484"/>
        <w:gridCol w:w="484"/>
        <w:gridCol w:w="486"/>
        <w:gridCol w:w="109"/>
        <w:gridCol w:w="109"/>
        <w:gridCol w:w="109"/>
        <w:gridCol w:w="492"/>
        <w:gridCol w:w="492"/>
        <w:gridCol w:w="696"/>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Wm. Foran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108,404,472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1,050,044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204,094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6,081,194</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Reynald A. Baribault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95,218,912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14,206,253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233,445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6,081,194</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E. Parker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100,184,684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9,240,261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233,665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6,081,194</w:t>
            </w:r>
          </w:p>
        </w:tc>
      </w:tr>
    </w:tbl>
    <w:p>
      <w:pPr>
        <w:pStyle w:val="TextBody"/>
        <w:bidi w:val="0"/>
        <w:spacing w:before="100" w:after="283"/>
        <w:ind w:left="0" w:right="0" w:hanging="1440"/>
        <w:jc w:val="left"/>
        <w:rPr/>
      </w:pPr>
      <w:r>
        <w:rPr/>
      </w:r>
    </w:p>
    <w:p>
      <w:pPr>
        <w:pStyle w:val="TextBody"/>
        <w:bidi w:val="0"/>
        <w:spacing w:lineRule="auto" w:line="288" w:before="100" w:after="283"/>
        <w:ind w:left="0" w:right="0" w:hanging="1440"/>
        <w:jc w:val="left"/>
        <w:rPr>
          <w:rFonts w:ascii="Times New Roman;serif" w:hAnsi="Times New Roman;serif"/>
          <w:b/>
          <w:i/>
          <w:color w:val="000000"/>
          <w:sz w:val="20"/>
        </w:rPr>
      </w:pPr>
      <w:r>
        <w:rPr>
          <w:rFonts w:ascii="Times New Roman;serif" w:hAnsi="Times New Roman;serif"/>
          <w:b/>
          <w:i/>
          <w:color w:val="000000"/>
          <w:sz w:val="20"/>
        </w:rPr>
        <w:t xml:space="preserve">Proposal 2: Advisory Vote on 2025 Executive Compensation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shareholders approved the non-binding advisory resolution approving the 2025 compensation of the Company’s named executive officers. </w:t>
      </w:r>
    </w:p>
    <w:tbl>
      <w:tblPr>
        <w:tblW w:w="6535" w:type="dxa"/>
        <w:jc w:val="center"/>
        <w:tblInd w:w="0" w:type="dxa"/>
        <w:tblLayout w:type="fixed"/>
        <w:tblCellMar>
          <w:top w:w="28" w:type="dxa"/>
          <w:left w:w="28" w:type="dxa"/>
          <w:bottom w:w="28" w:type="dxa"/>
          <w:right w:w="28" w:type="dxa"/>
        </w:tblCellMar>
      </w:tblPr>
      <w:tblGrid>
        <w:gridCol w:w="418"/>
        <w:gridCol w:w="366"/>
        <w:gridCol w:w="372"/>
        <w:gridCol w:w="109"/>
        <w:gridCol w:w="109"/>
        <w:gridCol w:w="109"/>
        <w:gridCol w:w="420"/>
        <w:gridCol w:w="420"/>
        <w:gridCol w:w="421"/>
        <w:gridCol w:w="109"/>
        <w:gridCol w:w="109"/>
        <w:gridCol w:w="109"/>
        <w:gridCol w:w="485"/>
        <w:gridCol w:w="485"/>
        <w:gridCol w:w="486"/>
        <w:gridCol w:w="109"/>
        <w:gridCol w:w="109"/>
        <w:gridCol w:w="109"/>
        <w:gridCol w:w="492"/>
        <w:gridCol w:w="492"/>
        <w:gridCol w:w="697"/>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105,024,470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4,302,089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332,051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6,081,194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ind w:left="0" w:right="0" w:hanging="1080"/>
        <w:jc w:val="left"/>
        <w:rPr/>
      </w:pPr>
      <w:r>
        <w:rPr/>
      </w:r>
    </w:p>
    <w:p>
      <w:pPr>
        <w:pStyle w:val="TextBody"/>
        <w:bidi w:val="0"/>
        <w:spacing w:lineRule="auto" w:line="288" w:before="10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Proposal 3: Proposal to Ratify the Appointment of KPMG LLP as the Company’s Independent Registered Public Accounting Firm for the Year Ending December 31, 2026</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shareholders ratified the appointment of KPMG LLP as the Company’s independent registered public accounting firm for the year ending December 31, 2026. </w:t>
      </w:r>
    </w:p>
    <w:tbl>
      <w:tblPr>
        <w:tblW w:w="4572" w:type="dxa"/>
        <w:jc w:val="center"/>
        <w:tblInd w:w="0" w:type="dxa"/>
        <w:tblLayout w:type="fixed"/>
        <w:tblCellMar>
          <w:top w:w="28" w:type="dxa"/>
          <w:left w:w="28" w:type="dxa"/>
          <w:bottom w:w="28" w:type="dxa"/>
          <w:right w:w="28" w:type="dxa"/>
        </w:tblCellMar>
      </w:tblPr>
      <w:tblGrid>
        <w:gridCol w:w="418"/>
        <w:gridCol w:w="366"/>
        <w:gridCol w:w="372"/>
        <w:gridCol w:w="109"/>
        <w:gridCol w:w="109"/>
        <w:gridCol w:w="109"/>
        <w:gridCol w:w="420"/>
        <w:gridCol w:w="420"/>
        <w:gridCol w:w="421"/>
        <w:gridCol w:w="109"/>
        <w:gridCol w:w="109"/>
        <w:gridCol w:w="109"/>
        <w:gridCol w:w="439"/>
        <w:gridCol w:w="439"/>
        <w:gridCol w:w="623"/>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114,318,225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1,164,026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257,553</w:t>
            </w:r>
          </w:p>
        </w:tc>
      </w:tr>
    </w:tbl>
    <w:p>
      <w:pPr>
        <w:pStyle w:val="TextBody"/>
        <w:bidi w:val="0"/>
        <w:spacing w:before="0" w:after="0"/>
        <w:ind w:left="0" w:right="0" w:firstLine="720"/>
        <w:jc w:val="left"/>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7"/>
        <w:gridCol w:w="280"/>
        <w:gridCol w:w="281"/>
        <w:gridCol w:w="109"/>
        <w:gridCol w:w="109"/>
        <w:gridCol w:w="109"/>
        <w:gridCol w:w="2729"/>
        <w:gridCol w:w="2583"/>
        <w:gridCol w:w="3678"/>
      </w:tblGrid>
      <w:tr>
        <w:trPr/>
        <w:tc>
          <w:tcPr>
            <w:tcW w:w="32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6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01-creditagreement.htm">
              <w:r>
                <w:rPr>
                  <w:rStyle w:val="InternetLink"/>
                  <w:rFonts w:ascii="Times New Roman;serif" w:hAnsi="Times New Roman;serif"/>
                  <w:b w:val="false"/>
                  <w:color w:val="0000FF"/>
                  <w:sz w:val="20"/>
                  <w:u w:val="single"/>
                </w:rPr>
                <w:t>Eighth Amendment to Fourth Amended and Restated Credit Agreement, dated as of June 10, 2026, by and among MRC Energy Company, as Borrower, the Lenders party thereto and PNC Bank, National Association, as Administrative Agent for the Lenders.</w:t>
              </w:r>
            </w:hyperlink>
          </w:p>
        </w:tc>
      </w:tr>
      <w:tr>
        <w:trPr/>
        <w:tc>
          <w:tcPr>
            <w:tcW w:w="6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560"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360"/>
        <w:gridCol w:w="360"/>
        <w:gridCol w:w="360"/>
        <w:gridCol w:w="360"/>
        <w:gridCol w:w="360"/>
        <w:gridCol w:w="360"/>
        <w:gridCol w:w="488"/>
        <w:gridCol w:w="488"/>
        <w:gridCol w:w="70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MATADOR RESOURCES COMPANY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June 16,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A. Erman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A. Erman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EIGHTH AMENDMENT TO FOURTH </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AMENDED AND RESTATED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EIGHTH AMENDMENT TO FOURTH AMENDED AND RESTATED CREDIT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entered into as of June 10, 2026 (the “</w:t>
      </w:r>
      <w:r>
        <w:rPr>
          <w:rFonts w:ascii="Times New Roman;serif" w:hAnsi="Times New Roman;serif"/>
          <w:b w:val="false"/>
          <w:color w:val="000000"/>
          <w:sz w:val="24"/>
          <w:u w:val="single"/>
        </w:rPr>
        <w:t>Eighth Amendment Effective Date</w:t>
      </w:r>
      <w:r>
        <w:rPr>
          <w:color w:val="000000"/>
        </w:rPr>
        <w:t>”</w:t>
      </w:r>
      <w:r>
        <w:rPr>
          <w:rFonts w:ascii="Times New Roman;serif" w:hAnsi="Times New Roman;serif"/>
          <w:b w:val="false"/>
          <w:color w:val="000000"/>
          <w:sz w:val="24"/>
        </w:rPr>
        <w:t>), by and among MRC ENERGY COMPANY, a Texas corporation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the LENDERS party hereto and PNC BANK, NATIONAL ASSOCIATION, as administrative agent for the Lenders (in such capacity,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Unless otherwise expressly defined herein, capitalized terms used but not defined in this Amendment have the meanings assigned to such terms in the Credit Agreement (as defined below).</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WITNESSETH:</w:t>
      </w:r>
    </w:p>
    <w:p>
      <w:pPr>
        <w:pStyle w:val="TextBody"/>
        <w:bidi w:val="0"/>
        <w:spacing w:lineRule="auto" w:line="288" w:before="240" w:after="240"/>
        <w:ind w:left="0" w:right="0" w:firstLine="72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the Borrower, Administrative Agent and the Lenders have entered into that certain Fourth Amended and Restated Credit Agreement, dated as of November 18, 2021 (as amended, restated, amended and restated, supplemented or otherwise modified and in effect prior to the Eighth Amendment Effective Date, the “</w:t>
      </w:r>
      <w:r>
        <w:rPr>
          <w:rFonts w:ascii="Times New Roman;serif" w:hAnsi="Times New Roman;serif"/>
          <w:b w:val="false"/>
          <w:color w:val="000000"/>
          <w:sz w:val="24"/>
          <w:u w:val="single"/>
        </w:rPr>
        <w:t>Existing Credit Agreement</w:t>
      </w:r>
      <w:r>
        <w:rPr>
          <w:color w:val="000000"/>
        </w:rPr>
        <w:t>”</w:t>
      </w:r>
      <w:r>
        <w:rPr>
          <w:rFonts w:ascii="Times New Roman;serif" w:hAnsi="Times New Roman;serif"/>
          <w:b w:val="false"/>
          <w:color w:val="000000"/>
          <w:sz w:val="24"/>
        </w:rPr>
        <w:t>, and the Existing Credit Agreement, as amended by this Amendment,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subject to the terms and conditions set forth herein, the Borrower has requested that Administrative Agent and the Lenders amend the Existing Credit Agreement in certain respects, subject to the terms and conditions set forth herein, and Administrative Agent and the Lenders have agreed to such request on the terms and conditions hereinafter set forth.</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color w:val="000000"/>
        </w:rPr>
        <w:t xml:space="preserve"> </w:t>
      </w:r>
      <w:r>
        <w:rPr>
          <w:rFonts w:ascii="Times New Roman;serif" w:hAnsi="Times New Roman;serif"/>
          <w:b w:val="false"/>
          <w:color w:val="000000"/>
          <w:sz w:val="24"/>
        </w:rPr>
        <w:t>for and in consideration of the mutual covenants and agreements herein contained and other good and valuable consideration, the receipt and sufficiency of which are hereby acknowledged and confessed, the Borrower, Administrative Agent and the Lenders party hereto hereby agree as follows:</w:t>
      </w:r>
    </w:p>
    <w:p>
      <w:pPr>
        <w:pStyle w:val="TextBody"/>
        <w:bidi w:val="0"/>
        <w:spacing w:lineRule="auto" w:line="240" w:before="0" w:after="240"/>
        <w:jc w:val="both"/>
        <w:rPr/>
      </w:pPr>
      <w:r>
        <w:rPr>
          <w:rFonts w:ascii="Times New Roman;serif" w:hAnsi="Times New Roman;serif"/>
          <w:b/>
          <w:color w:val="000000"/>
          <w:sz w:val="24"/>
        </w:rPr>
        <w:t>SECTION 1.</w:t>
      </w:r>
      <w:r>
        <w:rPr>
          <w:rFonts w:ascii="Times New Roman;serif" w:hAnsi="Times New Roman;serif"/>
          <w:b/>
          <w:color w:val="000000"/>
          <w:sz w:val="24"/>
        </w:rPr>
        <w:t>Amendments to Existing Credit Agreement.</w:t>
      </w:r>
      <w:r>
        <w:rPr>
          <w:color w:val="000000"/>
        </w:rPr>
        <w:t xml:space="preserve"> </w:t>
      </w:r>
      <w:r>
        <w:rPr>
          <w:rFonts w:ascii="Times New Roman;serif" w:hAnsi="Times New Roman;serif"/>
          <w:b w:val="false"/>
          <w:color w:val="000000"/>
          <w:sz w:val="24"/>
        </w:rPr>
        <w:t xml:space="preserve">Subject to the satisfaction or waiver in writing of each condition precedent set forth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of this Amendment, and in reliance on the representations, warranties, covenants and agreements contained in this Amendment, the Existing Credit Agreement shall be amended in the manner provided in this </w:t>
      </w:r>
      <w:r>
        <w:rPr>
          <w:rFonts w:ascii="Times New Roman;serif" w:hAnsi="Times New Roman;serif"/>
          <w:b w:val="false"/>
          <w:color w:val="000000"/>
          <w:sz w:val="24"/>
          <w:u w:val="single"/>
        </w:rPr>
        <w:t>Section 1</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rPr>
        <w:t>Cover Page.     </w:t>
      </w:r>
      <w:r>
        <w:rPr>
          <w:rFonts w:ascii="Times New Roman;serif" w:hAnsi="Times New Roman;serif"/>
          <w:b w:val="false"/>
          <w:color w:val="000000"/>
          <w:sz w:val="24"/>
        </w:rPr>
        <w:t xml:space="preserve">The Cover Page to the Existing Credit Agreement shall be and it hereby is amended and restated in its entirety and replaced with the Cover Page set forth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to this Amendment.</w:t>
      </w:r>
    </w:p>
    <w:p>
      <w:pPr>
        <w:pStyle w:val="TextBody"/>
        <w:bidi w:val="0"/>
        <w:spacing w:lineRule="auto" w:line="240"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rPr>
        <w:t>Additional Definition</w:t>
      </w:r>
      <w:r>
        <w:rPr>
          <w:rFonts w:ascii="Times New Roman;serif" w:hAnsi="Times New Roman;serif"/>
          <w:b w:val="false"/>
          <w:color w:val="000000"/>
          <w:sz w:val="24"/>
        </w:rPr>
        <w:t xml:space="preserve">. The following definition shall be and it hereby is added to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of the Existing Credit Agreement in alphabetical order:</w:t>
      </w:r>
      <w:r>
        <w:rPr>
          <w:color w:val="000000"/>
        </w:rPr>
        <w:t>    </w:t>
      </w:r>
      <w:r>
        <w:rPr>
          <w:rFonts w:ascii="Times New Roman;serif" w:hAnsi="Times New Roman;serif"/>
          <w:b w:val="false"/>
          <w:i/>
          <w:color w:val="000000"/>
          <w:sz w:val="24"/>
        </w:rPr>
        <w:br/>
        <w:br/>
        <w:t>        “</w:t>
      </w:r>
      <w:r>
        <w:rPr>
          <w:rFonts w:ascii="Times New Roman;serif" w:hAnsi="Times New Roman;serif"/>
          <w:b w:val="false"/>
          <w:i/>
          <w:color w:val="000000"/>
          <w:sz w:val="24"/>
          <w:u w:val="single"/>
        </w:rPr>
        <w:t>Eighth Amendment Effective Date</w:t>
      </w:r>
      <w:r>
        <w:rPr>
          <w:color w:val="000000"/>
        </w:rPr>
        <w:t xml:space="preserve">” </w:t>
      </w:r>
      <w:r>
        <w:rPr>
          <w:rFonts w:ascii="Times New Roman;serif" w:hAnsi="Times New Roman;serif"/>
          <w:b w:val="false"/>
          <w:i/>
          <w:color w:val="000000"/>
          <w:sz w:val="24"/>
        </w:rPr>
        <w:t>means June 10, 2026.</w:t>
      </w:r>
    </w:p>
    <w:p>
      <w:pPr>
        <w:pStyle w:val="TextBody"/>
        <w:bidi w:val="0"/>
        <w:spacing w:lineRule="auto" w:line="240"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rPr>
        <w:t>Schedule 1.2</w:t>
      </w:r>
      <w:r>
        <w:rPr>
          <w:rFonts w:ascii="Times New Roman;serif" w:hAnsi="Times New Roman;serif"/>
          <w:b w:val="false"/>
          <w:color w:val="000000"/>
          <w:sz w:val="24"/>
        </w:rPr>
        <w:t xml:space="preserve">. The Revolving Credit Percentages, Revolving Credit Allocations, and Total Revolving Credit Commitments set forth on </w:t>
      </w:r>
      <w:r>
        <w:rPr>
          <w:rFonts w:ascii="Times New Roman;serif" w:hAnsi="Times New Roman;serif"/>
          <w:b w:val="false"/>
          <w:color w:val="000000"/>
          <w:sz w:val="24"/>
          <w:u w:val="single"/>
        </w:rPr>
        <w:t>Schedule 1.2</w:t>
      </w:r>
      <w:r>
        <w:rPr>
          <w:color w:val="000000"/>
        </w:rPr>
        <w:t xml:space="preserve"> </w:t>
      </w:r>
      <w:r>
        <w:rPr>
          <w:rFonts w:ascii="Times New Roman;serif" w:hAnsi="Times New Roman;serif"/>
          <w:b w:val="false"/>
          <w:color w:val="000000"/>
          <w:sz w:val="24"/>
        </w:rPr>
        <w:t xml:space="preserve">attached to the Existing Credit Agreement are hereby amended and restated to read in their entirety as set forth on </w:t>
      </w:r>
      <w:r>
        <w:rPr>
          <w:rFonts w:ascii="Times New Roman;serif" w:hAnsi="Times New Roman;serif"/>
          <w:b w:val="false"/>
          <w:color w:val="000000"/>
          <w:sz w:val="24"/>
          <w:u w:val="single"/>
        </w:rPr>
        <w:t>Annex B</w:t>
      </w:r>
      <w:r>
        <w:rPr>
          <w:color w:val="000000"/>
        </w:rPr>
        <w:t xml:space="preserve"> </w:t>
      </w:r>
      <w:r>
        <w:rPr>
          <w:rFonts w:ascii="Times New Roman;serif" w:hAnsi="Times New Roman;serif"/>
          <w:b w:val="false"/>
          <w:color w:val="000000"/>
          <w:sz w:val="24"/>
        </w:rPr>
        <w:t>attached to this Amendment.</w:t>
      </w:r>
    </w:p>
    <w:p>
      <w:pPr>
        <w:pStyle w:val="TextBody"/>
        <w:bidi w:val="0"/>
        <w:spacing w:before="0" w:after="24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31800"/>
                <wp:effectExtent l="0" t="0" r="0" b="0"/>
                <wp:wrapNone/>
                <wp:docPr id="5" name="Frame5"/>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Page 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SECTION 2.</w:t>
      </w:r>
      <w:r>
        <w:rPr>
          <w:rFonts w:ascii="Times New Roman;serif" w:hAnsi="Times New Roman;serif"/>
          <w:b/>
          <w:color w:val="000000"/>
          <w:sz w:val="24"/>
        </w:rPr>
        <w:t xml:space="preserve">Reaffirmation of Borrowing Base. </w:t>
      </w:r>
      <w:r>
        <w:rPr>
          <w:rFonts w:ascii="Times New Roman;serif" w:hAnsi="Times New Roman;serif"/>
          <w:b w:val="false"/>
          <w:color w:val="000000"/>
          <w:sz w:val="24"/>
        </w:rPr>
        <w:t xml:space="preserve">This Amendment shall constitute notice of a redetermination of the Borrowing Base pursuant to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of the Credit Agreement, and Administrative Agent, the Lenders constituting at least the Supermajority Lenders and the Borrower hereby acknowledge that, effective as of the Eighth Amendment Effective Date, the Borrowing Base shall be reaffirmed at $3,250,000,000, and such reaffirmed Borrowing Base shall remain in effect until the date the Borrowing Base is otherwise adjusted pursuant to the terms of the Credit Agreement. The reaffirmation of the Borrowing Base contained in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shall constitute the Determination Date to occur on or about May 1, 2026.</w:t>
      </w:r>
    </w:p>
    <w:p>
      <w:pPr>
        <w:pStyle w:val="TextBody"/>
        <w:bidi w:val="0"/>
        <w:spacing w:lineRule="auto" w:line="240" w:before="0" w:after="240"/>
        <w:jc w:val="both"/>
        <w:rPr/>
      </w:pPr>
      <w:r>
        <w:rPr>
          <w:rFonts w:ascii="Times New Roman;serif" w:hAnsi="Times New Roman;serif"/>
          <w:b/>
          <w:color w:val="000000"/>
          <w:sz w:val="24"/>
        </w:rPr>
        <w:t>SECTION 3.</w:t>
      </w:r>
      <w:r>
        <w:rPr>
          <w:rFonts w:ascii="Times New Roman;serif" w:hAnsi="Times New Roman;serif"/>
          <w:b/>
          <w:color w:val="000000"/>
          <w:sz w:val="24"/>
        </w:rPr>
        <w:t>New Lenders; Reallocation and Increase of Revolving Credit Elected Commitments.</w:t>
      </w:r>
      <w:r>
        <w:rPr>
          <w:color w:val="000000"/>
        </w:rPr>
        <w:t xml:space="preserve"> </w:t>
      </w:r>
      <w:r>
        <w:rPr>
          <w:rFonts w:ascii="Times New Roman;serif" w:hAnsi="Times New Roman;serif"/>
          <w:b w:val="false"/>
          <w:color w:val="000000"/>
          <w:sz w:val="24"/>
        </w:rPr>
        <w:t>The Revolving Credit Lenders have agreed among themselves to reallocate their respective Revolving Credit Elected Commitments, and to, among other things, (a) allow certain financial institutions identified by PNC Capital Markets LLC, in its capacity as a Joint Lead Arranger, in consultation with the Borrower, to become a party to the Credit Agreement as a Lender (each, a “</w:t>
      </w:r>
      <w:r>
        <w:rPr>
          <w:rFonts w:ascii="Times New Roman;serif" w:hAnsi="Times New Roman;serif"/>
          <w:b w:val="false"/>
          <w:color w:val="000000"/>
          <w:sz w:val="24"/>
          <w:u w:val="single"/>
        </w:rPr>
        <w:t>New Lender</w:t>
      </w:r>
      <w:r>
        <w:rPr>
          <w:color w:val="000000"/>
        </w:rPr>
        <w:t>”</w:t>
      </w:r>
      <w:r>
        <w:rPr>
          <w:rFonts w:ascii="Times New Roman;serif" w:hAnsi="Times New Roman;serif"/>
          <w:b w:val="false"/>
          <w:color w:val="000000"/>
          <w:sz w:val="24"/>
        </w:rPr>
        <w:t>), (b) increase the Revolving Credit Aggregate Commitment from $2,250,000,000 to $2,750,000,000, and (c) to permit one or more of the Revolving Credit Lenders to increase their respective Revolving Credit Elected Commitments (each, an “</w:t>
      </w:r>
      <w:r>
        <w:rPr>
          <w:rFonts w:ascii="Times New Roman;serif" w:hAnsi="Times New Roman;serif"/>
          <w:b w:val="false"/>
          <w:color w:val="000000"/>
          <w:sz w:val="24"/>
          <w:u w:val="single"/>
        </w:rPr>
        <w:t>Increasing Lender</w:t>
      </w:r>
      <w:r>
        <w:rPr>
          <w:color w:val="000000"/>
        </w:rPr>
        <w:t>”</w:t>
      </w:r>
      <w:r>
        <w:rPr>
          <w:rFonts w:ascii="Times New Roman;serif" w:hAnsi="Times New Roman;serif"/>
          <w:b w:val="false"/>
          <w:color w:val="000000"/>
          <w:sz w:val="24"/>
        </w:rPr>
        <w:t xml:space="preserve">). Each of Administrative Agent and the Borrower hereby consent to (i) each New Lender’s agreement to provide a Revolving Credit Elected Commitment, (ii) the reallocation of the Revolving Credit Elected Commitments, and (iii) the increase in each Increasing Lender’s Revolving Credit Elected Commitment. On the date this Amendment becomes effective and after giving effect to such reallocation and assignment and increase of the Revolving Credit Aggregate Commitment, the Revolving Credit Elected Commitment of each Revolving Credit Lender shall be as set forth on </w:t>
      </w:r>
      <w:r>
        <w:rPr>
          <w:rFonts w:ascii="Times New Roman;serif" w:hAnsi="Times New Roman;serif"/>
          <w:b w:val="false"/>
          <w:color w:val="000000"/>
          <w:sz w:val="24"/>
          <w:u w:val="single"/>
        </w:rPr>
        <w:t>Schedule 1.2</w:t>
      </w:r>
      <w:r>
        <w:rPr>
          <w:color w:val="000000"/>
        </w:rPr>
        <w:t xml:space="preserve"> </w:t>
      </w:r>
      <w:r>
        <w:rPr>
          <w:rFonts w:ascii="Times New Roman;serif" w:hAnsi="Times New Roman;serif"/>
          <w:b w:val="false"/>
          <w:color w:val="000000"/>
          <w:sz w:val="24"/>
        </w:rPr>
        <w:t xml:space="preserve">to the Credit Agreement, as amended by this Amendment. Each Revolving Credit Lender hereby consents to the Revolving Credit Elected Commitment set forth on </w:t>
      </w:r>
      <w:r>
        <w:rPr>
          <w:rFonts w:ascii="Times New Roman;serif" w:hAnsi="Times New Roman;serif"/>
          <w:b w:val="false"/>
          <w:color w:val="000000"/>
          <w:sz w:val="24"/>
          <w:u w:val="single"/>
        </w:rPr>
        <w:t>Schedule 1.2</w:t>
      </w:r>
      <w:r>
        <w:rPr>
          <w:color w:val="000000"/>
        </w:rPr>
        <w:t xml:space="preserve"> </w:t>
      </w:r>
      <w:r>
        <w:rPr>
          <w:rFonts w:ascii="Times New Roman;serif" w:hAnsi="Times New Roman;serif"/>
          <w:b w:val="false"/>
          <w:color w:val="000000"/>
          <w:sz w:val="24"/>
        </w:rPr>
        <w:t xml:space="preserve">to the Credit Agreement, as amended by this Amendment. The reallocation of the Revolving Credit Elected Commitments among the Revolving Credit Lenders and the acquisition by each New Lender of an interest in the Revolving Credit Aggregate Commitment shall be deemed to have been consummated pursuant to the terms of the Assignment and Assumption attached as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 xml:space="preserve">to the Credit Agreement as if the Revolving Credit Lenders, including each New Lender, had executed an Assignment and Assumption with respect to such reallocation. Administrative Agent hereby waives the $3,500 processing and recordation fee set forth in </w:t>
      </w:r>
      <w:r>
        <w:rPr>
          <w:rFonts w:ascii="Times New Roman;serif" w:hAnsi="Times New Roman;serif"/>
          <w:b w:val="false"/>
          <w:color w:val="000000"/>
          <w:sz w:val="24"/>
          <w:u w:val="single"/>
        </w:rPr>
        <w:t>Section 13.7(b)(iv)</w:t>
      </w:r>
      <w:r>
        <w:rPr>
          <w:color w:val="000000"/>
        </w:rPr>
        <w:t xml:space="preserve"> </w:t>
      </w:r>
      <w:r>
        <w:rPr>
          <w:rFonts w:ascii="Times New Roman;serif" w:hAnsi="Times New Roman;serif"/>
          <w:b w:val="false"/>
          <w:color w:val="000000"/>
          <w:sz w:val="24"/>
        </w:rPr>
        <w:t xml:space="preserve">of the Credit Agreement with respect to the assignments and reallocations contemplated by this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Notwithstanding anything contained in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 xml:space="preserve">of the Existing Credit Agreement to the contrary, each Revolving Credit Lender hereby agrees to waive any amounts required to be paid by the Borrower under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 xml:space="preserve">of the Existing Credit Agreement in the event the payment of any principal of any SOFR Advance or the conversion of any SOFR Advance other than on the last day of an Interest Period applicable thereto is required in connection with the reallocation contemplated by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Each New Lender agrees that it shall be deemed to be, and hereby becomes on the date of effectiveness of this Amendment, a party in all respects to the Credit Agreement and the other Loan Documents to which all the Revolving Credit Lenders are party and each shall have the rights and obligations of a Revolving Credit Lender under the Credit Agreement and the other Loan Documents.</w:t>
      </w:r>
    </w:p>
    <w:p>
      <w:pPr>
        <w:pStyle w:val="TextBody"/>
        <w:bidi w:val="0"/>
        <w:spacing w:lineRule="auto" w:line="240" w:before="0" w:after="240"/>
        <w:jc w:val="both"/>
        <w:rPr/>
      </w:pPr>
      <w:r>
        <w:rPr>
          <w:rFonts w:ascii="Times New Roman;serif" w:hAnsi="Times New Roman;serif"/>
          <w:b/>
          <w:color w:val="000000"/>
          <w:sz w:val="24"/>
        </w:rPr>
        <w:t>SECTION 4.</w:t>
      </w:r>
      <w:r>
        <w:rPr>
          <w:rFonts w:ascii="Times New Roman;serif" w:hAnsi="Times New Roman;serif"/>
          <w:b/>
          <w:color w:val="000000"/>
          <w:sz w:val="24"/>
        </w:rPr>
        <w:t xml:space="preserve">Conditions. </w:t>
      </w:r>
      <w:r>
        <w:rPr>
          <w:rFonts w:ascii="Times New Roman;serif" w:hAnsi="Times New Roman;serif"/>
          <w:b w:val="false"/>
          <w:color w:val="000000"/>
          <w:sz w:val="24"/>
        </w:rPr>
        <w:t xml:space="preserve">The amendments to the Credit Agreement contained in </w:t>
      </w:r>
      <w:r>
        <w:rPr>
          <w:rFonts w:ascii="Times New Roman;serif" w:hAnsi="Times New Roman;serif"/>
          <w:b w:val="false"/>
          <w:color w:val="000000"/>
          <w:sz w:val="24"/>
          <w:u w:val="single"/>
        </w:rPr>
        <w:t>Section 1</w:t>
      </w:r>
      <w:r>
        <w:rPr>
          <w:color w:val="000000"/>
        </w:rPr>
        <w:t xml:space="preserve"> </w:t>
      </w:r>
      <w:r>
        <w:rPr>
          <w:rFonts w:ascii="Times New Roman;serif" w:hAnsi="Times New Roman;serif"/>
          <w:b w:val="false"/>
          <w:color w:val="000000"/>
          <w:sz w:val="24"/>
        </w:rPr>
        <w:t xml:space="preserve">of this Amendment, the reaffirmation of the Borrowing Base contained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of this Amendment and the reallocation and increase of the Revolving Credit Elected Commitments contained in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of this Amendment, in each case, shall be effective upon the satisfaction of each of the conditions set forth in this </w:t>
      </w:r>
      <w:r>
        <w:rPr>
          <w:rFonts w:ascii="Times New Roman;serif" w:hAnsi="Times New Roman;serif"/>
          <w:b w:val="false"/>
          <w:color w:val="000000"/>
          <w:sz w:val="24"/>
          <w:u w:val="single"/>
        </w:rPr>
        <w:t>Section 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4.1</w:t>
      </w:r>
      <w:r>
        <w:rPr>
          <w:rFonts w:ascii="Times New Roman;serif" w:hAnsi="Times New Roman;serif"/>
          <w:b/>
          <w:color w:val="000000"/>
          <w:sz w:val="24"/>
        </w:rPr>
        <w:t>Execution and Delivery</w:t>
      </w:r>
      <w:r>
        <w:rPr>
          <w:rFonts w:ascii="Times New Roman;serif" w:hAnsi="Times New Roman;serif"/>
          <w:b w:val="false"/>
          <w:color w:val="000000"/>
          <w:sz w:val="24"/>
        </w:rPr>
        <w:t xml:space="preserve">. Administrative Agent shall have received a duly executed counterpart of (a) this Amendment signed by the Borrower, the Lenders, and </w:t>
      </w:r>
    </w:p>
    <w:p>
      <w:pPr>
        <w:pStyle w:val="TextBody"/>
        <w:bidi w:val="0"/>
        <w:spacing w:before="0" w:after="24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31800"/>
                <wp:effectExtent l="0" t="0" r="0" b="0"/>
                <wp:wrapNone/>
                <wp:docPr id="6" name="Frame6"/>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Page 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Administrative Agent and (b) the Consent and Reaffirmation attached hereto signed by each Guarantor.</w:t>
      </w:r>
    </w:p>
    <w:p>
      <w:pPr>
        <w:pStyle w:val="TextBody"/>
        <w:bidi w:val="0"/>
        <w:spacing w:lineRule="auto" w:line="240" w:before="0" w:after="240"/>
        <w:ind w:left="0" w:right="0" w:firstLine="720"/>
        <w:jc w:val="both"/>
        <w:rPr/>
      </w:pPr>
      <w:r>
        <w:rPr>
          <w:rFonts w:ascii="Times New Roman;serif" w:hAnsi="Times New Roman;serif"/>
          <w:b/>
          <w:color w:val="000000"/>
          <w:sz w:val="24"/>
        </w:rPr>
        <w:t>4.2</w:t>
      </w:r>
      <w:r>
        <w:rPr>
          <w:rFonts w:ascii="Times New Roman;serif" w:hAnsi="Times New Roman;serif"/>
          <w:b/>
          <w:color w:val="000000"/>
          <w:sz w:val="24"/>
        </w:rPr>
        <w:t>Fees.</w:t>
      </w:r>
      <w:r>
        <w:rPr>
          <w:color w:val="000000"/>
        </w:rPr>
        <w:t xml:space="preserve"> </w:t>
      </w:r>
      <w:r>
        <w:rPr>
          <w:rFonts w:ascii="Times New Roman;serif" w:hAnsi="Times New Roman;serif"/>
          <w:b w:val="false"/>
          <w:color w:val="000000"/>
          <w:sz w:val="24"/>
        </w:rPr>
        <w:t>Administrative Agent shall have received evidence reasonably satisfactory to it that all fees due and payable on or before the Eighth Amendment Effective Date as separately agreed upon by the Borrower and the applicable recipients thereof in connection with this Amendment, if any, have been paid by the Borrower.</w:t>
      </w:r>
    </w:p>
    <w:p>
      <w:pPr>
        <w:pStyle w:val="TextBody"/>
        <w:bidi w:val="0"/>
        <w:spacing w:lineRule="auto" w:line="240" w:before="0" w:after="240"/>
        <w:ind w:left="0" w:right="0" w:firstLine="720"/>
        <w:jc w:val="both"/>
        <w:rPr/>
      </w:pPr>
      <w:r>
        <w:rPr>
          <w:rFonts w:ascii="Times New Roman;serif" w:hAnsi="Times New Roman;serif"/>
          <w:b/>
          <w:color w:val="000000"/>
          <w:sz w:val="24"/>
        </w:rPr>
        <w:t>4.3</w:t>
      </w:r>
      <w:r>
        <w:rPr>
          <w:rFonts w:ascii="Times New Roman;serif" w:hAnsi="Times New Roman;serif"/>
          <w:b/>
          <w:color w:val="000000"/>
          <w:sz w:val="24"/>
        </w:rPr>
        <w:t>Notes</w:t>
      </w:r>
      <w:r>
        <w:rPr>
          <w:rFonts w:ascii="Times New Roman;serif" w:hAnsi="Times New Roman;serif"/>
          <w:b w:val="false"/>
          <w:color w:val="000000"/>
          <w:sz w:val="24"/>
        </w:rPr>
        <w:t xml:space="preserve">. Administrative Agent shall have received Notes duly executed by the Borrower for each Lender that requests a Note in accordance with </w:t>
      </w:r>
      <w:r>
        <w:rPr>
          <w:rFonts w:ascii="Times New Roman;serif" w:hAnsi="Times New Roman;serif"/>
          <w:b w:val="false"/>
          <w:color w:val="000000"/>
          <w:sz w:val="24"/>
          <w:u w:val="single"/>
        </w:rPr>
        <w:t>Section 2.2(e)</w:t>
      </w:r>
      <w:r>
        <w:rPr>
          <w:color w:val="000000"/>
        </w:rPr>
        <w:t xml:space="preserve"> </w:t>
      </w:r>
      <w:r>
        <w:rPr>
          <w:rFonts w:ascii="Times New Roman;serif" w:hAnsi="Times New Roman;serif"/>
          <w:b w:val="false"/>
          <w:color w:val="000000"/>
          <w:sz w:val="24"/>
        </w:rPr>
        <w:t>of the Credit Agreement.</w:t>
      </w:r>
    </w:p>
    <w:p>
      <w:pPr>
        <w:pStyle w:val="TextBody"/>
        <w:bidi w:val="0"/>
        <w:spacing w:lineRule="auto" w:line="240" w:before="0" w:after="240"/>
        <w:ind w:left="0" w:right="0" w:firstLine="720"/>
        <w:jc w:val="both"/>
        <w:rPr/>
      </w:pPr>
      <w:r>
        <w:rPr>
          <w:rFonts w:ascii="Times New Roman;serif" w:hAnsi="Times New Roman;serif"/>
          <w:b/>
          <w:color w:val="000000"/>
          <w:sz w:val="24"/>
        </w:rPr>
        <w:t>4.4</w:t>
      </w:r>
      <w:r>
        <w:rPr>
          <w:rFonts w:ascii="Times New Roman;serif" w:hAnsi="Times New Roman;serif"/>
          <w:b/>
          <w:color w:val="000000"/>
          <w:sz w:val="24"/>
        </w:rPr>
        <w:t>No Default.</w:t>
      </w:r>
      <w:r>
        <w:rPr>
          <w:color w:val="000000"/>
        </w:rPr>
        <w:t xml:space="preserve"> </w:t>
      </w:r>
      <w:r>
        <w:rPr>
          <w:rFonts w:ascii="Times New Roman;serif" w:hAnsi="Times New Roman;serif"/>
          <w:b w:val="false"/>
          <w:color w:val="000000"/>
          <w:sz w:val="24"/>
        </w:rPr>
        <w:t>No Default or Event of Default shall have occurred and be continuing.</w:t>
      </w:r>
    </w:p>
    <w:p>
      <w:pPr>
        <w:pStyle w:val="TextBody"/>
        <w:bidi w:val="0"/>
        <w:spacing w:lineRule="auto" w:line="240" w:before="0" w:after="240"/>
        <w:ind w:left="0" w:right="0" w:firstLine="720"/>
        <w:jc w:val="both"/>
        <w:rPr/>
      </w:pPr>
      <w:r>
        <w:rPr>
          <w:rFonts w:ascii="Times New Roman;serif" w:hAnsi="Times New Roman;serif"/>
          <w:b/>
          <w:color w:val="000000"/>
          <w:sz w:val="24"/>
        </w:rPr>
        <w:t>4.5</w:t>
      </w:r>
      <w:r>
        <w:rPr>
          <w:rFonts w:ascii="Times New Roman;serif" w:hAnsi="Times New Roman;serif"/>
          <w:b/>
          <w:color w:val="000000"/>
          <w:sz w:val="24"/>
        </w:rPr>
        <w:t>Corporate Authority</w:t>
      </w:r>
      <w:r>
        <w:rPr>
          <w:rFonts w:ascii="Times New Roman;serif" w:hAnsi="Times New Roman;serif"/>
          <w:b w:val="false"/>
          <w:color w:val="000000"/>
          <w:sz w:val="24"/>
        </w:rPr>
        <w:t>. Administrative Agent shall have received from each Credit Party and the Parent, a certificate of its Secretary dated as of the Eighth Amendment Effective Date as to: (a) corporate resolutions (or the equivalent) of the Parent and each Credit Party authorizing the transactions contemplated by this Amendment and the other Loan Documents, in each case to which the Parent or such Credit Party is party, and authorizing the execution and delivery of this Amendment and the other Loan Documents, (b) the incumbency and signature of the assistant secretary, officers or other authorized persons of the Parent and such Credit Party executing any Loan Document and in the case of Borrower, the officers who are authorized to execute any Request for Advance, or requests for the issuance of Letters of Credit, (c) a certificate of good standing or continued existence (or the equivalent thereof) from the state of its incorporation or formation, and (d) copies of the Parent’s and such Credit Party’s Organizational Documents as in effect on the Eighth Amendment Effective Date.</w:t>
      </w:r>
    </w:p>
    <w:p>
      <w:pPr>
        <w:pStyle w:val="TextBody"/>
        <w:bidi w:val="0"/>
        <w:spacing w:lineRule="auto" w:line="240" w:before="0" w:after="240"/>
        <w:ind w:left="0" w:right="0" w:firstLine="720"/>
        <w:jc w:val="both"/>
        <w:rPr/>
      </w:pPr>
      <w:r>
        <w:rPr>
          <w:rFonts w:ascii="Times New Roman;serif" w:hAnsi="Times New Roman;serif"/>
          <w:b/>
          <w:color w:val="000000"/>
          <w:sz w:val="24"/>
        </w:rPr>
        <w:t>4.6</w:t>
      </w:r>
      <w:r>
        <w:rPr>
          <w:rFonts w:ascii="Times New Roman;serif" w:hAnsi="Times New Roman;serif"/>
          <w:b/>
          <w:color w:val="000000"/>
          <w:sz w:val="24"/>
        </w:rPr>
        <w:t>Opinions of Counsel</w:t>
      </w:r>
      <w:r>
        <w:rPr>
          <w:rFonts w:ascii="Times New Roman;serif" w:hAnsi="Times New Roman;serif"/>
          <w:b w:val="false"/>
          <w:color w:val="000000"/>
          <w:sz w:val="24"/>
        </w:rPr>
        <w:t>. The Parent and the Credit Parties shall furnish Administrative Agent opinions of counsel to the Parent and the Credit Parties (including local counsel opinions, to the extent reasonably deemed necessary by Administrative Agent), in each case dated as of the Eighth Amendment Effective Date and covering such matters as reasonably required by and otherwise reasonably satisfactory in form and substance to Administrative Agent.</w:t>
      </w:r>
    </w:p>
    <w:p>
      <w:pPr>
        <w:pStyle w:val="TextBody"/>
        <w:bidi w:val="0"/>
        <w:spacing w:lineRule="auto" w:line="240" w:before="0" w:after="240"/>
        <w:ind w:left="0" w:right="0" w:firstLine="720"/>
        <w:jc w:val="both"/>
        <w:rPr/>
      </w:pPr>
      <w:r>
        <w:rPr>
          <w:rFonts w:ascii="Times New Roman;serif" w:hAnsi="Times New Roman;serif"/>
          <w:b/>
          <w:color w:val="000000"/>
          <w:sz w:val="24"/>
        </w:rPr>
        <w:t>4.7</w:t>
      </w:r>
      <w:r>
        <w:rPr>
          <w:rFonts w:ascii="Times New Roman;serif" w:hAnsi="Times New Roman;serif"/>
          <w:b/>
          <w:color w:val="000000"/>
          <w:sz w:val="24"/>
        </w:rPr>
        <w:t>KYC</w:t>
      </w:r>
      <w:r>
        <w:rPr>
          <w:rFonts w:ascii="Times New Roman;serif" w:hAnsi="Times New Roman;serif"/>
          <w:b w:val="false"/>
          <w:color w:val="000000"/>
          <w:sz w:val="24"/>
        </w:rPr>
        <w:t>. Not less than three (3) days prior to (to the extent the same is requested at least seven (7) days prior to) the Eighth Amendment Effective Date, the Parent and the Credit Parties shall furnish Administrative Agent and Lenders with (i) any other information required by Section 326 of the USA Patriot Act or necessary for Administrative Agent and Lenders to verify the identity of the Parent or any Credit Party as required by Section 326 of the USA Patriot Act and (ii) information and documentation (including, without limitation, a Beneficial Ownership Certification), in each case, as reasonably requested by Administrative Agent or any Lender for purposes of compliance with applicable “know your customer” and anti-money laundering rules and regulations, including the USA Patriot Act and the Beneficial Ownership Regulation.</w:t>
      </w:r>
    </w:p>
    <w:p>
      <w:pPr>
        <w:pStyle w:val="TextBody"/>
        <w:bidi w:val="0"/>
        <w:spacing w:lineRule="auto" w:line="240" w:before="0" w:after="240"/>
        <w:ind w:left="0" w:right="0" w:firstLine="720"/>
        <w:jc w:val="both"/>
        <w:rPr/>
      </w:pPr>
      <w:r>
        <w:rPr>
          <w:rFonts w:ascii="Times New Roman;serif" w:hAnsi="Times New Roman;serif"/>
          <w:b/>
          <w:color w:val="000000"/>
          <w:sz w:val="24"/>
        </w:rPr>
        <w:t>4.8</w:t>
      </w:r>
      <w:r>
        <w:rPr>
          <w:rFonts w:ascii="Times New Roman;serif" w:hAnsi="Times New Roman;serif"/>
          <w:b/>
          <w:color w:val="000000"/>
          <w:sz w:val="24"/>
        </w:rPr>
        <w:t>Other Documents.</w:t>
      </w:r>
      <w:r>
        <w:rPr>
          <w:color w:val="000000"/>
        </w:rPr>
        <w:t xml:space="preserve"> </w:t>
      </w:r>
      <w:r>
        <w:rPr>
          <w:rFonts w:ascii="Times New Roman;serif" w:hAnsi="Times New Roman;serif"/>
          <w:b w:val="false"/>
          <w:color w:val="000000"/>
          <w:sz w:val="24"/>
        </w:rPr>
        <w:t>Administrative Agent shall have received such other instruments and documents incidental and appropriate to the transactions provided for herein as Administrative Agent or its special counsel may reasonably request, and all such documents shall be in form and substance reasonably satisfactory to Administrative Agent.</w:t>
      </w:r>
    </w:p>
    <w:p>
      <w:pPr>
        <w:pStyle w:val="TextBody"/>
        <w:bidi w:val="0"/>
        <w:spacing w:lineRule="auto" w:line="240" w:before="0" w:after="240"/>
        <w:jc w:val="both"/>
        <w:rPr/>
      </w:pPr>
      <w:r>
        <w:rPr>
          <w:rFonts w:ascii="Times New Roman;serif" w:hAnsi="Times New Roman;serif"/>
          <w:b/>
          <w:color w:val="000000"/>
          <w:sz w:val="24"/>
        </w:rPr>
        <w:t>SECTION 5.</w:t>
      </w:r>
      <w:r>
        <w:rPr>
          <w:rFonts w:ascii="Times New Roman;serif" w:hAnsi="Times New Roman;serif"/>
          <w:b/>
          <w:color w:val="000000"/>
          <w:sz w:val="24"/>
        </w:rPr>
        <w:t>Post-Closing Covenant.</w:t>
      </w:r>
      <w:r>
        <w:rPr>
          <w:color w:val="000000"/>
        </w:rPr>
        <w:t xml:space="preserve"> </w:t>
      </w:r>
      <w:r>
        <w:rPr>
          <w:rFonts w:ascii="Times New Roman;serif" w:hAnsi="Times New Roman;serif"/>
          <w:b w:val="false"/>
          <w:color w:val="000000"/>
          <w:sz w:val="24"/>
        </w:rPr>
        <w:t xml:space="preserve">Within forty-five (45) days after the Eighth Amendment Effective Date (or such longer time as is acceptable to Administrative Agent in its sole discretion), Administrative Agent shall have received from the Borrower title opinions and </w:t>
      </w:r>
    </w:p>
    <w:p>
      <w:pPr>
        <w:pStyle w:val="TextBody"/>
        <w:bidi w:val="0"/>
        <w:spacing w:before="0" w:after="24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31800"/>
                <wp:effectExtent l="0" t="0" r="0" b="0"/>
                <wp:wrapNone/>
                <wp:docPr id="7" name="Frame7"/>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Page 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other title information and data in respect of the Oil and Gas Properties evaluated by the Borrower’s most recently delivered Reserve Report and Mortgages as necessary to comply with the Collateral Coverage Minimum after giving effect to this Amendment, in each case, in form and substance reasonably satisfactory to Administrative Agent.</w:t>
      </w:r>
    </w:p>
    <w:p>
      <w:pPr>
        <w:pStyle w:val="TextBody"/>
        <w:bidi w:val="0"/>
        <w:spacing w:lineRule="auto" w:line="240" w:before="0" w:after="240"/>
        <w:jc w:val="both"/>
        <w:rPr/>
      </w:pPr>
      <w:r>
        <w:rPr>
          <w:rFonts w:ascii="Times New Roman;serif" w:hAnsi="Times New Roman;serif"/>
          <w:b/>
          <w:color w:val="000000"/>
          <w:sz w:val="24"/>
        </w:rPr>
        <w:t>SECTION 6.</w:t>
      </w:r>
      <w:r>
        <w:rPr>
          <w:rFonts w:ascii="Times New Roman;serif" w:hAnsi="Times New Roman;serif"/>
          <w:b/>
          <w:color w:val="000000"/>
          <w:sz w:val="24"/>
        </w:rPr>
        <w:t>Representations and Warranties.</w:t>
      </w:r>
      <w:r>
        <w:rPr>
          <w:color w:val="000000"/>
        </w:rPr>
        <w:t xml:space="preserve"> </w:t>
      </w:r>
      <w:r>
        <w:rPr>
          <w:rFonts w:ascii="Times New Roman;serif" w:hAnsi="Times New Roman;serif"/>
          <w:b w:val="false"/>
          <w:color w:val="000000"/>
          <w:sz w:val="24"/>
        </w:rPr>
        <w:t>To induce the Lenders to enter into this Amendment, the Borrower hereby represents and warrants to the Lenders as follows:</w:t>
      </w:r>
    </w:p>
    <w:p>
      <w:pPr>
        <w:pStyle w:val="TextBody"/>
        <w:bidi w:val="0"/>
        <w:spacing w:lineRule="auto" w:line="240" w:before="0" w:after="240"/>
        <w:ind w:left="0" w:right="0" w:firstLine="720"/>
        <w:jc w:val="both"/>
        <w:rPr/>
      </w:pPr>
      <w:r>
        <w:rPr>
          <w:rFonts w:ascii="Times New Roman;serif" w:hAnsi="Times New Roman;serif"/>
          <w:b/>
          <w:color w:val="000000"/>
          <w:sz w:val="24"/>
        </w:rPr>
        <w:t>6.1</w:t>
      </w:r>
      <w:r>
        <w:rPr>
          <w:rFonts w:ascii="Times New Roman;serif" w:hAnsi="Times New Roman;serif"/>
          <w:b/>
          <w:color w:val="000000"/>
          <w:sz w:val="24"/>
        </w:rPr>
        <w:t>Reaffirmation of Representations and Warranties.</w:t>
      </w:r>
      <w:r>
        <w:rPr>
          <w:color w:val="000000"/>
        </w:rPr>
        <w:t xml:space="preserve"> </w:t>
      </w:r>
      <w:r>
        <w:rPr>
          <w:rFonts w:ascii="Times New Roman;serif" w:hAnsi="Times New Roman;serif"/>
          <w:b w:val="false"/>
          <w:color w:val="000000"/>
          <w:sz w:val="24"/>
        </w:rPr>
        <w:t>After giving effect to the amendments herein, each representation and warranty of the Borrower, the Parent and each other Credit Party contained in the Credit Agreement and in each of the other Loan Documents to which it is a party is true and correct in all material respects as of the date hereof (without duplication of any materiality qualifier contained therein), except to the extent any such representations and warranties are expressly limited to an earlier date, in which case, such representations and warranties shall continue to be true and correct in all material respects (without duplication of any materiality qualifier contained therein) as of such specified earlier date.</w:t>
      </w:r>
    </w:p>
    <w:p>
      <w:pPr>
        <w:pStyle w:val="TextBody"/>
        <w:bidi w:val="0"/>
        <w:spacing w:lineRule="auto" w:line="240" w:before="0" w:after="240"/>
        <w:ind w:left="0" w:right="0" w:firstLine="720"/>
        <w:jc w:val="both"/>
        <w:rPr/>
      </w:pPr>
      <w:r>
        <w:rPr>
          <w:rFonts w:ascii="Times New Roman;serif" w:hAnsi="Times New Roman;serif"/>
          <w:b/>
          <w:color w:val="000000"/>
          <w:sz w:val="24"/>
        </w:rPr>
        <w:t>6.2</w:t>
      </w:r>
      <w:r>
        <w:rPr>
          <w:rFonts w:ascii="Times New Roman;serif" w:hAnsi="Times New Roman;serif"/>
          <w:b/>
          <w:color w:val="000000"/>
          <w:sz w:val="24"/>
        </w:rPr>
        <w:t>Corporate Authority; No Conflicts.</w:t>
      </w:r>
      <w:r>
        <w:rPr>
          <w:color w:val="000000"/>
        </w:rPr>
        <w:t xml:space="preserve"> </w:t>
      </w:r>
      <w:r>
        <w:rPr>
          <w:rFonts w:ascii="Times New Roman;serif" w:hAnsi="Times New Roman;serif"/>
          <w:b w:val="false"/>
          <w:color w:val="000000"/>
          <w:sz w:val="24"/>
        </w:rPr>
        <w:t xml:space="preserve">The execution, delivery and performance by the Borrower, the Parent and each other Credit Party of this Amendment and all documents, instruments and agreements contemplated herein are within such Credit Party’s corporate, limited liability company or limited partnership, as applicable, powers, have been duly authorized by necessary corporate action by such Credit Party, require no action by or in respect of, or filing with, any court or agency of government (except for the recording and filing of Collateral Documents and financing statements) and (a) do not violate in any material respect any Requirement of Law, (b) are not in contravention of the terms of any material Contractual Obligation, indenture, agreement or undertaking to which such Credit Party is a party or by which it or its properties are bound where such violation could reasonably be expected to have a Material Adverse Effect, and (c) do not result in the creation or imposition of any Lien upon any of the assets of such Credit Party except for Liens permitted by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of the Credit Agreement and otherwise as permitted in the Credit Agreement.</w:t>
      </w:r>
    </w:p>
    <w:p>
      <w:pPr>
        <w:pStyle w:val="TextBody"/>
        <w:bidi w:val="0"/>
        <w:spacing w:lineRule="auto" w:line="240" w:before="0" w:after="240"/>
        <w:ind w:left="0" w:right="0" w:firstLine="720"/>
        <w:jc w:val="both"/>
        <w:rPr/>
      </w:pPr>
      <w:r>
        <w:rPr>
          <w:rFonts w:ascii="Times New Roman;serif" w:hAnsi="Times New Roman;serif"/>
          <w:b/>
          <w:color w:val="000000"/>
          <w:sz w:val="24"/>
        </w:rPr>
        <w:t>6.3</w:t>
      </w:r>
      <w:r>
        <w:rPr>
          <w:rFonts w:ascii="Times New Roman;serif" w:hAnsi="Times New Roman;serif"/>
          <w:b/>
          <w:color w:val="000000"/>
          <w:sz w:val="24"/>
        </w:rPr>
        <w:t>Enforceability.</w:t>
      </w:r>
      <w:r>
        <w:rPr>
          <w:color w:val="000000"/>
        </w:rPr>
        <w:t xml:space="preserve"> </w:t>
      </w:r>
      <w:r>
        <w:rPr>
          <w:rFonts w:ascii="Times New Roman;serif" w:hAnsi="Times New Roman;serif"/>
          <w:b w:val="false"/>
          <w:color w:val="000000"/>
          <w:sz w:val="24"/>
        </w:rPr>
        <w:t>This Amendment constitutes the valid and binding obligation of the Borrower enforceable in accordance with its terms, except as the enforceability thereof may be limited by (i) bankruptcy, insolvency or similar laws affecting creditor’s rights generally, and (ii) equitable principles of general application.</w:t>
      </w:r>
    </w:p>
    <w:p>
      <w:pPr>
        <w:pStyle w:val="TextBody"/>
        <w:bidi w:val="0"/>
        <w:spacing w:lineRule="auto" w:line="240" w:before="0" w:after="240"/>
        <w:ind w:left="0" w:right="0" w:firstLine="720"/>
        <w:jc w:val="both"/>
        <w:rPr/>
      </w:pPr>
      <w:r>
        <w:rPr>
          <w:rFonts w:ascii="Times New Roman;serif" w:hAnsi="Times New Roman;serif"/>
          <w:b/>
          <w:color w:val="000000"/>
          <w:sz w:val="24"/>
        </w:rPr>
        <w:t>6.4</w:t>
      </w:r>
      <w:r>
        <w:rPr>
          <w:rFonts w:ascii="Times New Roman;serif" w:hAnsi="Times New Roman;serif"/>
          <w:b/>
          <w:color w:val="000000"/>
          <w:sz w:val="24"/>
        </w:rPr>
        <w:t>No Default.</w:t>
      </w:r>
      <w:r>
        <w:rPr>
          <w:color w:val="000000"/>
        </w:rPr>
        <w:t xml:space="preserve"> </w:t>
      </w:r>
      <w:r>
        <w:rPr>
          <w:rFonts w:ascii="Times New Roman;serif" w:hAnsi="Times New Roman;serif"/>
          <w:b w:val="false"/>
          <w:color w:val="000000"/>
          <w:sz w:val="24"/>
        </w:rPr>
        <w:t>No Default or Event of Default has occurred and is continuing.</w:t>
      </w:r>
    </w:p>
    <w:p>
      <w:pPr>
        <w:pStyle w:val="TextBody"/>
        <w:bidi w:val="0"/>
        <w:spacing w:lineRule="auto" w:line="240" w:before="0" w:after="240"/>
        <w:jc w:val="both"/>
        <w:rPr/>
      </w:pPr>
      <w:r>
        <w:rPr>
          <w:rFonts w:ascii="Times New Roman;serif" w:hAnsi="Times New Roman;serif"/>
          <w:b/>
          <w:color w:val="000000"/>
          <w:sz w:val="24"/>
        </w:rPr>
        <w:t>SECTION 7.</w:t>
      </w:r>
      <w:r>
        <w:rPr>
          <w:rFonts w:ascii="Times New Roman;serif" w:hAnsi="Times New Roman;serif"/>
          <w:b/>
          <w:color w:val="000000"/>
          <w:sz w:val="24"/>
        </w:rPr>
        <w:t>Miscellaneous.</w:t>
      </w:r>
    </w:p>
    <w:p>
      <w:pPr>
        <w:pStyle w:val="TextBody"/>
        <w:bidi w:val="0"/>
        <w:spacing w:lineRule="auto" w:line="240" w:before="0" w:after="240"/>
        <w:ind w:left="0" w:right="0" w:firstLine="720"/>
        <w:jc w:val="both"/>
        <w:rPr/>
      </w:pPr>
      <w:r>
        <w:rPr>
          <w:rFonts w:ascii="Times New Roman;serif" w:hAnsi="Times New Roman;serif"/>
          <w:b/>
          <w:color w:val="000000"/>
          <w:sz w:val="24"/>
        </w:rPr>
        <w:t>7.1</w:t>
      </w:r>
      <w:r>
        <w:rPr>
          <w:rFonts w:ascii="Times New Roman;serif" w:hAnsi="Times New Roman;serif"/>
          <w:b/>
          <w:color w:val="000000"/>
          <w:sz w:val="24"/>
        </w:rPr>
        <w:t>Reaffirmation of Loan Documents and Liens.</w:t>
      </w:r>
      <w:r>
        <w:rPr>
          <w:color w:val="000000"/>
        </w:rPr>
        <w:t xml:space="preserve"> </w:t>
      </w:r>
      <w:r>
        <w:rPr>
          <w:rFonts w:ascii="Times New Roman;serif" w:hAnsi="Times New Roman;serif"/>
          <w:b w:val="false"/>
          <w:color w:val="000000"/>
          <w:sz w:val="24"/>
        </w:rPr>
        <w:t>Any and all of the terms and provisions of the Credit Agreement and the Loan Documents shall, except as amended and modified hereby, remain in full force and effect and are hereby in all respects ratified and confirmed by the Borrower. The Borrower hereby agrees that the amendments and modifications herein contained shall in no manner affect or impair the liabilities, duties and obligations of the Borrower, the Parent or any other Credit Party under the Credit Agreement and the other Loan Documents or the Liens securing the payment and performance thereof, except as amended and modified hereby.</w:t>
      </w:r>
    </w:p>
    <w:p>
      <w:pPr>
        <w:pStyle w:val="TextBody"/>
        <w:bidi w:val="0"/>
        <w:spacing w:lineRule="auto" w:line="240" w:before="0" w:after="240"/>
        <w:ind w:left="0" w:right="0" w:firstLine="720"/>
        <w:jc w:val="both"/>
        <w:rPr/>
      </w:pPr>
      <w:r>
        <w:rPr>
          <w:rFonts w:ascii="Times New Roman;serif" w:hAnsi="Times New Roman;serif"/>
          <w:b/>
          <w:color w:val="000000"/>
          <w:sz w:val="24"/>
        </w:rPr>
        <w:t>7.2</w:t>
      </w:r>
      <w:r>
        <w:rPr>
          <w:rFonts w:ascii="Times New Roman;serif" w:hAnsi="Times New Roman;serif"/>
          <w:b/>
          <w:color w:val="000000"/>
          <w:sz w:val="24"/>
        </w:rPr>
        <w:t>Parties in Interest.</w:t>
      </w:r>
      <w:r>
        <w:rPr>
          <w:color w:val="000000"/>
        </w:rPr>
        <w:t xml:space="preserve"> </w:t>
      </w:r>
      <w:r>
        <w:rPr>
          <w:rFonts w:ascii="Times New Roman;serif" w:hAnsi="Times New Roman;serif"/>
          <w:b w:val="false"/>
          <w:color w:val="000000"/>
          <w:sz w:val="24"/>
        </w:rPr>
        <w:t>All of the terms and provisions of this Amendment shall bind and inure to the benefit of the parties hereto and their respective successors and assigns.</w:t>
      </w:r>
    </w:p>
    <w:p>
      <w:pPr>
        <w:pStyle w:val="TextBody"/>
        <w:bidi w:val="0"/>
        <w:spacing w:before="0" w:after="24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31800"/>
                <wp:effectExtent l="0" t="0" r="0" b="0"/>
                <wp:wrapNone/>
                <wp:docPr id="8" name="Frame8"/>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Page 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7.3</w:t>
      </w:r>
      <w:r>
        <w:rPr>
          <w:rFonts w:ascii="Times New Roman;serif" w:hAnsi="Times New Roman;serif"/>
          <w:b/>
          <w:color w:val="000000"/>
          <w:sz w:val="24"/>
        </w:rPr>
        <w:t>Further Assurances</w:t>
      </w:r>
      <w:r>
        <w:rPr>
          <w:rFonts w:ascii="Times New Roman;serif" w:hAnsi="Times New Roman;serif"/>
          <w:b w:val="false"/>
          <w:color w:val="000000"/>
          <w:sz w:val="24"/>
        </w:rPr>
        <w:t>. The Borrower covenants and agrees from time to time, as and when reasonably requested by Administrative Agent or the Lenders, to execute and deliver or cause to be executed or delivered, all such documents, instruments and agreements and to take or cause to be taken such further or other action as Administrative Agent or the Lenders may reasonably deem necessary or desirable in order to carry out the intent and purposes of this Amendment.</w:t>
      </w:r>
    </w:p>
    <w:p>
      <w:pPr>
        <w:pStyle w:val="TextBody"/>
        <w:bidi w:val="0"/>
        <w:spacing w:lineRule="auto" w:line="240" w:before="0" w:after="240"/>
        <w:ind w:left="0" w:right="0" w:firstLine="720"/>
        <w:jc w:val="both"/>
        <w:rPr/>
      </w:pPr>
      <w:r>
        <w:rPr>
          <w:rFonts w:ascii="Times New Roman;serif" w:hAnsi="Times New Roman;serif"/>
          <w:b/>
          <w:color w:val="000000"/>
          <w:sz w:val="24"/>
        </w:rPr>
        <w:t>7.4</w:t>
      </w:r>
      <w:r>
        <w:rPr>
          <w:rFonts w:ascii="Times New Roman;serif" w:hAnsi="Times New Roman;serif"/>
          <w:b/>
          <w:color w:val="000000"/>
          <w:sz w:val="24"/>
        </w:rPr>
        <w:t>Legal Expenses.</w:t>
      </w:r>
      <w:r>
        <w:rPr>
          <w:color w:val="000000"/>
        </w:rPr>
        <w:t xml:space="preserve"> </w:t>
      </w:r>
      <w:r>
        <w:rPr>
          <w:rFonts w:ascii="Times New Roman;serif" w:hAnsi="Times New Roman;serif"/>
          <w:b w:val="false"/>
          <w:color w:val="000000"/>
          <w:sz w:val="24"/>
        </w:rPr>
        <w:t>The Borrower hereby agrees to pay all reasonable and documented out-of-pocket fees and expenses of special counsel to Administrative Agent incurred by Administrative Agent in connection with the preparation, negotiation and execution of this Amendment and all related documents.</w:t>
      </w:r>
    </w:p>
    <w:p>
      <w:pPr>
        <w:pStyle w:val="TextBody"/>
        <w:bidi w:val="0"/>
        <w:spacing w:lineRule="auto" w:line="240" w:before="0" w:after="240"/>
        <w:ind w:left="0" w:right="0" w:firstLine="720"/>
        <w:jc w:val="both"/>
        <w:rPr/>
      </w:pPr>
      <w:r>
        <w:rPr>
          <w:rFonts w:ascii="Times New Roman;serif" w:hAnsi="Times New Roman;serif"/>
          <w:b/>
          <w:color w:val="000000"/>
          <w:sz w:val="24"/>
        </w:rPr>
        <w:t>7.5</w:t>
      </w:r>
      <w:r>
        <w:rPr>
          <w:rFonts w:ascii="Times New Roman;serif" w:hAnsi="Times New Roman;serif"/>
          <w:b/>
          <w:color w:val="000000"/>
          <w:sz w:val="24"/>
        </w:rPr>
        <w:t>Counterparts.</w:t>
      </w:r>
      <w:r>
        <w:rPr>
          <w:color w:val="000000"/>
        </w:rPr>
        <w:t xml:space="preserve"> </w:t>
      </w:r>
      <w:r>
        <w:rPr>
          <w:rFonts w:ascii="Times New Roman;serif" w:hAnsi="Times New Roman;serif"/>
          <w:b w:val="false"/>
          <w:color w:val="000000"/>
          <w:sz w:val="24"/>
        </w:rPr>
        <w:t>This Amendment may be executed in one or more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Delivery of photocopies of the signature pages to this Amendment by facsimile or electronic mail shall be effective as delivery of manually executed counterparts of this Amendment.</w:t>
      </w:r>
    </w:p>
    <w:p>
      <w:pPr>
        <w:pStyle w:val="TextBody"/>
        <w:bidi w:val="0"/>
        <w:spacing w:lineRule="auto" w:line="240" w:before="0" w:after="240"/>
        <w:ind w:left="0" w:right="0" w:firstLine="720"/>
        <w:jc w:val="both"/>
        <w:rPr/>
      </w:pPr>
      <w:r>
        <w:rPr>
          <w:rFonts w:ascii="Times New Roman;serif" w:hAnsi="Times New Roman;serif"/>
          <w:b/>
          <w:color w:val="000000"/>
          <w:sz w:val="24"/>
        </w:rPr>
        <w:t>7.6</w:t>
      </w:r>
      <w:r>
        <w:rPr>
          <w:rFonts w:ascii="Times New Roman;serif" w:hAnsi="Times New Roman;serif"/>
          <w:b/>
          <w:color w:val="000000"/>
          <w:sz w:val="24"/>
        </w:rPr>
        <w:t>Complete Agreement.</w:t>
      </w:r>
      <w:r>
        <w:rPr>
          <w:color w:val="000000"/>
        </w:rPr>
        <w:t xml:space="preserve"> </w:t>
      </w:r>
      <w:r>
        <w:rPr>
          <w:rFonts w:ascii="Times New Roman;serif" w:hAnsi="Times New Roman;serif"/>
          <w:b w:val="false"/>
          <w:color w:val="000000"/>
          <w:sz w:val="24"/>
        </w:rPr>
        <w:t>THIS AMENDMENT, THE CREDIT AGREEMENT, AND THE OTHER LOAN DOCUMENTS REPRESENT THE FINAL AGREEMENT BETWEEN THE PARTIES AND MAY NOT BE CONTRADICTED BY EVIDENCE OF PRIOR, CONTEMPORANEOUS OR ORAL AGREEMENTS OF THE PARTIES. THERE ARE NO UNWRITTEN ORAL AGREEMENTS BETWEEN THE PARTIES.</w:t>
      </w:r>
    </w:p>
    <w:p>
      <w:pPr>
        <w:pStyle w:val="TextBody"/>
        <w:bidi w:val="0"/>
        <w:spacing w:lineRule="auto" w:line="240" w:before="0" w:after="240"/>
        <w:ind w:left="0" w:right="0" w:firstLine="720"/>
        <w:jc w:val="both"/>
        <w:rPr/>
      </w:pPr>
      <w:r>
        <w:rPr>
          <w:rFonts w:ascii="Times New Roman;serif" w:hAnsi="Times New Roman;serif"/>
          <w:b/>
          <w:color w:val="000000"/>
          <w:sz w:val="24"/>
        </w:rPr>
        <w:t>7.7</w:t>
      </w:r>
      <w:r>
        <w:rPr>
          <w:rFonts w:ascii="Times New Roman;serif" w:hAnsi="Times New Roman;serif"/>
          <w:b/>
          <w:color w:val="000000"/>
          <w:sz w:val="24"/>
        </w:rPr>
        <w:t>Headings.</w:t>
      </w:r>
      <w:r>
        <w:rPr>
          <w:color w:val="000000"/>
        </w:rPr>
        <w:t xml:space="preserve"> </w:t>
      </w:r>
      <w:r>
        <w:rPr>
          <w:rFonts w:ascii="Times New Roman;serif" w:hAnsi="Times New Roman;serif"/>
          <w:b w:val="false"/>
          <w:color w:val="000000"/>
          <w:sz w:val="24"/>
        </w:rPr>
        <w:t>The headings, captions and arrangements used in this Amendment are, unless specified otherwise, for convenience only and shall not be deemed to limit, amplify or modify the terms of this Amendment, nor affect the meaning thereof.</w:t>
      </w:r>
    </w:p>
    <w:p>
      <w:pPr>
        <w:pStyle w:val="TextBody"/>
        <w:bidi w:val="0"/>
        <w:spacing w:lineRule="auto" w:line="240" w:before="0" w:after="240"/>
        <w:ind w:left="0" w:right="0" w:firstLine="720"/>
        <w:jc w:val="both"/>
        <w:rPr/>
      </w:pPr>
      <w:r>
        <w:rPr>
          <w:rFonts w:ascii="Times New Roman;serif" w:hAnsi="Times New Roman;serif"/>
          <w:b/>
          <w:color w:val="000000"/>
          <w:sz w:val="24"/>
        </w:rPr>
        <w:t>7.8</w:t>
      </w:r>
      <w:r>
        <w:rPr>
          <w:rFonts w:ascii="Times New Roman;serif" w:hAnsi="Times New Roman;serif"/>
          <w:b/>
          <w:color w:val="000000"/>
          <w:sz w:val="24"/>
        </w:rPr>
        <w:t>Governing Law.</w:t>
      </w:r>
      <w:r>
        <w:rPr>
          <w:color w:val="000000"/>
        </w:rPr>
        <w:t xml:space="preserve"> </w:t>
      </w:r>
      <w:r>
        <w:rPr>
          <w:rFonts w:ascii="Times New Roman;serif" w:hAnsi="Times New Roman;serif"/>
          <w:b w:val="false"/>
          <w:color w:val="000000"/>
          <w:sz w:val="24"/>
        </w:rPr>
        <w:t>This Amendment shall be construed in accordance with and governed by the laws of the State of Texas.</w:t>
      </w:r>
    </w:p>
    <w:p>
      <w:pPr>
        <w:pStyle w:val="TextBody"/>
        <w:bidi w:val="0"/>
        <w:spacing w:lineRule="auto" w:line="240" w:before="0" w:after="240"/>
        <w:ind w:left="0" w:right="0" w:firstLine="720"/>
        <w:jc w:val="both"/>
        <w:rPr/>
      </w:pPr>
      <w:r>
        <w:rPr>
          <w:rFonts w:ascii="Times New Roman;serif" w:hAnsi="Times New Roman;serif"/>
          <w:b/>
          <w:color w:val="000000"/>
          <w:sz w:val="24"/>
        </w:rPr>
        <w:t>7.9</w:t>
      </w:r>
      <w:r>
        <w:rPr>
          <w:rFonts w:ascii="Times New Roman;serif" w:hAnsi="Times New Roman;serif"/>
          <w:b/>
          <w:color w:val="000000"/>
          <w:sz w:val="24"/>
        </w:rPr>
        <w:t>Severability.</w:t>
      </w:r>
      <w:r>
        <w:rPr>
          <w:color w:val="000000"/>
        </w:rPr>
        <w:t xml:space="preserve"> </w:t>
      </w:r>
      <w:r>
        <w:rPr>
          <w:rFonts w:ascii="Times New Roman;serif" w:hAnsi="Times New Roman;serif"/>
          <w:b w:val="false"/>
          <w:color w:val="000000"/>
          <w:sz w:val="24"/>
        </w:rPr>
        <w:t>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lineRule="auto" w:line="240" w:before="0" w:after="240"/>
        <w:ind w:left="0" w:right="0" w:firstLine="720"/>
        <w:jc w:val="both"/>
        <w:rPr/>
      </w:pPr>
      <w:r>
        <w:rPr>
          <w:rFonts w:ascii="Times New Roman;serif" w:hAnsi="Times New Roman;serif"/>
          <w:b/>
          <w:color w:val="000000"/>
          <w:sz w:val="24"/>
        </w:rPr>
        <w:t>7.10</w:t>
      </w:r>
      <w:r>
        <w:rPr>
          <w:rFonts w:ascii="Times New Roman;serif" w:hAnsi="Times New Roman;serif"/>
          <w:b/>
          <w:color w:val="000000"/>
          <w:sz w:val="24"/>
        </w:rPr>
        <w:t>Reference to and Effect on the Loan Documents.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This Amendment shall be deemed to constitute a Loan Document for all purposes and in all respects. Each reference in the Credit Agreement to “this Agreement,” “hereunder,” “hereof,” “herein” or words of like import, and each reference in the Credit Agreement or in any other Loan Document, or other agreements, documents or other instruments executed and delivered pursuant to the Credit Agreement to the “Credit Agreement”, shall mean and be a reference to the Credit Agreement as amended by this Amendment.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execution, delivery and effectiveness of this Amendment shall not operate as a waiver of any right, power or remedy of any Lender or Administrative Agent under any of the </w:t>
      </w:r>
    </w:p>
    <w:p>
      <w:pPr>
        <w:pStyle w:val="TextBody"/>
        <w:bidi w:val="0"/>
        <w:spacing w:before="0" w:after="24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31800"/>
                <wp:effectExtent l="0" t="0" r="0" b="0"/>
                <wp:wrapNone/>
                <wp:docPr id="9" name="Frame9"/>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Page 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Loan Documents, nor, except as expressly provided herein, constitute a waiver of any provision of any of the Loan Documents.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31800"/>
                <wp:effectExtent l="0" t="0" r="0" b="0"/>
                <wp:wrapNone/>
                <wp:docPr id="10" name="Frame10"/>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Page 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the parties have caused this Amendment to be duly executed by their respective authorized officers to be effective as of the date first above written.</w:t>
      </w:r>
    </w:p>
    <w:p>
      <w:pPr>
        <w:pStyle w:val="TextBody"/>
        <w:bidi w:val="0"/>
        <w:spacing w:lineRule="auto" w:line="288" w:before="0" w:after="0"/>
        <w:jc w:val="left"/>
        <w:rPr/>
      </w:pPr>
      <w:r>
        <w:rPr>
          <w:rFonts w:ascii="Times New Roman;serif" w:hAnsi="Times New Roman;serif"/>
          <w:b/>
          <w:color w:val="000000"/>
          <w:sz w:val="24"/>
          <w:u w:val="single"/>
        </w:rPr>
        <w:t>BORROWER</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MRC ENERGY COMPANY</w:t>
      </w:r>
      <w:r>
        <w:rPr>
          <w:rFonts w:ascii="Times New Roman;serif" w:hAnsi="Times New Roman;serif"/>
          <w:b w:val="false"/>
          <w:color w:val="000000"/>
          <w:sz w:val="24"/>
        </w:rPr>
        <w:t>,</w:t>
        <w:br/>
        <w:t>as Borrower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Bryan A. Erman            </w:t>
      </w:r>
      <w:r>
        <w:rPr>
          <w:color w:val="000000"/>
        </w:rPr>
        <w:t xml:space="preserve"> </w:t>
      </w:r>
      <w:r>
        <w:rPr>
          <w:rFonts w:ascii="Times New Roman;serif" w:hAnsi="Times New Roman;serif"/>
          <w:b w:val="false"/>
          <w:color w:val="000000"/>
          <w:sz w:val="24"/>
        </w:rPr>
        <w:br/>
        <w:t>Name: Bryan A. Erman</w:t>
        <w:br/>
        <w:t>Title: Co-President, Chief Legal Officer, Head of</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M&amp;A and Corporate Secretary</w:t>
      </w:r>
    </w:p>
    <w:p>
      <w:pPr>
        <w:pStyle w:val="TextBody"/>
        <w:bidi w:val="0"/>
        <w:spacing w:before="0" w:after="240"/>
        <w:ind w:left="0" w:right="0" w:firstLine="4770"/>
        <w:jc w:val="right"/>
        <w:rPr/>
      </w:pPr>
      <w:r>
        <w:rPr/>
      </w:r>
    </w:p>
    <w:p>
      <w:pPr>
        <w:pStyle w:val="TextBody"/>
        <w:bidi w:val="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6540"/>
                <wp:effectExtent l="0" t="0" r="0" b="0"/>
                <wp:wrapNone/>
                <wp:docPr id="11" name="Frame1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u w:val="single"/>
        </w:rPr>
        <w:t>ADMINISTRATIVE AGENT</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PNC BANK, NATIONAL ASSOCIATION</w:t>
      </w:r>
      <w:r>
        <w:rPr>
          <w:rFonts w:ascii="Times New Roman;serif" w:hAnsi="Times New Roman;serif"/>
          <w:b w:val="false"/>
          <w:color w:val="000000"/>
          <w:sz w:val="24"/>
        </w:rPr>
        <w:t>,</w:t>
      </w:r>
      <w:r>
        <w:rPr>
          <w:rFonts w:ascii="Times New Roman;serif" w:hAnsi="Times New Roman;serif"/>
          <w:b/>
          <w:color w:val="000000"/>
          <w:sz w:val="24"/>
          <w:u w:val="single"/>
        </w:rPr>
        <w:br/>
      </w:r>
      <w:r>
        <w:rPr>
          <w:rFonts w:ascii="Times New Roman;serif" w:hAnsi="Times New Roman;serif"/>
          <w:b w:val="false"/>
          <w:color w:val="000000"/>
          <w:sz w:val="24"/>
        </w:rPr>
        <w:t>as Administrative Agent, a Lender and an Issuing Lender</w:t>
      </w:r>
    </w:p>
    <w:p>
      <w:pPr>
        <w:pStyle w:val="TextBody"/>
        <w:bidi w:val="0"/>
        <w:spacing w:lineRule="auto" w:line="288" w:before="0" w:after="0"/>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Denise Davis            </w:t>
      </w:r>
      <w:r>
        <w:rPr>
          <w:rFonts w:ascii="Times New Roman;serif" w:hAnsi="Times New Roman;serif"/>
          <w:b w:val="false"/>
          <w:color w:val="000000"/>
          <w:sz w:val="24"/>
        </w:rPr>
        <w:br/>
        <w:t>Name:    Denise Davis</w:t>
        <w:br/>
        <w:t>Title:    Managing Director</w:t>
      </w:r>
    </w:p>
    <w:p>
      <w:pPr>
        <w:pStyle w:val="TextBody"/>
        <w:bidi w:val="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6540"/>
                <wp:effectExtent l="0" t="0" r="0" b="0"/>
                <wp:wrapNone/>
                <wp:docPr id="12" name="Frame1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u w:val="single"/>
        </w:rPr>
        <w:t>LENDERS</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BANK OF AMERICA, N.A.</w:t>
      </w:r>
      <w:r>
        <w:rPr>
          <w:rFonts w:ascii="Times New Roman;serif" w:hAnsi="Times New Roman;serif"/>
          <w:b w:val="false"/>
          <w:color w:val="000000"/>
          <w:sz w:val="24"/>
        </w:rPr>
        <w:t>,</w:t>
        <w:br/>
        <w:t>as a Lender and an Issuing Lender</w:t>
      </w:r>
    </w:p>
    <w:p>
      <w:pPr>
        <w:pStyle w:val="TextBody"/>
        <w:bidi w:val="0"/>
        <w:spacing w:lineRule="auto" w:line="288" w:before="0" w:after="0"/>
        <w:jc w:val="both"/>
        <w:rPr/>
      </w:pPr>
      <w:r>
        <w:rPr>
          <w:rFonts w:ascii="Times New Roman;serif" w:hAnsi="Times New Roman;serif"/>
          <w:b w:val="false"/>
          <w:color w:val="000000"/>
          <w:sz w:val="24"/>
        </w:rPr>
        <w:br/>
        <w:t xml:space="preserve">By: </w:t>
      </w:r>
      <w:r>
        <w:rPr>
          <w:rFonts w:ascii="Times New Roman;serif" w:hAnsi="Times New Roman;serif"/>
          <w:b w:val="false"/>
          <w:color w:val="000000"/>
          <w:sz w:val="24"/>
          <w:u w:val="single"/>
        </w:rPr>
        <w:t>/s/ Salman Samar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Salman Samar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24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6540"/>
                <wp:effectExtent l="0" t="0" r="0" b="0"/>
                <wp:wrapNone/>
                <wp:docPr id="13" name="Frame1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KEYBANK NATIONAL ASSOCIATION</w:t>
      </w:r>
      <w:r>
        <w:rPr>
          <w:rFonts w:ascii="Times New Roman;serif" w:hAnsi="Times New Roman;serif"/>
          <w:b w:val="false"/>
          <w:color w:val="000000"/>
          <w:sz w:val="24"/>
        </w:rPr>
        <w:t>,</w:t>
        <w:br/>
        <w:t>as a Lender and an Issuing Lender</w:t>
      </w:r>
    </w:p>
    <w:p>
      <w:pPr>
        <w:pStyle w:val="TextBody"/>
        <w:bidi w:val="0"/>
        <w:spacing w:lineRule="auto" w:line="288" w:before="0" w:after="360"/>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Lesley Appou            </w:t>
      </w:r>
      <w:r>
        <w:rPr>
          <w:rFonts w:ascii="Times New Roman;serif" w:hAnsi="Times New Roman;serif"/>
          <w:b w:val="false"/>
          <w:color w:val="000000"/>
          <w:sz w:val="24"/>
        </w:rPr>
        <w:br/>
        <w:t>Name:    Lesley Appou</w:t>
        <w:br/>
        <w:t xml:space="preserve">Title:    Vice President </w:t>
      </w:r>
    </w:p>
    <w:p>
      <w:pPr>
        <w:pStyle w:val="TextBody"/>
        <w:bidi w:val="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56540"/>
                <wp:effectExtent l="0" t="0" r="0" b="0"/>
                <wp:wrapNone/>
                <wp:docPr id="14" name="Frame1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JPMORGAN CHASE BANK, N.A.</w:t>
      </w:r>
      <w:r>
        <w:rPr>
          <w:rFonts w:ascii="Times New Roman;serif" w:hAnsi="Times New Roman;serif"/>
          <w:b w:val="false"/>
          <w:color w:val="000000"/>
          <w:sz w:val="24"/>
        </w:rPr>
        <w:t>,</w:t>
        <w:br/>
        <w:t>as a Lender and an Issuing Lender</w:t>
      </w:r>
    </w:p>
    <w:p>
      <w:pPr>
        <w:pStyle w:val="TextBody"/>
        <w:bidi w:val="0"/>
        <w:spacing w:lineRule="auto" w:line="288" w:before="0" w:after="360"/>
        <w:jc w:val="left"/>
        <w:rPr/>
      </w:pPr>
      <w:r>
        <w:rPr>
          <w:rFonts w:ascii="Times New Roman;serif" w:hAnsi="Times New Roman;serif"/>
          <w:b w:val="false"/>
          <w:color w:val="000000"/>
          <w:sz w:val="24"/>
        </w:rPr>
        <w:br/>
        <w:br/>
        <w:t>By:    </w:t>
      </w:r>
      <w:r>
        <w:rPr>
          <w:rFonts w:ascii="Times New Roman;serif" w:hAnsi="Times New Roman;serif"/>
          <w:b w:val="false"/>
          <w:color w:val="000000"/>
          <w:sz w:val="24"/>
          <w:u w:val="single"/>
        </w:rPr>
        <w:t>/s/ Kyle Gruen                </w:t>
      </w:r>
      <w:r>
        <w:rPr>
          <w:rFonts w:ascii="Times New Roman;serif" w:hAnsi="Times New Roman;serif"/>
          <w:b w:val="false"/>
          <w:color w:val="000000"/>
          <w:sz w:val="24"/>
        </w:rPr>
        <w:br/>
        <w:t>Name:    Kyle Gruen</w:t>
        <w:br/>
        <w:t xml:space="preserve">Title:    Authorized Officer </w:t>
      </w:r>
    </w:p>
    <w:p>
      <w:pPr>
        <w:pStyle w:val="TextBody"/>
        <w:bidi w:val="0"/>
        <w:spacing w:before="0" w:after="240"/>
        <w:jc w:val="both"/>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56540"/>
                <wp:effectExtent l="0" t="0" r="0" b="0"/>
                <wp:wrapNone/>
                <wp:docPr id="15" name="Frame1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TRUIST BANK</w:t>
      </w:r>
      <w:r>
        <w:rPr>
          <w:rFonts w:ascii="Times New Roman;serif" w:hAnsi="Times New Roman;serif"/>
          <w:b w:val="false"/>
          <w:color w:val="000000"/>
          <w:sz w:val="24"/>
        </w:rPr>
        <w:t>,</w:t>
        <w:br/>
        <w:t>as a Lender and an Issuing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Farhan Iqbal            </w:t>
      </w:r>
      <w:r>
        <w:rPr>
          <w:color w:val="000000"/>
        </w:rPr>
        <w:t xml:space="preserve"> </w:t>
      </w:r>
      <w:r>
        <w:rPr>
          <w:rFonts w:ascii="Times New Roman;serif" w:hAnsi="Times New Roman;serif"/>
          <w:b w:val="false"/>
          <w:color w:val="000000"/>
          <w:sz w:val="24"/>
        </w:rPr>
        <w:br/>
        <w:t>Name:    Farhan Iqbal</w:t>
        <w:br/>
        <w:t>Title:    Director</w:t>
      </w:r>
    </w:p>
    <w:p>
      <w:pPr>
        <w:pStyle w:val="TextBody"/>
        <w:bidi w:val="0"/>
        <w:spacing w:before="0" w:after="0"/>
        <w:jc w:val="both"/>
        <w:rPr/>
      </w:pPr>
      <w:r>
        <w:rPr/>
      </w:r>
    </w:p>
    <w:p>
      <w:pPr>
        <w:pStyle w:val="TextBody"/>
        <w:bidi w:val="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56540"/>
                <wp:effectExtent l="0" t="0" r="0" b="0"/>
                <wp:wrapNone/>
                <wp:docPr id="16" name="Frame1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WELLS FARGO BANK, NATIONAL ASSOCIATION</w:t>
      </w:r>
      <w:r>
        <w:rPr>
          <w:rFonts w:ascii="Times New Roman;serif" w:hAnsi="Times New Roman;serif"/>
          <w:b w:val="false"/>
          <w:color w:val="000000"/>
          <w:sz w:val="24"/>
        </w:rPr>
        <w:t>,</w:t>
        <w:br/>
        <w:t>as a Lender and an Issuing Lender</w:t>
      </w:r>
    </w:p>
    <w:p>
      <w:pPr>
        <w:pStyle w:val="TextBody"/>
        <w:bidi w:val="0"/>
        <w:spacing w:lineRule="auto" w:line="288"/>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Michael Real            </w:t>
      </w:r>
      <w:r>
        <w:rPr>
          <w:color w:val="000000"/>
        </w:rPr>
        <w:t xml:space="preserve"> </w:t>
      </w:r>
      <w:r>
        <w:rPr>
          <w:rFonts w:ascii="Times New Roman;serif" w:hAnsi="Times New Roman;serif"/>
          <w:b w:val="false"/>
          <w:color w:val="000000"/>
          <w:sz w:val="24"/>
        </w:rPr>
        <w:br/>
        <w:t>Name:    Michael Real</w:t>
        <w:br/>
        <w:t>Title:    Managing Director</w:t>
      </w:r>
    </w:p>
    <w:p>
      <w:pPr>
        <w:pStyle w:val="TextBody"/>
        <w:bidi w:val="0"/>
        <w:spacing w:before="0" w:after="24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56540"/>
                <wp:effectExtent l="0" t="0" r="0" b="0"/>
                <wp:wrapNone/>
                <wp:docPr id="17" name="Frame1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CAPITAL ONE, N.A.</w:t>
      </w:r>
      <w:r>
        <w:rPr>
          <w:rFonts w:ascii="Times New Roman;serif" w:hAnsi="Times New Roman;serif"/>
          <w:b w:val="false"/>
          <w:color w:val="000000"/>
          <w:sz w:val="24"/>
        </w:rPr>
        <w:t>,</w:t>
        <w:br/>
        <w:t>as a Lender</w:t>
      </w:r>
    </w:p>
    <w:p>
      <w:pPr>
        <w:pStyle w:val="TextBody"/>
        <w:bidi w:val="0"/>
        <w:spacing w:lineRule="auto" w:line="288" w:before="0" w:after="360"/>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David Lee Garza            </w:t>
      </w:r>
      <w:r>
        <w:rPr>
          <w:color w:val="000000"/>
        </w:rPr>
        <w:t xml:space="preserve"> </w:t>
      </w:r>
      <w:r>
        <w:rPr>
          <w:rFonts w:ascii="Times New Roman;serif" w:hAnsi="Times New Roman;serif"/>
          <w:b w:val="false"/>
          <w:color w:val="000000"/>
          <w:sz w:val="24"/>
        </w:rPr>
        <w:br/>
        <w:t>Name:    David Lee Garza</w:t>
        <w:br/>
        <w:t>Title:    Director</w:t>
      </w:r>
    </w:p>
    <w:p>
      <w:pPr>
        <w:pStyle w:val="TextBody"/>
        <w:bidi w:val="0"/>
        <w:spacing w:before="0" w:after="0"/>
        <w:jc w:val="left"/>
        <w:rPr/>
      </w:pPr>
      <w:r>
        <w:rPr/>
      </w:r>
    </w:p>
    <w:p>
      <w:pPr>
        <w:pStyle w:val="TextBody"/>
        <w:bidi w:val="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56540"/>
                <wp:effectExtent l="0" t="0" r="0" b="0"/>
                <wp:wrapNone/>
                <wp:docPr id="18" name="Frame1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CITIZENS BANK, N.A.</w:t>
      </w:r>
      <w:r>
        <w:rPr>
          <w:rFonts w:ascii="Times New Roman;serif" w:hAnsi="Times New Roman;serif"/>
          <w:b w:val="false"/>
          <w:color w:val="000000"/>
          <w:sz w:val="24"/>
        </w:rPr>
        <w:t>,</w:t>
        <w:br/>
        <w:t>as a Lender</w:t>
      </w:r>
    </w:p>
    <w:p>
      <w:pPr>
        <w:pStyle w:val="TextBody"/>
        <w:bidi w:val="0"/>
        <w:spacing w:lineRule="auto" w:line="288" w:before="0" w:after="360"/>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Hernando Garcia            </w:t>
      </w:r>
      <w:r>
        <w:rPr>
          <w:color w:val="000000"/>
        </w:rPr>
        <w:t xml:space="preserve"> </w:t>
      </w:r>
      <w:r>
        <w:rPr>
          <w:rFonts w:ascii="Times New Roman;serif" w:hAnsi="Times New Roman;serif"/>
          <w:b w:val="false"/>
          <w:color w:val="000000"/>
          <w:sz w:val="24"/>
        </w:rPr>
        <w:br/>
        <w:t xml:space="preserve">Name:    Hernando Garcia </w:t>
        <w:br/>
        <w:t>Title:    Managing Director</w:t>
      </w:r>
    </w:p>
    <w:p>
      <w:pPr>
        <w:pStyle w:val="TextBody"/>
        <w:bidi w:val="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56540"/>
                <wp:effectExtent l="0" t="0" r="0" b="0"/>
                <wp:wrapNone/>
                <wp:docPr id="19" name="Frame1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MIZUHO BANK, LTD.</w:t>
      </w:r>
      <w:r>
        <w:rPr>
          <w:rFonts w:ascii="Times New Roman;serif" w:hAnsi="Times New Roman;serif"/>
          <w:b w:val="false"/>
          <w:color w:val="000000"/>
          <w:sz w:val="24"/>
        </w:rPr>
        <w:t>,</w:t>
        <w:br/>
        <w:t>as a Lender</w:t>
      </w:r>
    </w:p>
    <w:p>
      <w:pPr>
        <w:pStyle w:val="TextBody"/>
        <w:bidi w:val="0"/>
        <w:spacing w:lineRule="auto" w:line="288"/>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Edward Sacks            </w:t>
      </w:r>
      <w:r>
        <w:rPr>
          <w:color w:val="000000"/>
        </w:rPr>
        <w:t xml:space="preserve"> </w:t>
      </w:r>
      <w:r>
        <w:rPr>
          <w:rFonts w:ascii="Times New Roman;serif" w:hAnsi="Times New Roman;serif"/>
          <w:b w:val="false"/>
          <w:color w:val="000000"/>
          <w:sz w:val="24"/>
        </w:rPr>
        <w:br/>
        <w:t>Name:    Edward Sacks</w:t>
        <w:br/>
        <w:t>Title:    Managing Director</w:t>
      </w:r>
    </w:p>
    <w:p>
      <w:pPr>
        <w:pStyle w:val="TextBody"/>
        <w:bidi w:val="0"/>
        <w:spacing w:before="0" w:after="24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56540"/>
                <wp:effectExtent l="0" t="0" r="0" b="0"/>
                <wp:wrapNone/>
                <wp:docPr id="20" name="Frame2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MUFG BANK, LTD.</w:t>
      </w:r>
      <w:r>
        <w:rPr>
          <w:rFonts w:ascii="Times New Roman;serif" w:hAnsi="Times New Roman;serif"/>
          <w:b w:val="false"/>
          <w:color w:val="000000"/>
          <w:sz w:val="24"/>
        </w:rPr>
        <w:t>,</w:t>
        <w:br/>
        <w:t>as a Lender</w:t>
      </w:r>
    </w:p>
    <w:p>
      <w:pPr>
        <w:pStyle w:val="TextBody"/>
        <w:bidi w:val="0"/>
        <w:spacing w:lineRule="auto" w:line="288" w:before="0" w:after="360"/>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Traci Bankston            </w:t>
      </w:r>
      <w:r>
        <w:rPr>
          <w:rFonts w:ascii="Times New Roman;serif" w:hAnsi="Times New Roman;serif"/>
          <w:b w:val="false"/>
          <w:color w:val="000000"/>
          <w:sz w:val="24"/>
        </w:rPr>
        <w:br/>
        <w:t>Name:    Traci Bankston</w:t>
        <w:br/>
        <w:t>Title:    Authorized Signatory</w:t>
      </w:r>
    </w:p>
    <w:p>
      <w:pPr>
        <w:pStyle w:val="TextBody"/>
        <w:bidi w:val="0"/>
        <w:spacing w:before="0" w:after="240"/>
        <w:jc w:val="both"/>
        <w:rPr/>
      </w:pPr>
      <w:r>
        <w:rPr/>
      </w:r>
    </w:p>
    <w:p>
      <w:pPr>
        <w:pStyle w:val="TextBody"/>
        <w:bidi w:val="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56540"/>
                <wp:effectExtent l="0" t="0" r="0" b="0"/>
                <wp:wrapNone/>
                <wp:docPr id="21" name="Frame2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ROYAL BANK OF CANADA</w:t>
      </w:r>
      <w:r>
        <w:rPr>
          <w:rFonts w:ascii="Times New Roman;serif" w:hAnsi="Times New Roman;serif"/>
          <w:b w:val="false"/>
          <w:color w:val="000000"/>
          <w:sz w:val="24"/>
        </w:rPr>
        <w:t>,</w:t>
      </w:r>
      <w:r>
        <w:rPr>
          <w:rFonts w:ascii="Times New Roman;serif" w:hAnsi="Times New Roman;serif"/>
          <w:b/>
          <w:color w:val="000000"/>
          <w:sz w:val="24"/>
          <w:u w:val="single"/>
        </w:rPr>
        <w:br/>
      </w:r>
      <w:r>
        <w:rPr>
          <w:rFonts w:ascii="Times New Roman;serif" w:hAnsi="Times New Roman;serif"/>
          <w:b w:val="false"/>
          <w:color w:val="000000"/>
          <w:sz w:val="24"/>
        </w:rPr>
        <w:t>as a Lender</w:t>
      </w:r>
    </w:p>
    <w:p>
      <w:pPr>
        <w:pStyle w:val="TextBody"/>
        <w:bidi w:val="0"/>
        <w:spacing w:lineRule="auto" w:line="288" w:before="0" w:after="0"/>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Michael Sharp            </w:t>
      </w:r>
      <w:r>
        <w:rPr>
          <w:rFonts w:ascii="Times New Roman;serif" w:hAnsi="Times New Roman;serif"/>
          <w:b w:val="false"/>
          <w:color w:val="000000"/>
          <w:sz w:val="24"/>
        </w:rPr>
        <w:br/>
        <w:t>Name:    Michael Sharp</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24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56540"/>
                <wp:effectExtent l="0" t="0" r="0" b="0"/>
                <wp:wrapNone/>
                <wp:docPr id="22" name="Frame2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THE BANK OF NOVA SCOTIA, HOUSTON BRANCH</w:t>
      </w:r>
      <w:r>
        <w:rPr>
          <w:rFonts w:ascii="Times New Roman;serif" w:hAnsi="Times New Roman;serif"/>
          <w:b w:val="false"/>
          <w:color w:val="000000"/>
          <w:sz w:val="24"/>
        </w:rPr>
        <w:t>,</w:t>
        <w:br/>
        <w:t>as a Lender</w:t>
      </w:r>
    </w:p>
    <w:p>
      <w:pPr>
        <w:pStyle w:val="TextBody"/>
        <w:bidi w:val="0"/>
        <w:spacing w:lineRule="auto" w:line="288"/>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Joe Lattanzi            </w:t>
      </w:r>
      <w:r>
        <w:rPr>
          <w:rFonts w:ascii="Times New Roman;serif" w:hAnsi="Times New Roman;serif"/>
          <w:b w:val="false"/>
          <w:color w:val="000000"/>
          <w:sz w:val="24"/>
        </w:rPr>
        <w:br/>
        <w:t>Name:    Joe Lattanzi</w:t>
        <w:br/>
        <w:t>Title:    Managing Director</w:t>
      </w:r>
    </w:p>
    <w:p>
      <w:pPr>
        <w:pStyle w:val="TextBody"/>
        <w:bidi w:val="0"/>
        <w:spacing w:before="0" w:after="24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56540"/>
                <wp:effectExtent l="0" t="0" r="0" b="0"/>
                <wp:wrapNone/>
                <wp:docPr id="23" name="Frame2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THE TORONTO-DOMINION BANK, NEW YORK BRANCH</w:t>
      </w:r>
      <w:r>
        <w:rPr>
          <w:rFonts w:ascii="Times New Roman;serif" w:hAnsi="Times New Roman;serif"/>
          <w:b w:val="false"/>
          <w:color w:val="000000"/>
          <w:sz w:val="24"/>
        </w:rPr>
        <w:t>,</w:t>
        <w:br/>
        <w:t>as a Lender</w:t>
      </w:r>
    </w:p>
    <w:p>
      <w:pPr>
        <w:pStyle w:val="TextBody"/>
        <w:bidi w:val="0"/>
        <w:spacing w:lineRule="auto" w:line="288" w:before="0" w:after="360"/>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Evans Swann            </w:t>
      </w:r>
      <w:r>
        <w:rPr>
          <w:rFonts w:ascii="Times New Roman;serif" w:hAnsi="Times New Roman;serif"/>
          <w:b w:val="false"/>
          <w:color w:val="000000"/>
          <w:sz w:val="24"/>
        </w:rPr>
        <w:br/>
        <w:t>Name:    Evans Swann</w:t>
        <w:br/>
        <w:t xml:space="preserve">Title:    Authorized Signatory </w:t>
      </w:r>
    </w:p>
    <w:p>
      <w:pPr>
        <w:pStyle w:val="TextBody"/>
        <w:bidi w:val="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56540"/>
                <wp:effectExtent l="0" t="0" r="0" b="0"/>
                <wp:wrapNone/>
                <wp:docPr id="24" name="Frame2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U.S. BANK NATIONAL ASSOCIATION</w:t>
      </w:r>
      <w:r>
        <w:rPr>
          <w:rFonts w:ascii="Times New Roman;serif" w:hAnsi="Times New Roman;serif"/>
          <w:b w:val="false"/>
          <w:color w:val="000000"/>
          <w:sz w:val="24"/>
        </w:rPr>
        <w:t>,</w:t>
        <w:br/>
        <w:t>as a Lender</w:t>
      </w:r>
    </w:p>
    <w:p>
      <w:pPr>
        <w:pStyle w:val="TextBody"/>
        <w:bidi w:val="0"/>
        <w:spacing w:lineRule="auto" w:line="288" w:before="0" w:after="360"/>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Elizabeth Johnson            </w:t>
      </w:r>
      <w:r>
        <w:rPr>
          <w:rFonts w:ascii="Times New Roman;serif" w:hAnsi="Times New Roman;serif"/>
          <w:b w:val="false"/>
          <w:color w:val="000000"/>
          <w:sz w:val="24"/>
        </w:rPr>
        <w:br/>
        <w:t>Name:    Elizabeth Johnson</w:t>
        <w:br/>
        <w:t xml:space="preserve">Title:    Senior Vice President </w:t>
      </w:r>
    </w:p>
    <w:p>
      <w:pPr>
        <w:pStyle w:val="TextBody"/>
        <w:bidi w:val="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56540"/>
                <wp:effectExtent l="0" t="0" r="0" b="0"/>
                <wp:wrapNone/>
                <wp:docPr id="25" name="Frame2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FIFTH THIRD BANK, N.A.</w:t>
      </w:r>
      <w:r>
        <w:rPr>
          <w:rFonts w:ascii="Times New Roman;serif" w:hAnsi="Times New Roman;serif"/>
          <w:b w:val="false"/>
          <w:color w:val="000000"/>
          <w:sz w:val="24"/>
        </w:rPr>
        <w:t xml:space="preserve">, </w:t>
      </w:r>
      <w:r>
        <w:rPr>
          <w:rFonts w:ascii="Times New Roman;serif" w:hAnsi="Times New Roman;serif"/>
          <w:b/>
          <w:color w:val="000000"/>
          <w:sz w:val="24"/>
        </w:rPr>
        <w:t>AS SUCCESSOR BY MERGER TO COMERICA BANK</w:t>
      </w:r>
      <w:r>
        <w:rPr>
          <w:rFonts w:ascii="Times New Roman;serif" w:hAnsi="Times New Roman;serif"/>
          <w:b w:val="false"/>
          <w:color w:val="000000"/>
          <w:sz w:val="24"/>
        </w:rPr>
        <w:b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Garrett Merrell            </w:t>
      </w:r>
      <w:r>
        <w:rPr>
          <w:rFonts w:ascii="Times New Roman;serif" w:hAnsi="Times New Roman;serif"/>
          <w:b w:val="false"/>
          <w:color w:val="000000"/>
          <w:sz w:val="24"/>
        </w:rPr>
        <w:br/>
        <w:t>Name:    Garrett Merrell</w:t>
        <w:br/>
        <w:t>Title:    Senior Vice President</w:t>
      </w:r>
    </w:p>
    <w:p>
      <w:pPr>
        <w:pStyle w:val="TextBody"/>
        <w:bidi w:val="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56540"/>
                <wp:effectExtent l="0" t="0" r="0" b="0"/>
                <wp:wrapNone/>
                <wp:docPr id="26" name="Frame2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BOKF, NA dba Bank of Texas</w:t>
      </w:r>
      <w:r>
        <w:rPr>
          <w:rFonts w:ascii="Times New Roman;serif" w:hAnsi="Times New Roman;serif"/>
          <w:b w:val="false"/>
          <w:color w:val="000000"/>
          <w:sz w:val="24"/>
        </w:rPr>
        <w:t>,</w:t>
        <w:br/>
        <w:t>as a Lender</w:t>
      </w:r>
    </w:p>
    <w:p>
      <w:pPr>
        <w:pStyle w:val="TextBody"/>
        <w:bidi w:val="0"/>
        <w:spacing w:lineRule="auto" w:line="288" w:before="0" w:after="360"/>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Drew Krittenbrink            </w:t>
      </w:r>
      <w:r>
        <w:rPr>
          <w:rFonts w:ascii="Times New Roman;serif" w:hAnsi="Times New Roman;serif"/>
          <w:b w:val="false"/>
          <w:color w:val="000000"/>
          <w:sz w:val="24"/>
        </w:rPr>
        <w:br/>
        <w:t>Name:    Drew Krittenbrink</w:t>
        <w:br/>
        <w:t>Title:    Vice President</w:t>
      </w:r>
    </w:p>
    <w:p>
      <w:pPr>
        <w:pStyle w:val="TextBody"/>
        <w:bidi w:val="0"/>
        <w:spacing w:before="0" w:after="283"/>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56540"/>
                <wp:effectExtent l="0" t="0" r="0" b="0"/>
                <wp:wrapNone/>
                <wp:docPr id="27" name="Frame2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FIRST HORIZON BANK</w:t>
      </w:r>
      <w:r>
        <w:rPr>
          <w:rFonts w:ascii="Times New Roman;serif" w:hAnsi="Times New Roman;serif"/>
          <w:b w:val="false"/>
          <w:color w:val="000000"/>
          <w:sz w:val="24"/>
        </w:rPr>
        <w:t>, a Tennessee State Bank, as a Lender</w:t>
      </w:r>
    </w:p>
    <w:p>
      <w:pPr>
        <w:pStyle w:val="TextBody"/>
        <w:bidi w:val="0"/>
        <w:spacing w:lineRule="auto" w:line="288"/>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Stacy Cartier            </w:t>
      </w:r>
      <w:r>
        <w:rPr>
          <w:rFonts w:ascii="Times New Roman;serif" w:hAnsi="Times New Roman;serif"/>
          <w:b w:val="false"/>
          <w:color w:val="000000"/>
          <w:sz w:val="24"/>
        </w:rPr>
        <w:br/>
        <w:t>Name:    Stacy Cartier</w:t>
        <w:br/>
        <w:t xml:space="preserve">Title: Senior Vice President </w:t>
      </w:r>
    </w:p>
    <w:p>
      <w:pPr>
        <w:pStyle w:val="TextBody"/>
        <w:bidi w:val="0"/>
        <w:spacing w:before="0" w:after="24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56540"/>
                <wp:effectExtent l="0" t="0" r="0" b="0"/>
                <wp:wrapNone/>
                <wp:docPr id="28" name="Frame2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ZIONS BANCORPORATION, N.A. dba Amegy Bank</w:t>
      </w:r>
      <w:r>
        <w:rPr>
          <w:rFonts w:ascii="Times New Roman;serif" w:hAnsi="Times New Roman;serif"/>
          <w:b w:val="false"/>
          <w:color w:val="000000"/>
          <w:sz w:val="24"/>
        </w:rPr>
        <w:t>,</w:t>
        <w:br/>
        <w:t>as a Lender</w:t>
      </w:r>
    </w:p>
    <w:p>
      <w:pPr>
        <w:pStyle w:val="TextBody"/>
        <w:bidi w:val="0"/>
        <w:spacing w:lineRule="auto" w:line="288" w:before="0" w:after="0"/>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Jill McSorley            </w:t>
      </w:r>
      <w:r>
        <w:rPr>
          <w:rFonts w:ascii="Times New Roman;serif" w:hAnsi="Times New Roman;serif"/>
          <w:b w:val="false"/>
          <w:color w:val="000000"/>
          <w:sz w:val="24"/>
        </w:rPr>
        <w:br/>
        <w:t>Name:    Jill McSorley</w:t>
        <w:br/>
        <w:t xml:space="preserve">Title: Senior Vice President – Amegy Bank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Division</w:t>
      </w:r>
    </w:p>
    <w:p>
      <w:pPr>
        <w:pStyle w:val="TextBody"/>
        <w:bidi w:val="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56540"/>
                <wp:effectExtent l="0" t="0" r="0" b="0"/>
                <wp:wrapNone/>
                <wp:docPr id="29" name="Frame2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CATHAY BANK</w:t>
      </w:r>
      <w:r>
        <w:rPr>
          <w:rFonts w:ascii="Times New Roman;serif" w:hAnsi="Times New Roman;serif"/>
          <w:b w:val="false"/>
          <w:color w:val="000000"/>
          <w:sz w:val="24"/>
        </w:rPr>
        <w:t>,</w:t>
        <w:br/>
        <w:t>as a Lender</w:t>
      </w:r>
    </w:p>
    <w:p>
      <w:pPr>
        <w:pStyle w:val="TextBody"/>
        <w:bidi w:val="0"/>
        <w:spacing w:lineRule="auto" w:line="288" w:before="0" w:after="240"/>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Dale T. Wilson            </w:t>
      </w:r>
      <w:r>
        <w:rPr>
          <w:rFonts w:ascii="Times New Roman;serif" w:hAnsi="Times New Roman;serif"/>
          <w:b w:val="false"/>
          <w:color w:val="000000"/>
          <w:sz w:val="24"/>
        </w:rPr>
        <w:br/>
        <w:t>Name:    Dale T. Wilson</w:t>
        <w:br/>
        <w:t>Title: Senior Vice President</w:t>
      </w:r>
    </w:p>
    <w:p>
      <w:pPr>
        <w:pStyle w:val="TextBody"/>
        <w:bidi w:val="0"/>
        <w:spacing w:before="0" w:after="240"/>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56540"/>
                <wp:effectExtent l="0" t="0" r="0" b="0"/>
                <wp:wrapNone/>
                <wp:docPr id="30" name="Frame3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BANK OZK</w:t>
      </w:r>
      <w:r>
        <w:rPr>
          <w:rFonts w:ascii="Times New Roman;serif" w:hAnsi="Times New Roman;serif"/>
          <w:b w:val="false"/>
          <w:color w:val="000000"/>
          <w:sz w:val="24"/>
        </w:rPr>
        <w:t>,</w:t>
        <w:br/>
        <w:t>as a Lender</w:t>
      </w:r>
    </w:p>
    <w:p>
      <w:pPr>
        <w:pStyle w:val="TextBody"/>
        <w:bidi w:val="0"/>
        <w:spacing w:lineRule="auto" w:line="288" w:before="0" w:after="0"/>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/s/ Moni Collins            </w:t>
      </w:r>
      <w:r>
        <w:rPr>
          <w:rFonts w:ascii="Times New Roman;serif" w:hAnsi="Times New Roman;serif"/>
          <w:b w:val="false"/>
          <w:color w:val="000000"/>
          <w:sz w:val="24"/>
        </w:rPr>
        <w:br/>
        <w:t>Name:    Moni Collins</w:t>
        <w:br/>
        <w:t xml:space="preserve">Title: Senior Managing Director – Natural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Resources Group</w: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56540"/>
                <wp:effectExtent l="0" t="0" r="0" b="0"/>
                <wp:wrapNone/>
                <wp:docPr id="31" name="Frame3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Signature Page</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CONSENT AND REAFFIRMATION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Each of the undersigned (each a “</w:t>
      </w:r>
      <w:r>
        <w:rPr>
          <w:rFonts w:ascii="Times New Roman;serif" w:hAnsi="Times New Roman;serif"/>
          <w:b w:val="false"/>
          <w:color w:val="000000"/>
          <w:sz w:val="24"/>
          <w:u w:val="single"/>
        </w:rPr>
        <w:t>Guarantor</w:t>
      </w:r>
      <w:r>
        <w:rPr>
          <w:color w:val="000000"/>
        </w:rPr>
        <w:t>”</w:t>
      </w:r>
      <w:r>
        <w:rPr>
          <w:rFonts w:ascii="Times New Roman;serif" w:hAnsi="Times New Roman;serif"/>
          <w:b w:val="false"/>
          <w:color w:val="000000"/>
          <w:sz w:val="24"/>
        </w:rPr>
        <w:t>) hereby</w:t>
      </w:r>
      <w:r>
        <w:rPr>
          <w:color w:val="000000"/>
        </w:rPr>
        <w:t xml:space="preserve"> </w:t>
      </w:r>
      <w:r>
        <w:rPr>
          <w:rFonts w:ascii="Times New Roman;serif" w:hAnsi="Times New Roman;serif"/>
          <w:b w:val="false"/>
          <w:color w:val="000000"/>
          <w:sz w:val="24"/>
        </w:rPr>
        <w:t>(i) acknowledges receipt of a copy of the foregoing Eighth Amendment to Fourth Amended and Restated Credit Agreement (the “</w:t>
      </w:r>
      <w:r>
        <w:rPr>
          <w:rFonts w:ascii="Times New Roman;serif" w:hAnsi="Times New Roman;serif"/>
          <w:b w:val="false"/>
          <w:color w:val="000000"/>
          <w:sz w:val="24"/>
          <w:u w:val="single"/>
        </w:rPr>
        <w:t>Eighth Amendment</w:t>
      </w:r>
      <w:r>
        <w:rPr>
          <w:color w:val="000000"/>
        </w:rPr>
        <w:t>”</w:t>
      </w:r>
      <w:r>
        <w:rPr>
          <w:rFonts w:ascii="Times New Roman;serif" w:hAnsi="Times New Roman;serif"/>
          <w:b w:val="false"/>
          <w:color w:val="000000"/>
          <w:sz w:val="24"/>
        </w:rPr>
        <w:t>); (ii) consents to the Borrower’s execution and delivery thereof; (iii) consents to the terms of the Eighth Amendment; (iv) affirms that nothing contained therein shall modify in any respect whatsoever its guaranty of the Indebtedness pursuant to the terms of the Guaranty or the Liens granted by it pursuant to the terms of the other Loan Documents to which it is a party securing payment and performance of the Indebtedness, (v) reaffirms that the Guaranty and the other Loan Documents to which it is a party and such Liens are and shall continue to remain in full force and effect and are hereby ratified and confirmed in all respects and (vi) represents and warrants to Administrative Agent and the Lenders that, as of the date hereof, (x) all of the representations and warranties made by it in each of the Loan Documents to which it is a party are true and correct in all material respects (without duplication of any materiality qualifier contained therein), except to the extent any such representations and warranties are expressly limited to an earlier date, in which case, such representations and warranties shall continue to be true and correct in all material respects (without duplication of any materiality qualifier contained therein) as of such specified earlier date, and (y) after giving effect to the Eighth Amendment, no Default or Event of Default has occurred and is continuing. Although each Guarantor has been informed of the matters set forth in the Eighth Amendment and has acknowledged and agreed to same, each Guarantor understands that neither Administrative Agent nor any of the Lenders have any obligation to inform any Guarantor of such matters in the future or to seek any Guarantor’s acknowledgment or agreement to future amendments or waivers to the Credit Agreement for the Guaranty and other Loan Documents to which it is a party to remain in full force and effect, and nothing herein shall create such duty or obligation.</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56540"/>
                <wp:effectExtent l="0" t="0" r="0" b="0"/>
                <wp:wrapNone/>
                <wp:docPr id="32" name="Frame3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Consent and Reaffirmation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Consent and Reaffirmation</w:t>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Consent and Reaffirmation on and as of the date of the Eighth Amendment.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u w:val="single"/>
        </w:rPr>
        <w:t>GUARANTORS</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MATADOR RESOURCES COMPANY</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LONGWOOD GATHERING AND DISPOSAL SYSTEMS,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MRC PERMIAN COMPANY</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MATADOR PRODUCTION COMPANY</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MRC ROCKIES COMPANY</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WR PERMIAN,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LONGWOOD MIDSTREAM HOLDINGS,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MRC ENERGY SOUTHEAST COMPANY,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MRC ENERGY SOUTH TEXAS COMPANY,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DELAWARE WATER MANAGEMENT COMPANY,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LONGWOOD MIDSTREAM DELAWARE,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LONGWOOD MIDSTREAM SOUTHEAST,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LONGWOOD MIDSTREAM SOUTH TEXAS,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SOUTHEAST WATER MANAGEMENT COMPANY,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MRC DELAWARE RESOURCES,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MRC HAT MESA,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MRC TORO,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MRC ROYALTIES,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Bryan A. Erman    </w:t>
        <w:br/>
      </w:r>
      <w:r>
        <w:rPr>
          <w:rFonts w:ascii="Times New Roman;serif" w:hAnsi="Times New Roman;serif"/>
          <w:b w:val="false"/>
          <w:color w:val="000000"/>
          <w:sz w:val="24"/>
        </w:rPr>
        <w:t>Name: Bryan A. Erman</w:t>
        <w:br/>
        <w:t>Title: Co-President, Chief Legal Officer, Head of M&amp;A</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And Corporate Secretary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56540"/>
                <wp:effectExtent l="0" t="0" r="0" b="0"/>
                <wp:wrapNone/>
                <wp:docPr id="33" name="Frame3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Consent and Reaffirmation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Consent and Reaffirmation</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A</w:t>
      </w:r>
    </w:p>
    <w:p>
      <w:pPr>
        <w:pStyle w:val="TextBody"/>
        <w:bidi w:val="0"/>
        <w:spacing w:before="0" w:after="240"/>
        <w:jc w:val="center"/>
        <w:rPr/>
      </w:pPr>
      <w:r>
        <w:rPr/>
      </w:r>
    </w:p>
    <w:tbl>
      <w:tblPr>
        <w:tblW w:w="7979" w:type="dxa"/>
        <w:jc w:val="left"/>
        <w:tblInd w:w="0" w:type="dxa"/>
        <w:tblLayout w:type="fixed"/>
        <w:tblCellMar>
          <w:top w:w="28" w:type="dxa"/>
          <w:left w:w="28" w:type="dxa"/>
          <w:bottom w:w="28" w:type="dxa"/>
          <w:right w:w="28" w:type="dxa"/>
        </w:tblCellMar>
      </w:tblPr>
      <w:tblGrid>
        <w:gridCol w:w="2555"/>
        <w:gridCol w:w="2247"/>
        <w:gridCol w:w="3177"/>
      </w:tblGrid>
      <w:tr>
        <w:trPr/>
        <w:tc>
          <w:tcPr>
            <w:tcW w:w="2555"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op w:val="double" w:sz="13" w:space="0" w:color="000000"/>
              <w:bottom w:val="double" w:sz="13"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FOURTH AMENDED AND RESTATED CREDIT AGREEMENT</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Dated as of November 18, 2021</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MRC ENERGY COMPANY,</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Borrower,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LENDING ENTITIES FROM TIME TO TIME PARTIES HERETO,</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Lenders,</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and</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PNC BANK, NATIONAL ASSOCIATION,</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Administrative Agent</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PNC CAPITAL MARKETS LLC,</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BANK OF AMERICA, N.A.,</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JPMORGAN CHASE BANK, N.A.,</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KEYBANC CAPITAL MARKETS INC.,</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TRUIST SECURITIES, INC., and</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WELLS FARGO SECURITIES, LLC,</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Joint Lead Arrangers and Joint Bookrunners,</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and</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CAPITAL ONE, NATIONAL ASSOCIATION,</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CITIZENS BANK, N.A.,</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FIFTH THIRD BANK, N.A.,</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MIZUHO BANK, LTD., </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MUFG BANK, LTD.,</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RBC CAPITAL MARKETS, LLC,</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TD SECURITIES (USA) LLC,</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BANK OF NOVA SCOTIA, HOUSTON BRANCH, and</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U.S. BANK NATIONAL ASSOCIATION,</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Joint Lead Arrangers</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and</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BANK OZK</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Documentation Agent</w:t>
            </w:r>
          </w:p>
        </w:tc>
      </w:tr>
    </w:tbl>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56540"/>
                <wp:effectExtent l="0" t="0" r="0" b="0"/>
                <wp:wrapNone/>
                <wp:docPr id="34" name="Frame3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B</w:t>
      </w:r>
    </w:p>
    <w:p>
      <w:pPr>
        <w:pStyle w:val="TextBody"/>
        <w:bidi w:val="0"/>
        <w:spacing w:lineRule="auto" w:line="288" w:before="0" w:after="240"/>
        <w:jc w:val="center"/>
        <w:rPr/>
      </w:pPr>
      <w:r>
        <w:rPr>
          <w:rFonts w:ascii="Times New Roman;serif" w:hAnsi="Times New Roman;serif"/>
          <w:b/>
          <w:color w:val="000000"/>
          <w:sz w:val="24"/>
        </w:rPr>
        <w:t>Revolving Credit Percentages and Allocations</w:t>
      </w:r>
      <w:r>
        <w:rPr>
          <w:rFonts w:ascii="Times New Roman;serif" w:hAnsi="Times New Roman;serif"/>
          <w:b/>
          <w:color w:val="000000"/>
          <w:sz w:val="16"/>
        </w:rPr>
        <w:t>1</w:t>
      </w:r>
    </w:p>
    <w:tbl>
      <w:tblPr>
        <w:tblW w:w="10205" w:type="dxa"/>
        <w:jc w:val="left"/>
        <w:tblInd w:w="0" w:type="dxa"/>
        <w:tblLayout w:type="fixed"/>
        <w:tblCellMar>
          <w:top w:w="28" w:type="dxa"/>
          <w:left w:w="28" w:type="dxa"/>
          <w:bottom w:w="28" w:type="dxa"/>
          <w:right w:w="28" w:type="dxa"/>
        </w:tblCellMar>
      </w:tblPr>
      <w:tblGrid>
        <w:gridCol w:w="904"/>
        <w:gridCol w:w="792"/>
        <w:gridCol w:w="801"/>
        <w:gridCol w:w="1072"/>
        <w:gridCol w:w="1072"/>
        <w:gridCol w:w="1074"/>
        <w:gridCol w:w="752"/>
        <w:gridCol w:w="752"/>
        <w:gridCol w:w="753"/>
        <w:gridCol w:w="733"/>
        <w:gridCol w:w="637"/>
        <w:gridCol w:w="863"/>
      </w:tblGrid>
      <w:tr>
        <w:trPr/>
        <w:tc>
          <w:tcPr>
            <w:tcW w:w="90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497" w:type="dxa"/>
            <w:gridSpan w:val="3"/>
            <w:tcBorders>
              <w:top w:val="single" w:sz="4" w:space="0" w:color="595959"/>
              <w:left w:val="single" w:sz="4" w:space="0" w:color="595959"/>
            </w:tcBorders>
            <w:shd w:fill="A6A6A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LENDERS</w:t>
            </w:r>
          </w:p>
        </w:tc>
        <w:tc>
          <w:tcPr>
            <w:tcW w:w="3218" w:type="dxa"/>
            <w:gridSpan w:val="3"/>
            <w:tcBorders>
              <w:top w:val="single" w:sz="4" w:space="0" w:color="595959"/>
              <w:left w:val="single" w:sz="4" w:space="0" w:color="595959"/>
            </w:tcBorders>
            <w:shd w:fill="A6A6A6"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 REVOLVING CREDIT COMMITMENT</w:t>
            </w:r>
          </w:p>
        </w:tc>
        <w:tc>
          <w:tcPr>
            <w:tcW w:w="2257" w:type="dxa"/>
            <w:gridSpan w:val="3"/>
            <w:tcBorders>
              <w:top w:val="single" w:sz="4" w:space="0" w:color="595959"/>
              <w:left w:val="single" w:sz="4" w:space="0" w:color="595959"/>
            </w:tcBorders>
            <w:shd w:fill="A6A6A6"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REVOLVING CREDIT</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ALLOCATIONS</w:t>
            </w:r>
          </w:p>
        </w:tc>
        <w:tc>
          <w:tcPr>
            <w:tcW w:w="2233" w:type="dxa"/>
            <w:gridSpan w:val="3"/>
            <w:tcBorders>
              <w:top w:val="single" w:sz="4" w:space="0" w:color="595959"/>
              <w:left w:val="single" w:sz="4" w:space="0" w:color="595959"/>
              <w:right w:val="single" w:sz="4" w:space="0" w:color="595959"/>
            </w:tcBorders>
            <w:shd w:fill="A6A6A6"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REVOLVING CREDIT</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PERCENTAGE</w:t>
            </w:r>
          </w:p>
        </w:tc>
      </w:tr>
      <w:tr>
        <w:trPr/>
        <w:tc>
          <w:tcPr>
            <w:tcW w:w="2497"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PNC Bank, National Association</w:t>
            </w:r>
          </w:p>
        </w:tc>
        <w:tc>
          <w:tcPr>
            <w:tcW w:w="3218"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$241,818,181.82</w:t>
            </w:r>
          </w:p>
        </w:tc>
        <w:tc>
          <w:tcPr>
            <w:tcW w:w="2257"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$190,000,000</w:t>
            </w:r>
          </w:p>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Letter of Credit Commitment:</w:t>
            </w:r>
          </w:p>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$50,000,000.00</w:t>
            </w:r>
          </w:p>
        </w:tc>
        <w:tc>
          <w:tcPr>
            <w:tcW w:w="2233"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6.90909090909091%</w:t>
            </w:r>
          </w:p>
        </w:tc>
      </w:tr>
      <w:tr>
        <w:trPr/>
        <w:tc>
          <w:tcPr>
            <w:tcW w:w="2497"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Bank of America, N.A.</w:t>
            </w:r>
          </w:p>
        </w:tc>
        <w:tc>
          <w:tcPr>
            <w:tcW w:w="3218"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$226,545,454.55</w:t>
            </w:r>
          </w:p>
        </w:tc>
        <w:tc>
          <w:tcPr>
            <w:tcW w:w="2257"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$178,000,000</w:t>
            </w:r>
          </w:p>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Letter of Credit Commitment:</w:t>
            </w:r>
          </w:p>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$25,000,000.00</w:t>
            </w:r>
          </w:p>
        </w:tc>
        <w:tc>
          <w:tcPr>
            <w:tcW w:w="2233"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6.47272727272727%</w:t>
            </w:r>
          </w:p>
        </w:tc>
      </w:tr>
      <w:tr>
        <w:trPr/>
        <w:tc>
          <w:tcPr>
            <w:tcW w:w="2497"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JPMorgan Chase Bank, N.A.</w:t>
            </w:r>
          </w:p>
        </w:tc>
        <w:tc>
          <w:tcPr>
            <w:tcW w:w="3218"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$226,545,454.55</w:t>
            </w:r>
          </w:p>
        </w:tc>
        <w:tc>
          <w:tcPr>
            <w:tcW w:w="2257"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$178,000,000</w:t>
            </w:r>
          </w:p>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Letter of Credit Commitment:</w:t>
            </w:r>
          </w:p>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$25,000,000.00</w:t>
            </w:r>
          </w:p>
        </w:tc>
        <w:tc>
          <w:tcPr>
            <w:tcW w:w="2233"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6.47272727272727%</w:t>
            </w:r>
          </w:p>
        </w:tc>
      </w:tr>
      <w:tr>
        <w:trPr/>
        <w:tc>
          <w:tcPr>
            <w:tcW w:w="2497"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KeyBank National Association</w:t>
            </w:r>
          </w:p>
        </w:tc>
        <w:tc>
          <w:tcPr>
            <w:tcW w:w="3218"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$226,545,454.55</w:t>
            </w:r>
          </w:p>
        </w:tc>
        <w:tc>
          <w:tcPr>
            <w:tcW w:w="2257"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$178,000,000</w:t>
            </w:r>
          </w:p>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Letter of Credit Commitment:</w:t>
            </w:r>
          </w:p>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$25,000,000.00</w:t>
            </w:r>
          </w:p>
        </w:tc>
        <w:tc>
          <w:tcPr>
            <w:tcW w:w="2233"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6.47272727272727%</w:t>
            </w:r>
          </w:p>
        </w:tc>
      </w:tr>
      <w:tr>
        <w:trPr/>
        <w:tc>
          <w:tcPr>
            <w:tcW w:w="2497"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Truist Bank</w:t>
            </w:r>
          </w:p>
        </w:tc>
        <w:tc>
          <w:tcPr>
            <w:tcW w:w="3218"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$226,545,454.55</w:t>
            </w:r>
          </w:p>
        </w:tc>
        <w:tc>
          <w:tcPr>
            <w:tcW w:w="2257"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$178,000,000</w:t>
            </w:r>
          </w:p>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Letter of Credit Commitment:</w:t>
            </w:r>
          </w:p>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$25,000,000.00</w:t>
            </w:r>
          </w:p>
        </w:tc>
        <w:tc>
          <w:tcPr>
            <w:tcW w:w="2233"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6.47272727272727%</w:t>
            </w:r>
          </w:p>
        </w:tc>
      </w:tr>
      <w:tr>
        <w:trPr/>
        <w:tc>
          <w:tcPr>
            <w:tcW w:w="2497"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Wells Fargo Bank, National Association</w:t>
            </w:r>
          </w:p>
        </w:tc>
        <w:tc>
          <w:tcPr>
            <w:tcW w:w="3218"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$226,545,454.55</w:t>
            </w:r>
          </w:p>
        </w:tc>
        <w:tc>
          <w:tcPr>
            <w:tcW w:w="2257"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$178,000,000</w:t>
            </w:r>
          </w:p>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Letter of Credit Commitment:</w:t>
            </w:r>
          </w:p>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$25,000,000.00</w:t>
            </w:r>
          </w:p>
        </w:tc>
        <w:tc>
          <w:tcPr>
            <w:tcW w:w="2233"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6.47272727272727%</w:t>
            </w:r>
          </w:p>
        </w:tc>
      </w:tr>
      <w:tr>
        <w:trPr/>
        <w:tc>
          <w:tcPr>
            <w:tcW w:w="2497"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Capital One, N.A.</w:t>
            </w:r>
          </w:p>
        </w:tc>
        <w:tc>
          <w:tcPr>
            <w:tcW w:w="3218"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$194,727,272.73</w:t>
            </w:r>
          </w:p>
        </w:tc>
        <w:tc>
          <w:tcPr>
            <w:tcW w:w="2257"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$153,000,000</w:t>
            </w:r>
          </w:p>
        </w:tc>
        <w:tc>
          <w:tcPr>
            <w:tcW w:w="2233"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5.56363636363636%</w:t>
            </w:r>
          </w:p>
        </w:tc>
      </w:tr>
      <w:tr>
        <w:trPr/>
        <w:tc>
          <w:tcPr>
            <w:tcW w:w="2497"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Citizens Bank, N.A.</w:t>
            </w:r>
          </w:p>
        </w:tc>
        <w:tc>
          <w:tcPr>
            <w:tcW w:w="3218"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$194,727,272.73</w:t>
            </w:r>
          </w:p>
        </w:tc>
        <w:tc>
          <w:tcPr>
            <w:tcW w:w="2257"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$153,000,000</w:t>
            </w:r>
          </w:p>
        </w:tc>
        <w:tc>
          <w:tcPr>
            <w:tcW w:w="2233"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5.56363636363636%</w:t>
            </w:r>
          </w:p>
        </w:tc>
      </w:tr>
      <w:tr>
        <w:trPr/>
        <w:tc>
          <w:tcPr>
            <w:tcW w:w="2497"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Fifth Third Bank, N.A.</w:t>
            </w:r>
          </w:p>
        </w:tc>
        <w:tc>
          <w:tcPr>
            <w:tcW w:w="3218"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$194,727,272.73</w:t>
            </w:r>
          </w:p>
        </w:tc>
        <w:tc>
          <w:tcPr>
            <w:tcW w:w="2257"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$153,000,000</w:t>
            </w:r>
          </w:p>
        </w:tc>
        <w:tc>
          <w:tcPr>
            <w:tcW w:w="2233"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5.56363636363636%</w:t>
            </w:r>
          </w:p>
        </w:tc>
      </w:tr>
      <w:tr>
        <w:trPr/>
        <w:tc>
          <w:tcPr>
            <w:tcW w:w="2497"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Mizuho Bank, Ltd.</w:t>
            </w:r>
          </w:p>
        </w:tc>
        <w:tc>
          <w:tcPr>
            <w:tcW w:w="3218"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$194,727,272.73</w:t>
            </w:r>
          </w:p>
        </w:tc>
        <w:tc>
          <w:tcPr>
            <w:tcW w:w="2257"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$153,000,000</w:t>
            </w:r>
          </w:p>
        </w:tc>
        <w:tc>
          <w:tcPr>
            <w:tcW w:w="2233"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5.56363636363636%</w:t>
            </w:r>
          </w:p>
        </w:tc>
      </w:tr>
      <w:tr>
        <w:trPr/>
        <w:tc>
          <w:tcPr>
            <w:tcW w:w="2497"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MUFG Bank, Ltd.</w:t>
            </w:r>
          </w:p>
        </w:tc>
        <w:tc>
          <w:tcPr>
            <w:tcW w:w="3218"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$194,727,272.73</w:t>
            </w:r>
          </w:p>
        </w:tc>
        <w:tc>
          <w:tcPr>
            <w:tcW w:w="2257"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$153,000,000</w:t>
            </w:r>
          </w:p>
        </w:tc>
        <w:tc>
          <w:tcPr>
            <w:tcW w:w="2233"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5.56363636363636%</w:t>
            </w:r>
          </w:p>
        </w:tc>
      </w:tr>
      <w:tr>
        <w:trPr/>
        <w:tc>
          <w:tcPr>
            <w:tcW w:w="2497"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Royal Bank of Canada</w:t>
            </w:r>
          </w:p>
        </w:tc>
        <w:tc>
          <w:tcPr>
            <w:tcW w:w="3218"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$194,727,272.73</w:t>
            </w:r>
          </w:p>
        </w:tc>
        <w:tc>
          <w:tcPr>
            <w:tcW w:w="2257"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$153,000,000</w:t>
            </w:r>
          </w:p>
        </w:tc>
        <w:tc>
          <w:tcPr>
            <w:tcW w:w="2233"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5.56363636363636%</w:t>
            </w:r>
          </w:p>
        </w:tc>
      </w:tr>
      <w:tr>
        <w:trPr/>
        <w:tc>
          <w:tcPr>
            <w:tcW w:w="2497" w:type="dxa"/>
            <w:gridSpan w:val="3"/>
            <w:tcBorders>
              <w:top w:val="single" w:sz="4" w:space="0" w:color="595959"/>
              <w:left w:val="single" w:sz="4" w:space="0" w:color="595959"/>
              <w:bottom w:val="single" w:sz="4" w:space="0" w:color="595959"/>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Bank of Nova Scotia, Houston Branch</w:t>
            </w:r>
          </w:p>
        </w:tc>
        <w:tc>
          <w:tcPr>
            <w:tcW w:w="3218" w:type="dxa"/>
            <w:gridSpan w:val="3"/>
            <w:tcBorders>
              <w:top w:val="single" w:sz="4" w:space="0" w:color="595959"/>
              <w:left w:val="single" w:sz="4" w:space="0" w:color="595959"/>
              <w:bottom w:val="single" w:sz="4" w:space="0" w:color="595959"/>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$194,727,272.73</w:t>
            </w:r>
          </w:p>
        </w:tc>
        <w:tc>
          <w:tcPr>
            <w:tcW w:w="2257" w:type="dxa"/>
            <w:gridSpan w:val="3"/>
            <w:tcBorders>
              <w:top w:val="single" w:sz="4" w:space="0" w:color="595959"/>
              <w:left w:val="single" w:sz="4" w:space="0" w:color="595959"/>
              <w:bottom w:val="single" w:sz="4" w:space="0" w:color="595959"/>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$153,000,000</w:t>
            </w:r>
          </w:p>
        </w:tc>
        <w:tc>
          <w:tcPr>
            <w:tcW w:w="2233" w:type="dxa"/>
            <w:gridSpan w:val="3"/>
            <w:tcBorders>
              <w:top w:val="single" w:sz="4" w:space="0" w:color="595959"/>
              <w:left w:val="single" w:sz="4" w:space="0" w:color="595959"/>
              <w:bottom w:val="single" w:sz="4" w:space="0" w:color="595959"/>
              <w:right w:val="single" w:sz="4" w:space="0" w:color="595959"/>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5.56363636363636%</w:t>
            </w:r>
          </w:p>
        </w:tc>
      </w:tr>
    </w:tbl>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As of the Eighth Amendment Effective Date</w:t>
      </w:r>
    </w:p>
    <w:p>
      <w:pPr>
        <w:pStyle w:val="TextBody"/>
        <w:bidi w:val="0"/>
        <w:spacing w:before="0" w:after="24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56540"/>
                <wp:effectExtent l="0" t="0" r="0" b="0"/>
                <wp:wrapNone/>
                <wp:docPr id="35" name="Frame3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33"/>
        <w:gridCol w:w="1347"/>
        <w:gridCol w:w="1351"/>
        <w:gridCol w:w="634"/>
        <w:gridCol w:w="634"/>
        <w:gridCol w:w="638"/>
        <w:gridCol w:w="634"/>
        <w:gridCol w:w="634"/>
        <w:gridCol w:w="638"/>
        <w:gridCol w:w="632"/>
        <w:gridCol w:w="632"/>
        <w:gridCol w:w="898"/>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4231"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Toronto-Dominion Bank, New York Branch</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$194,727,272.73</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$153,000,000</w:t>
            </w:r>
          </w:p>
        </w:tc>
        <w:tc>
          <w:tcPr>
            <w:tcW w:w="2162"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5.56363636363636%</w:t>
            </w:r>
          </w:p>
        </w:tc>
      </w:tr>
      <w:tr>
        <w:trPr/>
        <w:tc>
          <w:tcPr>
            <w:tcW w:w="4231"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 Bank National Association</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$194,727,272.73</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$153,000,000</w:t>
            </w:r>
          </w:p>
        </w:tc>
        <w:tc>
          <w:tcPr>
            <w:tcW w:w="2162"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5.56363636363636%</w:t>
            </w:r>
          </w:p>
        </w:tc>
      </w:tr>
      <w:tr>
        <w:trPr/>
        <w:tc>
          <w:tcPr>
            <w:tcW w:w="4231"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Bank OZK</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$112,000,000.00</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$88,000,000</w:t>
            </w:r>
          </w:p>
        </w:tc>
        <w:tc>
          <w:tcPr>
            <w:tcW w:w="2162"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3.20000000000000%</w:t>
            </w:r>
          </w:p>
        </w:tc>
      </w:tr>
      <w:tr>
        <w:trPr/>
        <w:tc>
          <w:tcPr>
            <w:tcW w:w="4231"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BOKF, NA dba Bank of Texas</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$76,363,636.36</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$60,000,000</w:t>
            </w:r>
          </w:p>
        </w:tc>
        <w:tc>
          <w:tcPr>
            <w:tcW w:w="2162"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2.18181818181818%</w:t>
            </w:r>
          </w:p>
        </w:tc>
      </w:tr>
      <w:tr>
        <w:trPr/>
        <w:tc>
          <w:tcPr>
            <w:tcW w:w="4231"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First Horizon Bank</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$63,636,363.64</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$50,000,000</w:t>
            </w:r>
          </w:p>
        </w:tc>
        <w:tc>
          <w:tcPr>
            <w:tcW w:w="2162"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1.81818181818182%</w:t>
            </w:r>
          </w:p>
        </w:tc>
      </w:tr>
      <w:tr>
        <w:trPr/>
        <w:tc>
          <w:tcPr>
            <w:tcW w:w="4231"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Zions Bancorporation, N.A., dba Amegy Bank</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$63,636,363.64</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$50,000,000</w:t>
            </w:r>
          </w:p>
        </w:tc>
        <w:tc>
          <w:tcPr>
            <w:tcW w:w="2162"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1.81818181818182%</w:t>
            </w:r>
          </w:p>
        </w:tc>
      </w:tr>
      <w:tr>
        <w:trPr/>
        <w:tc>
          <w:tcPr>
            <w:tcW w:w="4231" w:type="dxa"/>
            <w:gridSpan w:val="3"/>
            <w:tcBorders>
              <w:top w:val="single" w:sz="4" w:space="0" w:color="595959"/>
              <w:left w:val="single" w:sz="4" w:space="0" w:color="595959"/>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Cathay Bank</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$57,272,727.27</w:t>
            </w:r>
          </w:p>
        </w:tc>
        <w:tc>
          <w:tcPr>
            <w:tcW w:w="1906" w:type="dxa"/>
            <w:gridSpan w:val="3"/>
            <w:tcBorders>
              <w:top w:val="single" w:sz="4" w:space="0" w:color="595959"/>
              <w:left w:val="single" w:sz="4" w:space="0" w:color="59595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$45,000,000</w:t>
            </w:r>
          </w:p>
        </w:tc>
        <w:tc>
          <w:tcPr>
            <w:tcW w:w="2162" w:type="dxa"/>
            <w:gridSpan w:val="3"/>
            <w:tcBorders>
              <w:top w:val="single" w:sz="4" w:space="0" w:color="595959"/>
              <w:left w:val="single" w:sz="4" w:space="0" w:color="595959"/>
              <w:right w:val="single" w:sz="4" w:space="0" w:color="595959"/>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1.63636363636364%</w:t>
            </w:r>
          </w:p>
        </w:tc>
      </w:tr>
      <w:tr>
        <w:trPr/>
        <w:tc>
          <w:tcPr>
            <w:tcW w:w="4231" w:type="dxa"/>
            <w:gridSpan w:val="3"/>
            <w:tcBorders>
              <w:top w:val="single" w:sz="4" w:space="0" w:color="595959"/>
              <w:left w:val="single" w:sz="4" w:space="0" w:color="59595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4" w:space="0" w:color="595959"/>
              <w:left w:val="single" w:sz="4" w:space="0" w:color="59595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4" w:space="0" w:color="595959"/>
              <w:left w:val="single" w:sz="4" w:space="0" w:color="595959"/>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4" w:space="0" w:color="595959"/>
              <w:left w:val="single" w:sz="4" w:space="0" w:color="595959"/>
              <w:right w:val="single" w:sz="4" w:space="0" w:color="595959"/>
            </w:tcBorders>
            <w:tcMar>
              <w:bottom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op w:val="single" w:sz="4" w:space="0" w:color="595959"/>
              <w:left w:val="single" w:sz="4" w:space="0" w:color="595959"/>
              <w:bottom w:val="single" w:sz="4" w:space="0" w:color="595959"/>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TOTALS</w:t>
            </w:r>
          </w:p>
        </w:tc>
        <w:tc>
          <w:tcPr>
            <w:tcW w:w="1906" w:type="dxa"/>
            <w:gridSpan w:val="3"/>
            <w:tcBorders>
              <w:top w:val="single" w:sz="4" w:space="0" w:color="595959"/>
              <w:left w:val="single" w:sz="4" w:space="0" w:color="595959"/>
              <w:bottom w:val="single" w:sz="4" w:space="0" w:color="595959"/>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$3,500,000,000.00</w:t>
            </w:r>
          </w:p>
        </w:tc>
        <w:tc>
          <w:tcPr>
            <w:tcW w:w="1906" w:type="dxa"/>
            <w:gridSpan w:val="3"/>
            <w:tcBorders>
              <w:top w:val="single" w:sz="4" w:space="0" w:color="595959"/>
              <w:left w:val="single" w:sz="4" w:space="0" w:color="595959"/>
              <w:bottom w:val="single" w:sz="4" w:space="0" w:color="595959"/>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$2,750,000,000.00</w:t>
            </w:r>
          </w:p>
        </w:tc>
        <w:tc>
          <w:tcPr>
            <w:tcW w:w="2162" w:type="dxa"/>
            <w:gridSpan w:val="3"/>
            <w:tcBorders>
              <w:top w:val="single" w:sz="4" w:space="0" w:color="595959"/>
              <w:left w:val="single" w:sz="4" w:space="0" w:color="595959"/>
              <w:bottom w:val="single" w:sz="4" w:space="0" w:color="595959"/>
              <w:right w:val="single" w:sz="4" w:space="0" w:color="595959"/>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100.0000000000%</w:t>
            </w:r>
          </w:p>
        </w:tc>
      </w:tr>
    </w:tbl>
    <w:p>
      <w:pPr>
        <w:pStyle w:val="TextBody"/>
        <w:bidi w:val="0"/>
        <w:spacing w:before="0" w:after="2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56540"/>
                <wp:effectExtent l="0" t="0" r="0" b="0"/>
                <wp:wrapNone/>
                <wp:docPr id="36" name="Frame3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MRC Energy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Eighth Amendment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5248</Words>
  <Characters>29676</Characters>
  <CharactersWithSpaces>35143</CharactersWithSpaces>
  <Paragraphs>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