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420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31" w:lineRule="exact"/>
        <w:rPr>
          <w:sz w:val="24"/>
          <w:szCs w:val="24"/>
          <w:color w:val="auto"/>
        </w:rPr>
      </w:pPr>
    </w:p>
    <w:p>
      <w:pPr>
        <w:ind w:left="500" w:right="26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10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26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410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2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Matador Resources Company</w:t>
      </w:r>
    </w:p>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3"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86"/>
              </w:rPr>
              <w:t>Texas</w:t>
            </w:r>
          </w:p>
        </w:tc>
        <w:tc>
          <w:tcPr>
            <w:tcW w:w="1140" w:type="dxa"/>
            <w:vAlign w:val="bottom"/>
          </w:tcPr>
          <w:p>
            <w:pPr>
              <w:jc w:val="right"/>
              <w:ind w:right="6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6320" w:type="dxa"/>
            <w:vAlign w:val="bottom"/>
          </w:tcPr>
          <w:p>
            <w:pPr>
              <w:jc w:val="center"/>
              <w:ind w:right="3879"/>
              <w:spacing w:after="0"/>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79"/>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90"/>
              </w:rPr>
              <w:t>5400 LBJ Freeway, Suite 1500</w:t>
            </w:r>
          </w:p>
        </w:tc>
        <w:tc>
          <w:tcPr>
            <w:tcW w:w="1140" w:type="dxa"/>
            <w:vAlign w:val="bottom"/>
          </w:tcPr>
          <w:p>
            <w:pPr>
              <w:spacing w:after="0"/>
              <w:rPr>
                <w:sz w:val="24"/>
                <w:szCs w:val="24"/>
                <w:color w:val="auto"/>
              </w:rPr>
            </w:pPr>
          </w:p>
        </w:tc>
      </w:tr>
      <w:tr>
        <w:trPr>
          <w:trHeight w:val="234"/>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87"/>
              </w:rPr>
              <w:t>Dallas, Texas</w:t>
            </w:r>
          </w:p>
        </w:tc>
        <w:tc>
          <w:tcPr>
            <w:tcW w:w="11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18"/>
        </w:trPr>
        <w:tc>
          <w:tcPr>
            <w:tcW w:w="6320" w:type="dxa"/>
            <w:vAlign w:val="bottom"/>
          </w:tcPr>
          <w:p>
            <w:pPr>
              <w:jc w:val="center"/>
              <w:ind w:right="3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6320" w:type="dxa"/>
            <w:vAlign w:val="bottom"/>
          </w:tcPr>
          <w:p>
            <w:pPr>
              <w:jc w:val="right"/>
              <w:ind w:right="1639"/>
              <w:spacing w:after="0"/>
              <w:rPr>
                <w:sz w:val="20"/>
                <w:szCs w:val="20"/>
                <w:color w:val="auto"/>
              </w:rPr>
            </w:pPr>
            <w:r>
              <w:rPr>
                <w:rFonts w:ascii="Arial" w:cs="Arial" w:eastAsia="Arial" w:hAnsi="Arial"/>
                <w:sz w:val="18"/>
                <w:szCs w:val="18"/>
                <w:b w:val="1"/>
                <w:bCs w:val="1"/>
                <w:color w:val="auto"/>
              </w:rPr>
              <w:t>(972) 371-5200</w:t>
            </w:r>
          </w:p>
        </w:tc>
        <w:tc>
          <w:tcPr>
            <w:tcW w:w="1140" w:type="dxa"/>
            <w:vAlign w:val="bottom"/>
          </w:tcPr>
          <w:p>
            <w:pPr>
              <w:spacing w:after="0"/>
              <w:rPr>
                <w:sz w:val="24"/>
                <w:szCs w:val="24"/>
                <w:color w:val="auto"/>
              </w:rPr>
            </w:pPr>
          </w:p>
        </w:tc>
      </w:tr>
      <w:tr>
        <w:trPr>
          <w:trHeight w:val="186"/>
        </w:trPr>
        <w:tc>
          <w:tcPr>
            <w:tcW w:w="6320" w:type="dxa"/>
            <w:vAlign w:val="bottom"/>
          </w:tcPr>
          <w:p>
            <w:pPr>
              <w:jc w:val="center"/>
              <w:ind w:left="16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40" w:type="dxa"/>
            <w:vAlign w:val="bottom"/>
          </w:tcPr>
          <w:p>
            <w:pPr>
              <w:spacing w:after="0"/>
              <w:rPr>
                <w:sz w:val="16"/>
                <w:szCs w:val="16"/>
                <w:color w:val="auto"/>
              </w:rPr>
            </w:pPr>
          </w:p>
        </w:tc>
      </w:tr>
      <w:tr>
        <w:trPr>
          <w:trHeight w:val="209"/>
        </w:trPr>
        <w:tc>
          <w:tcPr>
            <w:tcW w:w="632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40" w:type="dxa"/>
            <w:vAlign w:val="bottom"/>
          </w:tcPr>
          <w:p>
            <w:pPr>
              <w:spacing w:after="0"/>
              <w:rPr>
                <w:sz w:val="18"/>
                <w:szCs w:val="18"/>
                <w:color w:val="auto"/>
              </w:rPr>
            </w:pPr>
          </w:p>
        </w:tc>
      </w:tr>
    </w:tbl>
    <w:p>
      <w:pPr>
        <w:spacing w:after="0" w:line="158" w:lineRule="exact"/>
        <w:rPr>
          <w:sz w:val="24"/>
          <w:szCs w:val="24"/>
          <w:color w:val="auto"/>
        </w:rPr>
      </w:pPr>
    </w:p>
    <w:p>
      <w:pPr>
        <w:ind w:right="2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080" w:val="left"/>
        </w:tabs>
        <w:rPr>
          <w:sz w:val="20"/>
          <w:szCs w:val="20"/>
          <w:color w:val="auto"/>
        </w:rPr>
      </w:pPr>
      <w:r>
        <w:rPr>
          <w:rFonts w:ascii="Arial" w:cs="Arial" w:eastAsia="Arial" w:hAnsi="Arial"/>
          <w:sz w:val="16"/>
          <w:szCs w:val="16"/>
          <w:color w:val="auto"/>
        </w:rPr>
        <w:t>days.</w:t>
        <w:tab/>
        <w:t>x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x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8"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820"/>
              <w:spacing w:after="0"/>
              <w:rPr>
                <w:sz w:val="20"/>
                <w:szCs w:val="20"/>
                <w:color w:val="auto"/>
              </w:rPr>
            </w:pPr>
            <w:r>
              <w:rPr>
                <w:rFonts w:ascii="Arial" w:cs="Arial" w:eastAsia="Arial" w:hAnsi="Arial"/>
                <w:sz w:val="16"/>
                <w:szCs w:val="16"/>
                <w:color w:val="auto"/>
              </w:rPr>
              <w:t>x</w:t>
            </w:r>
          </w:p>
        </w:tc>
        <w:tc>
          <w:tcPr>
            <w:tcW w:w="478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74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x No As of October 31, 2018, there were 116,333,766 shares of the registrant’s common stock, par value $0.01 per share, outstanding.</w:t>
      </w:r>
    </w:p>
    <w:p>
      <w:pPr>
        <w:sectPr>
          <w:pgSz w:w="11900" w:h="16838" w:orient="portrait"/>
          <w:cols w:equalWidth="0" w:num="1">
            <w:col w:w="11260"/>
          </w:cols>
          <w:pgMar w:left="240" w:top="274"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8"/>
              </w:rPr>
              <w:t>MATADOR RESOURCES COMPANY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9"/>
              </w:rPr>
              <w:t>FORM 10-Q</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8"/>
              </w:rPr>
              <w:t>FOR THE QUARTER ENDED SEPTEMBER 30, 2018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060" w:type="dxa"/>
            <w:vAlign w:val="bottom"/>
            <w:gridSpan w:val="10"/>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380" w:type="dxa"/>
            <w:vAlign w:val="bottom"/>
            <w:gridSpan w:val="9"/>
          </w:tcPr>
          <w:p>
            <w:pPr>
              <w:spacing w:after="0"/>
              <w:rPr>
                <w:sz w:val="17"/>
                <w:szCs w:val="17"/>
                <w:color w:val="auto"/>
              </w:rPr>
            </w:pPr>
          </w:p>
        </w:tc>
        <w:tc>
          <w:tcPr>
            <w:tcW w:w="500" w:type="dxa"/>
            <w:vAlign w:val="bottom"/>
            <w:gridSpan w:val="2"/>
          </w:tcPr>
          <w:p>
            <w:pPr>
              <w:jc w:val="center"/>
              <w:ind w:left="3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 Unaudited</w:t>
              </w:r>
            </w:hyperlink>
          </w:p>
        </w:tc>
        <w:tc>
          <w:tcPr>
            <w:tcW w:w="7120" w:type="dxa"/>
            <w:vAlign w:val="bottom"/>
            <w:gridSpan w:val="8"/>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2018 and December 31, 2017</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2018 and 2017</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Changes in Shareholders’ Equity for the Nine Months Ended September 30, 2018</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40" w:type="dxa"/>
            <w:vAlign w:val="bottom"/>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2018 and 2017</w:t>
              </w:r>
            </w:hyperlink>
          </w:p>
        </w:tc>
        <w:tc>
          <w:tcPr>
            <w:tcW w:w="7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4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940" w:type="dxa"/>
            <w:vAlign w:val="bottom"/>
            <w:gridSpan w:val="4"/>
          </w:tcPr>
          <w:p>
            <w:pPr>
              <w:spacing w:after="0"/>
              <w:rPr>
                <w:sz w:val="21"/>
                <w:szCs w:val="21"/>
                <w:color w:val="auto"/>
              </w:rPr>
            </w:pPr>
          </w:p>
        </w:tc>
        <w:tc>
          <w:tcPr>
            <w:tcW w:w="1940" w:type="dxa"/>
            <w:vAlign w:val="bottom"/>
            <w:gridSpan w:val="3"/>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4"/>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2. Management’s Discussion and Analysis of Financial Condition and Results of Operations</w:t>
              </w:r>
            </w:hyperlink>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3. Quantitative and Qualitative Disclosures About Market Risk</w:t>
              </w:r>
            </w:hyperlink>
          </w:p>
        </w:tc>
        <w:tc>
          <w:tcPr>
            <w:tcW w:w="2120" w:type="dxa"/>
            <w:vAlign w:val="bottom"/>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5300" w:type="dxa"/>
            <w:vAlign w:val="bottom"/>
            <w:tcBorders>
              <w:left w:val="single" w:sz="8" w:color="0000EE"/>
            </w:tcBorders>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 Controls and Procedures</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4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 — OTHER INFORMATION</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 Legal Proceedings</w:t>
              </w:r>
            </w:hyperlink>
          </w:p>
        </w:tc>
        <w:tc>
          <w:tcPr>
            <w:tcW w:w="7700" w:type="dxa"/>
            <w:vAlign w:val="bottom"/>
            <w:gridSpan w:val="10"/>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832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6. Exhibits</w:t>
              </w:r>
            </w:hyperlink>
          </w:p>
        </w:tc>
        <w:tc>
          <w:tcPr>
            <w:tcW w:w="3740" w:type="dxa"/>
            <w:vAlign w:val="bottom"/>
            <w:gridSpan w:val="8"/>
          </w:tcPr>
          <w:p>
            <w:pPr>
              <w:spacing w:after="0"/>
              <w:rPr>
                <w:sz w:val="21"/>
                <w:szCs w:val="21"/>
                <w:color w:val="auto"/>
              </w:rPr>
            </w:pPr>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SIGNATURES</w:t>
              </w:r>
            </w:hyperlink>
          </w:p>
        </w:tc>
        <w:tc>
          <w:tcPr>
            <w:tcW w:w="9340" w:type="dxa"/>
            <w:vAlign w:val="bottom"/>
            <w:gridSpan w:val="1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45,942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96,505</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7,066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5,977</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Oil and natural gas revenues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81,422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65,962</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Joint interest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55,390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67,225</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8,031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Lease and well equipment 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18,758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5,993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225,432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257,170</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at cost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Oil and natural gas properties, full-cost method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Evaluated</w:t>
            </w:r>
          </w:p>
        </w:tc>
        <w:tc>
          <w:tcPr>
            <w:tcW w:w="1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3,506,479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3,004,770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Unproved and unevaluated</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1,241,529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637,396</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and other property and equipment</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408,436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281,096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Less accumulated depletion, depreciation and amortization</w:t>
            </w:r>
          </w:p>
        </w:tc>
        <w:tc>
          <w:tcPr>
            <w:tcW w:w="16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(2,234,470)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(2,041,806)</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property and equipment</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2,921,974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1,881,456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6,796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7,064</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3,154,202</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2,145,690</w:t>
            </w:r>
          </w:p>
        </w:tc>
        <w:tc>
          <w:tcPr>
            <w:tcW w:w="0" w:type="dxa"/>
            <w:vAlign w:val="bottom"/>
          </w:tcPr>
          <w:p>
            <w:pPr>
              <w:spacing w:after="0"/>
              <w:rPr>
                <w:sz w:val="1"/>
                <w:szCs w:val="1"/>
                <w:color w:val="auto"/>
              </w:rPr>
            </w:pPr>
          </w:p>
        </w:tc>
      </w:tr>
      <w:tr>
        <w:trPr>
          <w:trHeight w:val="60"/>
        </w:trPr>
        <w:tc>
          <w:tcPr>
            <w:tcW w:w="85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32,491</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11,757</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178,830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174,348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Royalties payable</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67,023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61,358</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10,302</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19,740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16,429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Advances from joint interest owners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Amounts due to joint ventures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4,873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326,751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282,606</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Borrowings under Credit Agreement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740,063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574,073</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Asset retirement obligations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28,706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25,080</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6,385</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1,105,008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605,538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Commitments and contingencies (Note 9)</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380"/>
              <w:spacing w:after="0" w:line="157" w:lineRule="exact"/>
              <w:rPr>
                <w:sz w:val="20"/>
                <w:szCs w:val="20"/>
                <w:color w:val="auto"/>
              </w:rPr>
            </w:pPr>
            <w:r>
              <w:rPr>
                <w:rFonts w:ascii="Arial" w:cs="Arial" w:eastAsia="Arial" w:hAnsi="Arial"/>
                <w:sz w:val="14"/>
                <w:szCs w:val="14"/>
                <w:color w:val="auto"/>
                <w:w w:val="98"/>
              </w:rPr>
              <w:t>Common stock - $0.01 par value, 160,000,000 shares authorized; 116,506,743 and 108,513,597 shares issued; and 116,348,548 and</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540"/>
              <w:spacing w:after="0"/>
              <w:rPr>
                <w:sz w:val="20"/>
                <w:szCs w:val="20"/>
                <w:color w:val="auto"/>
              </w:rPr>
            </w:pPr>
            <w:r>
              <w:rPr>
                <w:rFonts w:ascii="Arial" w:cs="Arial" w:eastAsia="Arial" w:hAnsi="Arial"/>
                <w:sz w:val="14"/>
                <w:szCs w:val="14"/>
                <w:color w:val="auto"/>
              </w:rPr>
              <w:t>108,510,160 shares outstanding,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1,923,030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1,666,024</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(372,990)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(510,484)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at cost, 158,195 and 3,437 shares, respectively</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Matador Resources Company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1,547,166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1,156,556</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175,277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100,990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1,722,443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1,257,546</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3,154,202</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2,145,690</w:t>
            </w:r>
          </w:p>
        </w:tc>
        <w:tc>
          <w:tcPr>
            <w:tcW w:w="0" w:type="dxa"/>
            <w:vAlign w:val="bottom"/>
          </w:tcPr>
          <w:p>
            <w:pPr>
              <w:spacing w:after="0"/>
              <w:rPr>
                <w:sz w:val="1"/>
                <w:szCs w:val="1"/>
                <w:color w:val="auto"/>
              </w:rPr>
            </w:pPr>
          </w:p>
        </w:tc>
      </w:tr>
      <w:tr>
        <w:trPr>
          <w:trHeight w:val="60"/>
        </w:trPr>
        <w:tc>
          <w:tcPr>
            <w:tcW w:w="85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79"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9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9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216,282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134,948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607,255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363,559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midstream services 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Realized gain (loss) on derivatives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21,449</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207,178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126,279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609,725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390,703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Production taxes, transportation and processing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40,348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Plant and other midstream services operating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Depletion,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123,066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Accretion of asset retirement obligations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49,671</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99,730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394,517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270,887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119,816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gain on asset sales and inventory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(26,229)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 premium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155,676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95,566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37"/>
        </w:trPr>
        <w:tc>
          <w:tcPr>
            <w:tcW w:w="6980" w:type="dxa"/>
            <w:vAlign w:val="bottom"/>
          </w:tcPr>
          <w:p>
            <w:pPr>
              <w:ind w:left="9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137,494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87,532</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51"/>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113,208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100,580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122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Contributions related to formation of Joint Venture (see Note 6)</w:t>
      </w:r>
    </w:p>
    <w:p>
      <w:pPr>
        <w:spacing w:after="0" w:line="12"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right="1720"/>
        <w:spacing w:after="0" w:line="546" w:lineRule="auto"/>
        <w:rPr>
          <w:sz w:val="20"/>
          <w:szCs w:val="20"/>
          <w:color w:val="auto"/>
        </w:rPr>
      </w:pPr>
      <w:r>
        <w:rPr>
          <w:rFonts w:ascii="Arial" w:cs="Arial" w:eastAsia="Arial" w:hAnsi="Arial"/>
          <w:sz w:val="12"/>
          <w:szCs w:val="12"/>
          <w:color w:val="auto"/>
        </w:rPr>
        <w:t xml:space="preserve">Current period net income </w:t>
      </w:r>
      <w:r>
        <w:rPr>
          <w:rFonts w:ascii="Arial" w:cs="Arial" w:eastAsia="Arial" w:hAnsi="Arial"/>
          <w:sz w:val="12"/>
          <w:szCs w:val="12"/>
          <w:b w:val="1"/>
          <w:bCs w:val="1"/>
          <w:color w:val="auto"/>
        </w:rPr>
        <w:t>Balance at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$ 1,085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$1,666,024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1,156,556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100,990</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1,257,546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226,542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17,174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17,174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17,174</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(3,970)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73,500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73,500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(17,395)</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137,494</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137,494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155,676</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116,507</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$ 1,165</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$1,923,030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(372,990)</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(4,039)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1,547,166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175,277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1,722,443</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-2606675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-2211705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-1868805</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-1423035</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-1028700</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-582295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-187960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3640" w:space="60"/>
            <w:col w:w="7720"/>
          </w:cols>
          <w:pgMar w:left="240" w:top="125"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8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22860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25" w:right="239" w:bottom="1016"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Unrealized loss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Prepayment premium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loss (gain) on asset sales and inventory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midstream and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borrowings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Joint Venture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non-controlling interest of less-than-wholly-owned subsidiary</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Decrease in cash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20" w:type="dxa"/>
            <w:vAlign w:val="bottom"/>
          </w:tcPr>
          <w:p>
            <w:pPr>
              <w:jc w:val="right"/>
              <w:ind w:right="267"/>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7"/>
              <w:spacing w:after="0"/>
              <w:rPr>
                <w:sz w:val="20"/>
                <w:szCs w:val="20"/>
                <w:color w:val="auto"/>
              </w:rPr>
            </w:pPr>
            <w:r>
              <w:rPr>
                <w:rFonts w:ascii="Arial" w:cs="Arial" w:eastAsia="Arial" w:hAnsi="Arial"/>
                <w:sz w:val="18"/>
                <w:szCs w:val="18"/>
                <w:b w:val="1"/>
                <w:bCs w:val="1"/>
                <w:color w:val="auto"/>
              </w:rPr>
              <w:t>2017</w:t>
            </w:r>
          </w:p>
        </w:tc>
      </w:tr>
      <w:tr>
        <w:trPr>
          <w:trHeight w:val="27"/>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2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155,676</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95,566</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9,492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(21,449)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192,664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123,066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937</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13,787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12,488</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31,226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103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540"/>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(50,343)</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(1,666)</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(2,224)</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217</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20,823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35,068</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29,651</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9,565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2,646</w:t>
            </w:r>
          </w:p>
        </w:tc>
      </w:tr>
    </w:tbl>
    <w:p>
      <w:pPr>
        <w:spacing w:after="0" w:line="88" w:lineRule="exact"/>
        <w:rPr>
          <w:sz w:val="20"/>
          <w:szCs w:val="20"/>
          <w:color w:val="auto"/>
        </w:rPr>
      </w:pPr>
    </w:p>
    <w:p>
      <w:pPr>
        <w:ind w:left="1680" w:hanging="1013"/>
        <w:spacing w:after="0"/>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(1,521)</w:t>
      </w:r>
    </w:p>
    <w:p>
      <w:pPr>
        <w:spacing w:after="0" w:line="10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419,318</w:t>
      </w:r>
      <w:r>
        <w:rPr>
          <w:rFonts w:ascii="Arial" w:cs="Arial" w:eastAsia="Arial" w:hAnsi="Arial"/>
          <w:sz w:val="13"/>
          <w:szCs w:val="13"/>
          <w:color w:val="auto"/>
        </w:rPr>
        <w:t>222,516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(1,106,556)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(517,270)</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(122,239)</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(80,560)</w:t>
            </w:r>
          </w:p>
        </w:tc>
      </w:tr>
      <w:tr>
        <w:trPr>
          <w:trHeight w:val="276"/>
        </w:trPr>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8,267</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w:t>
            </w:r>
          </w:p>
        </w:tc>
      </w:tr>
      <w:tr>
        <w:trPr>
          <w:trHeight w:val="244"/>
        </w:trPr>
        <w:tc>
          <w:tcPr>
            <w:tcW w:w="1040" w:type="dxa"/>
            <w:vAlign w:val="bottom"/>
          </w:tcPr>
          <w:p>
            <w:pPr>
              <w:jc w:val="right"/>
              <w:spacing w:after="0"/>
              <w:rPr>
                <w:sz w:val="20"/>
                <w:szCs w:val="20"/>
                <w:color w:val="auto"/>
              </w:rPr>
            </w:pPr>
            <w:r>
              <w:rPr>
                <w:rFonts w:ascii="Arial" w:cs="Arial" w:eastAsia="Arial" w:hAnsi="Arial"/>
                <w:sz w:val="14"/>
                <w:szCs w:val="14"/>
                <w:color w:val="auto"/>
              </w:rPr>
              <w:t>(1,220,528)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(596,853)</w:t>
            </w:r>
          </w:p>
        </w:tc>
      </w:tr>
      <w:tr>
        <w:trPr>
          <w:trHeight w:val="540"/>
        </w:trPr>
        <w:tc>
          <w:tcPr>
            <w:tcW w:w="1040" w:type="dxa"/>
            <w:vAlign w:val="bottom"/>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370,000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(9,531)</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(605,780)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2,920</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171,500</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73,500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29,400</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(17,395)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(5,635)</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(6,051)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(4,415)</w:t>
            </w:r>
          </w:p>
        </w:tc>
      </w:tr>
    </w:tbl>
    <w:p>
      <w:pPr>
        <w:spacing w:after="0" w:line="88"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(2,653)</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751,736</w:t>
      </w:r>
      <w:r>
        <w:rPr>
          <w:rFonts w:ascii="Arial" w:cs="Arial" w:eastAsia="Arial" w:hAnsi="Arial"/>
          <w:sz w:val="13"/>
          <w:szCs w:val="13"/>
          <w:color w:val="auto"/>
        </w:rPr>
        <w:t>191,117</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(49,474)</w:t>
      </w:r>
      <w:r>
        <w:rPr>
          <w:rFonts w:ascii="Arial" w:cs="Arial" w:eastAsia="Arial" w:hAnsi="Arial"/>
          <w:sz w:val="13"/>
          <w:szCs w:val="13"/>
          <w:color w:val="auto"/>
        </w:rPr>
        <w:t>(183,220)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1372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4"/>
          <w:szCs w:val="14"/>
          <w:color w:val="auto"/>
        </w:rPr>
        <w:t>102,482</w:t>
      </w:r>
      <w:r>
        <w:rPr>
          <w:sz w:val="20"/>
          <w:szCs w:val="20"/>
          <w:color w:val="auto"/>
        </w:rPr>
        <w:tab/>
      </w:r>
      <w:r>
        <w:rPr>
          <w:rFonts w:ascii="Arial" w:cs="Arial" w:eastAsia="Arial" w:hAnsi="Arial"/>
          <w:sz w:val="14"/>
          <w:szCs w:val="14"/>
          <w:color w:val="auto"/>
        </w:rPr>
        <w:t>214,142</w:t>
      </w:r>
    </w:p>
    <w:p>
      <w:pPr>
        <w:spacing w:after="0" w:line="96" w:lineRule="exact"/>
        <w:rPr>
          <w:sz w:val="20"/>
          <w:szCs w:val="20"/>
          <w:color w:val="auto"/>
        </w:rPr>
      </w:pPr>
    </w:p>
    <w:p>
      <w:pPr>
        <w:ind w:left="20"/>
        <w:spacing w:after="0"/>
        <w:tabs>
          <w:tab w:leader="none" w:pos="520" w:val="left"/>
          <w:tab w:leader="none" w:pos="1160" w:val="left"/>
          <w:tab w:leader="none" w:pos="1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53,008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30,922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1372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2160"/>
          </w:cols>
          <w:pgMar w:left="240" w:top="125" w:right="239" w:bottom="1016" w:gutter="0" w:footer="0" w:header="0"/>
          <w:type w:val="continuous"/>
        </w:sectPr>
      </w:pP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cash flow information (Note 10)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1016"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016"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Additionally, the Company conducts midstream operations, primarily through its midstream joint venture, San Mateo Midstream, LLC (“San Mateo” or the “Joint Venture”),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2017 (the “Annual Report”) filed with the SEC.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Arial" w:cs="Arial" w:eastAsia="Arial" w:hAnsi="Arial"/>
          <w:sz w:val="16"/>
          <w:szCs w:val="16"/>
          <w:i w:val="1"/>
          <w:iCs w:val="1"/>
          <w:color w:val="auto"/>
        </w:rPr>
        <w:t>Consolidation (Topic 810)</w:t>
      </w:r>
      <w:r>
        <w:rPr>
          <w:rFonts w:ascii="Arial" w:cs="Arial" w:eastAsia="Arial" w:hAnsi="Arial"/>
          <w:sz w:val="16"/>
          <w:szCs w:val="16"/>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2018. Amounts as of December 31, 2017 are derived from the Company’s audited consolidated financial statements included in the Annual Report.</w:t>
      </w:r>
    </w:p>
    <w:p>
      <w:pPr>
        <w:spacing w:after="0" w:line="6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accruals for oil and natural gas revenues, accrued assets and liabilities primarily related to oil and natural gas and midstream operations, stock-based compensation, valuation of derivative instruments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specifies how and when to recognize revenue. This standard requires expanded disclosures surrounding revenue recognition and is intended to improve, and converge with international standards, the financial reporting requirements for revenue from contracts with customers. The Company adopted the new guidance using the modified retrospective approach. The adoption did not require an adjustment to opening accumulated deficit for any cumulative effect adjustment and did not have a material impact on the Company’s consolidated balance sheets, statements of operations, statement of shareholders’ equity or statements of cash flows.</w:t>
      </w:r>
    </w:p>
    <w:p>
      <w:pPr>
        <w:spacing w:after="0" w:line="8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Prior to the adoption of ASC 606, the Company recorded oil and natural gas revenues at the time of physical transfer of such products to the purchaser. The Company followed the sales method of accounting for oil and natural gas sales, recognizing revenues based on the Company’s actual proceeds from the oil and natural gas sold to purchasers.</w:t>
      </w:r>
    </w:p>
    <w:p>
      <w:pPr>
        <w:spacing w:after="0" w:line="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enters into contracts with customers to sell its oil and natural gas production. With the adoption of ASC 606, revenue from these contracts is recognized in accordance with the five-step revenue recognition model prescribed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ASC 606. Specifically, revenue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oil and natural gas marketing contracts is typically received from the purchaser one to two months after production.</w:t>
      </w:r>
    </w:p>
    <w:p>
      <w:pPr>
        <w:spacing w:after="0" w:line="8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majority of the Company’s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sales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5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Company’s natural gas is sold at the lease location, at the inlet or outlet of a natural gas plant or at an interconnect near a marketing hub following transportation from a processing plant. The majority of the Company’s natural gas is sold under fee-based contracts. When the natural gas is sold at the lease, the purchaser gathers the natural gas and transports the natural gas via pipeline to natural gas processing plants where, if necessary, natural gas liquid (“NGL”) products are extracted. The NGL products and remaining residue gas are then sold by the purchaser, or if the Company elects to repurchase the natural gas, the Company sells the natural gas to a third party. Under the fee-based contracts, the Company receives NGL and residue gas value, less the fee component, or is invoiced the fee component. To the extent control of the natural gas transfers upstream of the transportation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8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determined the impact on its consolidated financial statements as a result of adoption of ASC 606 was a $2.8 million and $7.6 million decrease in oil and natural gas revenues and a $2.8 million and $7.6 million decrease in production taxes, transportation and processing expenses for the three and nine months ended September 30, 2018, respectively, which was not material. As a result of adoption of this standard, the Company is now required to disclose the following information regarding total revenues and revenues from contracts with customers on a disaggregated basis for the three and nine months ended September 30, 2018 (in thousands).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Three Months Ended</w:t>
            </w:r>
          </w:p>
        </w:tc>
        <w:tc>
          <w:tcPr>
            <w:tcW w:w="26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September 30, 2018</w:t>
            </w:r>
          </w:p>
        </w:tc>
        <w:tc>
          <w:tcPr>
            <w:tcW w:w="260" w:type="dxa"/>
            <w:vAlign w:val="bottom"/>
          </w:tcPr>
          <w:p>
            <w:pPr>
              <w:spacing w:after="0"/>
              <w:rPr>
                <w:sz w:val="20"/>
                <w:szCs w:val="20"/>
                <w:color w:val="auto"/>
              </w:rPr>
            </w:pP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September 30, 2018</w:t>
            </w: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223,091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620,539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Realized gain (loss) on derivatives</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5,424</w:t>
            </w:r>
          </w:p>
        </w:tc>
        <w:tc>
          <w:tcPr>
            <w:tcW w:w="2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2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r>
      <w:tr>
        <w:trPr>
          <w:trHeight w:val="257"/>
        </w:trPr>
        <w:tc>
          <w:tcPr>
            <w:tcW w:w="632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207,178</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609,725</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c>
          <w:tcPr>
            <w:tcW w:w="28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Pr>
          <w:p>
            <w:pPr>
              <w:spacing w:after="0"/>
              <w:rPr>
                <w:sz w:val="20"/>
                <w:szCs w:val="20"/>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September 30, 2018</w:t>
            </w:r>
          </w:p>
        </w:tc>
      </w:tr>
      <w:tr>
        <w:trPr>
          <w:trHeight w:val="27"/>
        </w:trPr>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169,913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484,343</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46,369</w:t>
            </w:r>
          </w:p>
        </w:tc>
        <w:tc>
          <w:tcPr>
            <w:tcW w:w="28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122,912</w:t>
            </w:r>
          </w:p>
        </w:tc>
      </w:tr>
      <w:tr>
        <w:trPr>
          <w:trHeight w:val="27"/>
        </w:trPr>
        <w:tc>
          <w:tcPr>
            <w:tcW w:w="6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13,284</w:t>
            </w:r>
          </w:p>
        </w:tc>
      </w:tr>
      <w:tr>
        <w:trPr>
          <w:trHeight w:val="257"/>
        </w:trPr>
        <w:tc>
          <w:tcPr>
            <w:tcW w:w="6320" w:type="dxa"/>
            <w:vAlign w:val="bottom"/>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223,091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620,539</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6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Update (“ASU”)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which specifies that a statement of cash flows explain the change during the period in the total of cash, cash equivalents and amounts generally described as restricted cash or restricted cash equivalents. The Company adopted ASU 2016-18 effective January 1, 2018 and determined that the adoption of this ASU changed the presentation of its beginning and ending cash balances and eliminated the presentation of changes in restricted cash balances from investing activities in its consolidated statements of cash flows. The Company adopted the new guidance using the retrospective transition method; as a result, approximately $6.0 million and $1.3 million of restricted cash was added to the beginning cash balance for the nine months ended September 30, 2018 and 2017, respectively.</w:t>
      </w:r>
    </w:p>
    <w:p>
      <w:pPr>
        <w:spacing w:after="0" w:line="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During the first quarter of 2018, the Company adopted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specifies the minimum inputs and processes required for an integrated set of assets and activities to meet the definition of a business. The Company adopted ASU 2017-01 prospectively, which did not have a material impact on its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and nine months ended September 30, 2018 and 2017, the cost center ceiling was higher than the capitalized costs of oil and natural gas properties, and, as a result, no impairment charge was necessary.</w:t>
      </w:r>
    </w:p>
    <w:p>
      <w:pPr>
        <w:spacing w:after="0" w:line="5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capitalized approximately $8.5 million and $6.1 million of its general and administrative costs for the three months ended September 30, 2018 and 2017, respectively, and approximately $1.7 million and $2.1 million of its interest expense for the three months ended September 30, 2018 and 2017, respectively. The Company capitalized approximately $22.6 million and $16.9 million of its general and administrative costs for the nine months ended September 30, 2018 and 2017, respectively, and approximately $6.2 million and $5.2 million of its interest expense for the nine months ended September 30, 2018 and 2017, respectively.</w:t>
      </w:r>
    </w:p>
    <w:p>
      <w:pPr>
        <w:spacing w:after="0" w:line="8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September 12, 2018, the Company announced the successful acquisition of 8,400 gross (8,400 net) leasehold acres in Lea and Eddy Counties, New Mexico for approximately $387 million in the Bureau of Land Management New Mexico Oil and Gas Lease Sale on September 5 and 6, 2018 (the “BLM Acquisition”).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and nine months ended September 30, 2018 and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3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52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23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116,358</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100,365</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112,659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100,141</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options and restricted stock units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57"/>
        </w:trPr>
        <w:tc>
          <w:tcPr>
            <w:tcW w:w="652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116,912</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100,504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113,208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100,580</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 In February 2016, the Financial Accounting Standards Board (“FASB”) issued ASU 2016-02,</w:t>
      </w:r>
      <w:r>
        <w:rPr>
          <w:rFonts w:ascii="Arial" w:cs="Arial" w:eastAsia="Arial" w:hAnsi="Arial"/>
          <w:sz w:val="16"/>
          <w:szCs w:val="16"/>
          <w:i w:val="1"/>
          <w:iCs w:val="1"/>
          <w:color w:val="auto"/>
        </w:rPr>
        <w:t xml:space="preserve"> Leases (Topic 842)</w:t>
      </w:r>
      <w:r>
        <w:rPr>
          <w:rFonts w:ascii="Arial" w:cs="Arial" w:eastAsia="Arial" w:hAnsi="Arial"/>
          <w:sz w:val="16"/>
          <w:szCs w:val="16"/>
          <w:color w:val="auto"/>
        </w:rPr>
        <w:t>, which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of lease assets and lease liabilities by lessees for those leases classified as operating leases under previous U.S. GAAP. This ASU will become effective for fiscal years beginning after December 15, 2018 with early adoption permitted. Entities are required to recognize and measure leases at the beginning of the earliest period presented using a modified retrospective approach. The modified retrospective approach includes a number of optional practical expedients that entities may elect to apply. These practical expedients relate to the identification and classification of leases that commenced before the effective date, initial direct costs for leases that commenced before the effective date and the ability to use hindsight in evaluating lessee options to extend or terminate a lease or to purchase the underlying asset. In January 2018, the FASB issued ASU 2018-01,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is a land easement practical expedient. The Company plans to use this practical expedient, and as a result, the Company will evaluate new or modified land easements under this ASU beginning at the date of adoption. In July 2018, the FASB issued ASU 2018-11,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targeted improvement for comparative reporting requirements for initial adoption of ASU 2016-02. The Company plans to use the optional transition method to adopt ASU 2016-02, and the amendments provided for in ASU 2018-11 will allow the Company to initially apply the new lease standard at the adoption date and recognize a cumulative-effect adjustment to the opening balance of retained earnings in the period of adoption. Adoption of ASU 2016-02 will result in increased reported assets and liabilities. The quantitative impact of the new lease standard will depend on the leases in force at the time of adoption. The Company is currently evaluating the impact of the adoption of these ASUs on its consolidated financial statements, including identifying all leases, as defined under the new lease standard, and quantifying the impact of the new lease standard on existing leases. The Company expects to adopt these ASUs as of January 1, 2019.</w:t>
      </w:r>
    </w:p>
    <w:p>
      <w:pPr>
        <w:spacing w:after="0" w:line="61"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In June 2018, the FASB issued ASU 2018-07,</w:t>
      </w:r>
      <w:r>
        <w:rPr>
          <w:rFonts w:ascii="Arial" w:cs="Arial" w:eastAsia="Arial" w:hAnsi="Arial"/>
          <w:sz w:val="16"/>
          <w:szCs w:val="16"/>
          <w:i w:val="1"/>
          <w:iCs w:val="1"/>
          <w:color w:val="auto"/>
        </w:rPr>
        <w:t xml:space="preserve"> Compensation - Stock Compensation (Topic 718): Improvements to Nonemployee Share-Based Payment Accounting</w:t>
      </w:r>
      <w:r>
        <w:rPr>
          <w:rFonts w:ascii="Arial" w:cs="Arial" w:eastAsia="Arial" w:hAnsi="Arial"/>
          <w:sz w:val="16"/>
          <w:szCs w:val="16"/>
          <w:color w:val="auto"/>
        </w:rPr>
        <w:t>. This ASU extends the scope of Topic 718 to include share-based payment transactions related to the acquisition of goods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from nonemployees. Currently, the Company accounts for stock-based awards to special advisors and contractors under ASC 505-50 as liability instruments, and the fair value of the awards is recalculated each reporting period. Upon adoption, all such awards will be measured at fair value on the grant date and the resulting expense will be recognized on a straight-line basis over the awards’ vesting period. This ASU is effective for fiscal years beginning after December 15, 2018 with early adoption permitted. The transitional guidance requires entities to remeasure all unvested awards that are being accounted for under ASC 505-50 as liability instruments as of the beginning of the year in which this ASU is adopted. The Company expects to adopt this ASU as of January 1, 2019 and does not anticipate this ASU will have a material impact on the Company’s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200" w:lineRule="exact"/>
        <w:rPr>
          <w:sz w:val="20"/>
          <w:szCs w:val="20"/>
          <w:color w:val="auto"/>
        </w:rPr>
      </w:pPr>
    </w:p>
    <w:p>
      <w:pPr>
        <w:spacing w:after="0" w:line="380"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nine months ended September 30, 2018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26,256</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2,473</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Revisions in estimated cash flows</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r>
      <w:tr>
        <w:trPr>
          <w:trHeight w:val="237"/>
        </w:trPr>
        <w:tc>
          <w:tcPr>
            <w:tcW w:w="10400" w:type="dxa"/>
            <w:vAlign w:val="bottom"/>
          </w:tcPr>
          <w:p>
            <w:pPr>
              <w:ind w:left="4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29,634</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37"/>
        </w:trPr>
        <w:tc>
          <w:tcPr>
            <w:tcW w:w="10400" w:type="dxa"/>
            <w:vAlign w:val="bottom"/>
          </w:tcPr>
          <w:p>
            <w:pPr>
              <w:ind w:left="4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17145</wp:posOffset>
            </wp:positionV>
            <wp:extent cx="6515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34290</wp:posOffset>
            </wp:positionV>
            <wp:extent cx="6515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September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At September 30, 2018, the Company had $750.0 million of outstanding 5.875% senior notes due 2026 (the “Original 2026 Notes”), $325.0 million in borrowings outstanding under the Company’s revolving credit agreement (the “Credit Agreement”) and approximately $3.0 million in outstanding letters of credit issued pursuant to the Credit Agreement. At October 31, 2018, the Company had $1.05 billion of outstanding Notes (as defined below), $25.0 million in borrowings outstanding under the Credit Agreement and approximately $3.0 million in outstanding letters of credit issued pursuant to the Credit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9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Both the Company and the lenders may request an unscheduled redetermination of the borrowing base once each between scheduled redetermination dates. During the first quarter of 2018, the lenders completed their review of the Company’s proved oil and natural gas reserves at December 31, 2017, and as a result, in March 2018, the borrowing base was increased to $725.0 million. This March 2018 redetermination constituted the regularly scheduled May 1 redetermination. The Company elected to keep the borrowing commitment at $400.0 million and the maximum facility amount remained at $500.0 million at September 30, 2018.</w:t>
      </w:r>
    </w:p>
    <w:p>
      <w:pPr>
        <w:spacing w:after="0" w:line="13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October 2018, the lenders completed their review of the Company’s proved oil and natural gas reserves at June 30, 2018. In connection with such review, the Company amended the Credit Agreement to, among other items, increase the maximum facility amount to $1.5 billion, increase the borrowing base to $850.0 million, increase the elected borrowing commitment to $500.0 million, extend the maturity to October 31, 2023 and reduce borrowing rates by 0.25% per annum. This October 2018 redetermination constituted the regularly scheduled November 1 redetermination. Borrowings under the Credit Agreement are limited to the lowest of the borrowing base, the maximum facility amount and the elected borrowing commitment.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September 30,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As of June 30, 2018, the Company had $575.0 million of outstanding 6.875% senior notes due 2023 (the “2023 Notes”). On August 21, 2018, the Company issued $750.0 million of Original 2026 Notes in a private placement (the “2026 Notes Offering”). The Original 2026 Notes were issued at par value with a coupon rate of 5.875%, and the Company received net proceeds of approximately $740.0 million, after deducting the initial purchasers’ discounts and offering expenses. In conjunction with the 2026 Notes Offering, in August and September 2018, respectively, the Company completed a tender offer to purchase for cash and subsequent redemption of all of the Company’s $575.0 million aggregate principal amount of 2023 Notes (the “2023 Notes Tender Offer and Redemption”). The Company used a portion of the net proceeds from the 2026 Notes Offering to fund the 2023 Notes Tender Offer and Redemption. In connection with the 2023 Notes Tender Offer and Redemption, the Company incurred a loss of $31.2 million, including total payments of $30.4 million to holders of the 2023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Notes as a result of the tender premium and the required 105.156% redemption price payable pursuant to the 2023 Notes indenture.</w:t>
      </w:r>
    </w:p>
    <w:p>
      <w:pPr>
        <w:spacing w:after="0" w:line="117" w:lineRule="exact"/>
        <w:rPr>
          <w:sz w:val="20"/>
          <w:szCs w:val="20"/>
          <w:color w:val="auto"/>
        </w:rPr>
      </w:pPr>
    </w:p>
    <w:p>
      <w:pPr>
        <w:ind w:right="180" w:firstLine="392"/>
        <w:spacing w:after="0" w:line="290" w:lineRule="auto"/>
        <w:rPr>
          <w:sz w:val="20"/>
          <w:szCs w:val="20"/>
          <w:color w:val="auto"/>
        </w:rPr>
      </w:pPr>
      <w:r>
        <w:rPr>
          <w:rFonts w:ascii="Arial" w:cs="Arial" w:eastAsia="Arial" w:hAnsi="Arial"/>
          <w:sz w:val="16"/>
          <w:szCs w:val="16"/>
          <w:color w:val="auto"/>
        </w:rPr>
        <w:t>On October 4, 2018, the Company issued an additional $300.0 million of 5.875% senior unsecured notes due 2026 (the “Additional 2026 Notes” and, collectively with the Original 2026 Notes, the “Notes”). The Additional 2026 Notes were issued pursuant to, and are governed by, the same indenture governing the Original 2026 Notes (the “Indenture”). The Additional 2026 Notes were issued at 100.5% of par, plus accrued interest from August 21, 2018. The Company received net proceeds from this offering of approximately $297.6 million, after deducting the initial purchasers’ discounts and estimated offering expenses but excluding accrued interest from August 21, 2018 paid by the initial purchasers of the Additional 2026 Notes. The proceeds from this offering were used to repay a portion of the outstanding borrowings under the Credit Agreement, which were incurred in connection with the BLM Acquisition. The Notes will mature September 15, 2026, and interest is payable on the Notes semi-annually in arrears on each March 15 and September 15. The Notes are guaranteed on a senior unsecured basis by certain subsidiaries of the Company (the “Guarantors”).</w:t>
      </w:r>
    </w:p>
    <w:p>
      <w:pPr>
        <w:spacing w:after="0" w:line="5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or after September 15, 2021, the Company may redeem all or a part of the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312" w:lineRule="exact"/>
        <w:rPr>
          <w:sz w:val="20"/>
          <w:szCs w:val="20"/>
          <w:color w:val="auto"/>
        </w:rPr>
      </w:pPr>
    </w:p>
    <w:tbl>
      <w:tblPr>
        <w:tblLayout w:type="fixed"/>
        <w:tblInd w:w="3580" w:type="dxa"/>
        <w:tblCellMar>
          <w:top w:w="0" w:type="dxa"/>
          <w:left w:w="0" w:type="dxa"/>
          <w:bottom w:w="0" w:type="dxa"/>
          <w:right w:w="0" w:type="dxa"/>
        </w:tblCellMar>
      </w:tblPr>
      <w:tr>
        <w:trPr>
          <w:trHeight w:val="234"/>
        </w:trPr>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Year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7"/>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104.406%</w:t>
            </w:r>
          </w:p>
        </w:tc>
      </w:tr>
      <w:tr>
        <w:trPr>
          <w:trHeight w:val="243"/>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102.938%</w:t>
            </w:r>
          </w:p>
        </w:tc>
      </w:tr>
      <w:tr>
        <w:trPr>
          <w:trHeight w:val="27"/>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101.469%</w:t>
            </w:r>
          </w:p>
        </w:tc>
      </w:tr>
      <w:tr>
        <w:trPr>
          <w:trHeight w:val="243"/>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2024 and thereafter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100.000%</w:t>
            </w:r>
          </w:p>
        </w:tc>
      </w:tr>
    </w:tbl>
    <w:p>
      <w:pPr>
        <w:spacing w:after="0" w:line="200" w:lineRule="exact"/>
        <w:rPr>
          <w:sz w:val="20"/>
          <w:szCs w:val="20"/>
          <w:color w:val="auto"/>
        </w:rPr>
      </w:pPr>
    </w:p>
    <w:p>
      <w:pPr>
        <w:spacing w:after="0" w:line="245" w:lineRule="exact"/>
        <w:rPr>
          <w:sz w:val="20"/>
          <w:szCs w:val="20"/>
          <w:color w:val="auto"/>
        </w:rPr>
      </w:pPr>
    </w:p>
    <w:p>
      <w:pPr>
        <w:jc w:val="both"/>
        <w:ind w:right="100" w:firstLine="405"/>
        <w:spacing w:after="0" w:line="257" w:lineRule="auto"/>
        <w:rPr>
          <w:sz w:val="20"/>
          <w:szCs w:val="20"/>
          <w:color w:val="auto"/>
        </w:rPr>
      </w:pPr>
      <w:r>
        <w:rPr>
          <w:rFonts w:ascii="Arial" w:cs="Arial" w:eastAsia="Arial" w:hAnsi="Arial"/>
          <w:sz w:val="18"/>
          <w:szCs w:val="18"/>
          <w:color w:val="auto"/>
        </w:rPr>
        <w:t>At any time prior to September 15, 2021, the Company may redeem up to 35% of the aggregate principal amount of the Notes with net proceeds from certain equity offerings at a redemption price of 105.875% of the principal amount thereof, plus accrued and unpaid interest, if any, to the redemption date, provided that (i) at least 65% in aggregate principal amount of the Notes (including any additional notes) originally issued remains outstanding immediately after the occurrence of such redemption (excluding Notes held by the Company and its subsidiaries) and (ii) each such redemption occurs within 180 days of the date of the closing of the related equity offering.</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at any time prior to September 15, 2021, the Company may redeem all or part of the Notes at a redemption price equal to the sum of:</w:t>
      </w:r>
    </w:p>
    <w:p>
      <w:pPr>
        <w:spacing w:after="0" w:line="129" w:lineRule="exact"/>
        <w:rPr>
          <w:sz w:val="20"/>
          <w:szCs w:val="20"/>
          <w:color w:val="auto"/>
        </w:rPr>
      </w:pPr>
    </w:p>
    <w:p>
      <w:pPr>
        <w:ind w:left="620" w:hanging="20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117" w:lineRule="exact"/>
        <w:rPr>
          <w:rFonts w:ascii="Arial" w:cs="Arial" w:eastAsia="Arial" w:hAnsi="Arial"/>
          <w:sz w:val="18"/>
          <w:szCs w:val="18"/>
          <w:color w:val="auto"/>
        </w:rPr>
      </w:pPr>
    </w:p>
    <w:p>
      <w:pPr>
        <w:ind w:right="20" w:firstLine="413"/>
        <w:spacing w:after="0" w:line="264" w:lineRule="auto"/>
        <w:tabs>
          <w:tab w:leader="none" w:pos="6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excess, if any, of (a) the present value at such time of (1) the redemption price of such Notes at September 15, 2021 plus (2) any required interest payments due on such Notes through September 15, 2021, discounted to the redemption date on a semi-annual basis using a discount rate equal to the Treasury Rate (as defined in the Indenture) plus 50 basis points, over (b) the principal amount of such Notes, plus</w:t>
      </w:r>
    </w:p>
    <w:p>
      <w:pPr>
        <w:spacing w:after="0" w:line="73"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and unpaid interest, if any, to the redemption date.</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Subject to certain exceptions, the Indenture contains various covenants that limit the Company’s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certain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that secure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 Continued</w:t>
      </w:r>
    </w:p>
    <w:p>
      <w:pPr>
        <w:spacing w:after="0" w:line="36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the case of an event of default arising from certain events of bankruptcy or insolvency with respect to Matador, any Restricted Subsidiary (as defined in the Indenture) that is a Significant Subsidiary (as defined in the Indenture)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Events of default include, but are not limited to, the following events:</w:t>
      </w:r>
    </w:p>
    <w:p>
      <w:pPr>
        <w:spacing w:after="0" w:line="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117"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to offer to purchase or purchase notes pursuant to the change of control or asset sale covenants of the Indenture or to comply with the covenant relating to mergers;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the Company for 180 days after notice to comply with its reporting obligations under the Indenture;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the Company for 60 days after notice to comply with any of the other agreements in the Indenture;</w:t>
      </w:r>
    </w:p>
    <w:p>
      <w:pPr>
        <w:spacing w:after="0" w:line="117"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Company and its Restricted Subsidiaries in the aggregate principal amount of $50.0 million or more;</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the Company or any Restricted Subsidiary to pay certain final judgments aggregating in excess of $50.0 million within 60 days;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subsidiary guarantee by a Guarantor ceases to be in full force and effect, is declared null and void in a judicial proceeding or is denied or disaffirmed by its maker; and</w:t>
      </w:r>
    </w:p>
    <w:p>
      <w:pPr>
        <w:spacing w:after="0" w:line="6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0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Company’s deferred tax assets exceeded its deferred tax liabilities at September 30, 2018 due to the deferred tax assets generated by full-cost ceiling impairment charges recorded in prior periods. The Company established a valuation allowance against most of the deferred tax assets beginning in the third quarter of 2015 and retained a full valuation allowance at September 30, 2018 due to uncertainties regarding the future realization of its deferred tax assets. The valuation allowance will continue to be recognized until the realization of future deferred tax benefits is more likely than not to be utilized.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Offering</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On May 17, 2018, the Company completed a public offering of 7,000,000 shares of its common stock. After deducting offering costs totaling approximately $0.1 million, the Company received net proceeds of approximately $226.5 million. The proceeds from this offering were used to acquire additional leasehold and mineral acres in the Delaware Basin, to fund certain midstream initiatives in the Delaware Basin and for general corporate purposes, including to fund a portion of the Company’s capital expenditures. Pending such uses, the Company used a portion of the proceeds from the offering to repay the $45.0 million in borrowings then outstanding under the Credit Agreement and invested the remaining funds in short-term marketable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February 2018, the Company granted awards of 667,488 shares of restricted stock and options to purchase 563,408 shares of the Company’s common stock at an exercise price of $29.68 per share to certain of its employees. The fair value of these awards was approximately $26.9 million. All of these awards vest ratably over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connection with the formation of San Mateo in 2017, the Company has the ability to earn a total of $73.5 million in performance incentives to be paid by its joint venture partner, a subsidiary of Five Point Energy LLC (“Five Point”), over a five-year period. The Company earned, and Five Point paid to the Company, $14.7 million in performance incentives during the nine months ended September 30, 2018, and the Company may earn an additional $58.8 million in performance incentives over the next four years. These performance incentives are recorded as an increase to additional paid-in capital when received. These performance incentives for the nine months ended September 30, 2018 are also denoted as “Contributions related to formation of Joint Venture” under “Financing activities” in the Company’s condensed consolidated statements of cash flows.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200" w:lineRule="exact"/>
        <w:rPr>
          <w:sz w:val="20"/>
          <w:szCs w:val="20"/>
          <w:color w:val="auto"/>
        </w:rPr>
      </w:pPr>
    </w:p>
    <w:p>
      <w:pPr>
        <w:spacing w:after="0" w:line="38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September 30, 2018, the Company had various costless collar, three-way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2018 and 2019.</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Price Floor ($/Bbl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Ceiling</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Notional Quantity (Bbl or</w:t>
            </w:r>
          </w:p>
        </w:tc>
        <w:tc>
          <w:tcPr>
            <w:tcW w:w="2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or</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($/Bbl or</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29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2"/>
              </w:rPr>
              <w:t>Calculation Period</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$/MMBtu)</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16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1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Oil - WTI</w:t>
            </w:r>
            <w:r>
              <w:rPr>
                <w:rFonts w:ascii="Arial" w:cs="Arial" w:eastAsia="Arial" w:hAnsi="Arial"/>
                <w:sz w:val="25"/>
                <w:szCs w:val="25"/>
                <w:color w:val="auto"/>
                <w:vertAlign w:val="superscript"/>
              </w:rPr>
              <w:t>(1)</w:t>
            </w:r>
          </w:p>
        </w:tc>
        <w:tc>
          <w:tcPr>
            <w:tcW w:w="28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10/01/2018 - 12/31/2018</w:t>
            </w: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r>
      <w:tr>
        <w:trPr>
          <w:trHeight w:val="270"/>
        </w:trPr>
        <w:tc>
          <w:tcPr>
            <w:tcW w:w="1620" w:type="dxa"/>
            <w:vAlign w:val="bottom"/>
          </w:tcPr>
          <w:p>
            <w:pPr>
              <w:ind w:left="40"/>
              <w:spacing w:after="0" w:line="270" w:lineRule="exact"/>
              <w:rPr>
                <w:sz w:val="20"/>
                <w:szCs w:val="20"/>
                <w:color w:val="auto"/>
              </w:rPr>
            </w:pPr>
            <w:r>
              <w:rPr>
                <w:rFonts w:ascii="Arial" w:cs="Arial" w:eastAsia="Arial" w:hAnsi="Arial"/>
                <w:sz w:val="18"/>
                <w:szCs w:val="18"/>
                <w:color w:val="auto"/>
              </w:rPr>
              <w:t>Oil - WTI</w:t>
            </w:r>
            <w:r>
              <w:rPr>
                <w:rFonts w:ascii="Arial" w:cs="Arial" w:eastAsia="Arial" w:hAnsi="Arial"/>
                <w:sz w:val="25"/>
                <w:szCs w:val="25"/>
                <w:color w:val="auto"/>
                <w:vertAlign w:val="superscript"/>
              </w:rPr>
              <w:t>(1)</w:t>
            </w:r>
          </w:p>
        </w:tc>
        <w:tc>
          <w:tcPr>
            <w:tcW w:w="2840" w:type="dxa"/>
            <w:vAlign w:val="bottom"/>
          </w:tcPr>
          <w:p>
            <w:pPr>
              <w:jc w:val="center"/>
              <w:ind w:left="250"/>
              <w:spacing w:after="0"/>
              <w:rPr>
                <w:sz w:val="20"/>
                <w:szCs w:val="20"/>
                <w:color w:val="auto"/>
              </w:rPr>
            </w:pPr>
            <w:r>
              <w:rPr>
                <w:rFonts w:ascii="Arial" w:cs="Arial" w:eastAsia="Arial" w:hAnsi="Arial"/>
                <w:sz w:val="18"/>
                <w:szCs w:val="18"/>
                <w:color w:val="auto"/>
                <w:w w:val="90"/>
              </w:rPr>
              <w:t>01/01/2019 - 12/31/2019</w:t>
            </w:r>
          </w:p>
        </w:tc>
        <w:tc>
          <w:tcPr>
            <w:tcW w:w="12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2,400,000</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(21,287)</w:t>
            </w:r>
          </w:p>
        </w:tc>
      </w:tr>
      <w:tr>
        <w:trPr>
          <w:trHeight w:val="270"/>
        </w:trPr>
        <w:tc>
          <w:tcPr>
            <w:tcW w:w="1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Oil - LLS</w:t>
            </w:r>
            <w:r>
              <w:rPr>
                <w:rFonts w:ascii="Arial" w:cs="Arial" w:eastAsia="Arial" w:hAnsi="Arial"/>
                <w:sz w:val="25"/>
                <w:szCs w:val="25"/>
                <w:color w:val="auto"/>
                <w:vertAlign w:val="superscript"/>
              </w:rPr>
              <w:t>(2)</w:t>
            </w:r>
          </w:p>
        </w:tc>
        <w:tc>
          <w:tcPr>
            <w:tcW w:w="28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10/01/2018 - 12/31/2018</w:t>
            </w:r>
          </w:p>
        </w:tc>
        <w:tc>
          <w:tcPr>
            <w:tcW w:w="1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40" w:type="dxa"/>
            <w:vAlign w:val="bottom"/>
          </w:tcPr>
          <w:p>
            <w:pPr>
              <w:jc w:val="center"/>
              <w:ind w:left="250"/>
              <w:spacing w:after="0"/>
              <w:rPr>
                <w:sz w:val="20"/>
                <w:szCs w:val="20"/>
                <w:color w:val="auto"/>
              </w:rPr>
            </w:pPr>
            <w:r>
              <w:rPr>
                <w:rFonts w:ascii="Arial" w:cs="Arial" w:eastAsia="Arial" w:hAnsi="Arial"/>
                <w:sz w:val="18"/>
                <w:szCs w:val="18"/>
                <w:color w:val="auto"/>
                <w:w w:val="90"/>
              </w:rPr>
              <w:t>10/01/2018 - 12/31/2018</w:t>
            </w:r>
          </w:p>
        </w:tc>
        <w:tc>
          <w:tcPr>
            <w:tcW w:w="1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4,200,000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4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open costless collar contracts</w:t>
            </w: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(33,518)</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NYMEX West Texas Intermediate crude oil.</w:t>
      </w:r>
    </w:p>
    <w:p>
      <w:pPr>
        <w:spacing w:after="0" w:line="109"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Argus Louisiana Light Sweet crude oil.</w:t>
      </w:r>
    </w:p>
    <w:p>
      <w:pPr>
        <w:spacing w:after="0" w:line="11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is a summary of the Company’s open three-way costless collar contracts for oil at September 30, 2018. Open three-way costless collars consist of a long put (the floor), a short call (the ceiling) and a long call that limits losses on the upside.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Notional</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Quantity</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Price, Short Call</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Price, Long Call</w:t>
            </w:r>
          </w:p>
        </w:tc>
        <w:tc>
          <w:tcPr>
            <w:tcW w:w="2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Calculation 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(Bbl)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Floor ($/Bbl)</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($/Bbl)</w:t>
            </w:r>
          </w:p>
        </w:tc>
        <w:tc>
          <w:tcPr>
            <w:tcW w:w="300" w:type="dxa"/>
            <w:vAlign w:val="bottom"/>
          </w:tcPr>
          <w:p>
            <w:pPr>
              <w:spacing w:after="0"/>
              <w:rPr>
                <w:sz w:val="20"/>
                <w:szCs w:val="20"/>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($/Bbl)</w:t>
            </w:r>
          </w:p>
        </w:tc>
        <w:tc>
          <w:tcPr>
            <w:tcW w:w="2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1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1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Oil - WTI</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10/01/2018 - 12/31/2018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37"/>
        </w:trPr>
        <w:tc>
          <w:tcPr>
            <w:tcW w:w="4020" w:type="dxa"/>
            <w:vAlign w:val="bottom"/>
            <w:gridSpan w:val="3"/>
          </w:tcPr>
          <w:p>
            <w:pPr>
              <w:ind w:left="380"/>
              <w:spacing w:after="0"/>
              <w:rPr>
                <w:sz w:val="20"/>
                <w:szCs w:val="20"/>
                <w:color w:val="auto"/>
              </w:rPr>
            </w:pPr>
            <w:r>
              <w:rPr>
                <w:rFonts w:ascii="Arial" w:cs="Arial" w:eastAsia="Arial" w:hAnsi="Arial"/>
                <w:sz w:val="18"/>
                <w:szCs w:val="18"/>
                <w:color w:val="auto"/>
                <w:w w:val="99"/>
              </w:rPr>
              <w:t>Total open three-way costless collar contracts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7"/>
        </w:trPr>
        <w:tc>
          <w:tcPr>
            <w:tcW w:w="1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 NYMEX West Texas Intermediate crude oil.</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basis swap contracts for oil at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Fixed Price</w:t>
            </w: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(Liability)</w:t>
            </w:r>
          </w:p>
        </w:tc>
      </w:tr>
      <w:tr>
        <w:trPr>
          <w:trHeight w:val="234"/>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Calculation Period</w:t>
            </w: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 Quantity (Bbl)</w:t>
            </w:r>
          </w:p>
        </w:tc>
        <w:tc>
          <w:tcPr>
            <w:tcW w:w="30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($/Bbl)</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8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0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10/01/2018 - 12/31/2018</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10,155</w:t>
            </w:r>
          </w:p>
        </w:tc>
      </w:tr>
      <w:tr>
        <w:trPr>
          <w:trHeight w:val="257"/>
        </w:trPr>
        <w:tc>
          <w:tcPr>
            <w:tcW w:w="2840" w:type="dxa"/>
            <w:vAlign w:val="bottom"/>
          </w:tcPr>
          <w:p>
            <w:pPr>
              <w:ind w:left="360"/>
              <w:spacing w:after="0"/>
              <w:rPr>
                <w:sz w:val="20"/>
                <w:szCs w:val="20"/>
                <w:color w:val="auto"/>
              </w:rPr>
            </w:pPr>
            <w:r>
              <w:rPr>
                <w:rFonts w:ascii="Arial" w:cs="Arial" w:eastAsia="Arial" w:hAnsi="Arial"/>
                <w:sz w:val="18"/>
                <w:szCs w:val="18"/>
                <w:color w:val="auto"/>
              </w:rPr>
              <w:t>Total open swap contracts</w:t>
            </w:r>
          </w:p>
        </w:tc>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10,155</w:t>
            </w:r>
          </w:p>
        </w:tc>
      </w:tr>
      <w:tr>
        <w:trPr>
          <w:trHeight w:val="20"/>
        </w:trPr>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2018, the Company had an aggregate liability for open derivative financial instruments of $24.7 million.</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Company’s derivative financial instruments are subject to master netting arrangements, and all but one counterparty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364" w:lineRule="exact"/>
        <w:rPr>
          <w:sz w:val="20"/>
          <w:szCs w:val="20"/>
          <w:color w:val="auto"/>
        </w:rPr>
      </w:pPr>
    </w:p>
    <w:p>
      <w:pPr>
        <w:ind w:right="200" w:firstLine="468"/>
        <w:spacing w:after="0" w:line="360"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September 30, 2018 and December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condensed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amounts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consolidated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consolidated</w:t>
            </w:r>
          </w:p>
        </w:tc>
      </w:tr>
      <w:tr>
        <w:trPr>
          <w:trHeight w:val="194"/>
        </w:trPr>
        <w:tc>
          <w:tcPr>
            <w:tcW w:w="60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16"/>
                <w:szCs w:val="16"/>
                <w:color w:val="auto"/>
              </w:rPr>
            </w:pPr>
          </w:p>
        </w:tc>
        <w:tc>
          <w:tcPr>
            <w:tcW w:w="156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16"/>
                <w:szCs w:val="16"/>
                <w:color w:val="auto"/>
              </w:rPr>
            </w:pPr>
          </w:p>
        </w:tc>
        <w:tc>
          <w:tcPr>
            <w:tcW w:w="16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3"/>
              </w:rPr>
              <w:t>balance sheets</w:t>
            </w:r>
          </w:p>
        </w:tc>
        <w:tc>
          <w:tcPr>
            <w:tcW w:w="180" w:type="dxa"/>
            <w:vAlign w:val="bottom"/>
          </w:tcPr>
          <w:p>
            <w:pPr>
              <w:spacing w:after="0"/>
              <w:rPr>
                <w:sz w:val="16"/>
                <w:szCs w:val="16"/>
                <w:color w:val="auto"/>
              </w:rPr>
            </w:pPr>
          </w:p>
        </w:tc>
        <w:tc>
          <w:tcPr>
            <w:tcW w:w="1520" w:type="dxa"/>
            <w:vAlign w:val="bottom"/>
          </w:tcPr>
          <w:p>
            <w:pPr>
              <w:jc w:val="center"/>
              <w:ind w:right="90"/>
              <w:spacing w:after="0" w:line="194" w:lineRule="exact"/>
              <w:rPr>
                <w:sz w:val="20"/>
                <w:szCs w:val="20"/>
                <w:color w:val="auto"/>
              </w:rPr>
            </w:pPr>
            <w:r>
              <w:rPr>
                <w:rFonts w:ascii="Arial" w:cs="Arial" w:eastAsia="Arial" w:hAnsi="Arial"/>
                <w:sz w:val="18"/>
                <w:szCs w:val="18"/>
                <w:b w:val="1"/>
                <w:bCs w:val="1"/>
                <w:color w:val="auto"/>
                <w:w w:val="85"/>
              </w:rPr>
              <w:t>balance sheets</w:t>
            </w:r>
          </w:p>
        </w:tc>
      </w:tr>
      <w:tr>
        <w:trPr>
          <w:trHeight w:val="48"/>
        </w:trPr>
        <w:tc>
          <w:tcPr>
            <w:tcW w:w="40" w:type="dxa"/>
            <w:vAlign w:val="bottom"/>
            <w:tcBorders>
              <w:bottom w:val="single" w:sz="8" w:color="CCEEFF"/>
            </w:tcBorders>
          </w:tcPr>
          <w:p>
            <w:pPr>
              <w:spacing w:after="0"/>
              <w:rPr>
                <w:sz w:val="4"/>
                <w:szCs w:val="4"/>
                <w:color w:val="auto"/>
              </w:rPr>
            </w:pPr>
          </w:p>
        </w:tc>
        <w:tc>
          <w:tcPr>
            <w:tcW w:w="1780" w:type="dxa"/>
            <w:vAlign w:val="bottom"/>
            <w:tcBorders>
              <w:top w:val="single" w:sz="8" w:color="auto"/>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49,723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(49,719)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(19,740)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97"/>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(24,732)</w:t>
            </w:r>
          </w:p>
        </w:tc>
      </w:tr>
      <w:tr>
        <w:trPr>
          <w:trHeight w:val="23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131,092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(129,902)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257"/>
        </w:trPr>
        <w:tc>
          <w:tcPr>
            <w:tcW w:w="40" w:type="dxa"/>
            <w:vAlign w:val="bottom"/>
          </w:tcPr>
          <w:p>
            <w:pPr>
              <w:spacing w:after="0"/>
              <w:rPr>
                <w:sz w:val="22"/>
                <w:szCs w:val="22"/>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following table summarizes the location and aggregate fair value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Type of Instrument</w:t>
            </w:r>
          </w:p>
        </w:tc>
        <w:tc>
          <w:tcPr>
            <w:tcW w:w="5420" w:type="dxa"/>
            <w:vAlign w:val="bottom"/>
            <w:gridSpan w:val="2"/>
          </w:tcPr>
          <w:p>
            <w:pPr>
              <w:ind w:left="96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5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380"/>
              <w:spacing w:after="0"/>
              <w:rPr>
                <w:sz w:val="20"/>
                <w:szCs w:val="20"/>
                <w:color w:val="auto"/>
              </w:rPr>
            </w:pPr>
            <w:r>
              <w:rPr>
                <w:rFonts w:ascii="Arial" w:cs="Arial" w:eastAsia="Arial" w:hAnsi="Arial"/>
                <w:sz w:val="18"/>
                <w:szCs w:val="18"/>
                <w:color w:val="auto"/>
              </w:rPr>
              <w:t>Oil</w:t>
            </w: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Revenues: Realized gain (loss) on derivatives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5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Revenues: Realized gain (loss) on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7"/>
        </w:trPr>
        <w:tc>
          <w:tcPr>
            <w:tcW w:w="7440" w:type="dxa"/>
            <w:vAlign w:val="bottom"/>
            <w:gridSpan w:val="3"/>
          </w:tcPr>
          <w:p>
            <w:pPr>
              <w:ind w:left="600"/>
              <w:spacing w:after="0"/>
              <w:rPr>
                <w:sz w:val="20"/>
                <w:szCs w:val="20"/>
                <w:color w:val="auto"/>
              </w:rPr>
            </w:pPr>
            <w:r>
              <w:rPr>
                <w:rFonts w:ascii="Arial" w:cs="Arial" w:eastAsia="Arial" w:hAnsi="Arial"/>
                <w:sz w:val="18"/>
                <w:szCs w:val="18"/>
                <w:color w:val="auto"/>
              </w:rPr>
              <w:t>Realized gain (loss) on derivatives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w:t>
            </w:r>
          </w:p>
        </w:tc>
        <w:tc>
          <w:tcPr>
            <w:tcW w:w="5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Revenues: Unrealized (loss)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15,949</w:t>
            </w:r>
          </w:p>
        </w:tc>
        <w:tc>
          <w:tcPr>
            <w:tcW w:w="0" w:type="dxa"/>
            <w:vAlign w:val="bottom"/>
          </w:tcPr>
          <w:p>
            <w:pPr>
              <w:spacing w:after="0"/>
              <w:rPr>
                <w:sz w:val="1"/>
                <w:szCs w:val="1"/>
                <w:color w:val="auto"/>
              </w:rPr>
            </w:pPr>
          </w:p>
        </w:tc>
      </w:tr>
      <w:tr>
        <w:trPr>
          <w:trHeight w:val="243"/>
        </w:trPr>
        <w:tc>
          <w:tcPr>
            <w:tcW w:w="2020" w:type="dxa"/>
            <w:vAlign w:val="bottom"/>
          </w:tcPr>
          <w:p>
            <w:pPr>
              <w:ind w:left="380"/>
              <w:spacing w:after="0"/>
              <w:rPr>
                <w:sz w:val="20"/>
                <w:szCs w:val="20"/>
                <w:color w:val="auto"/>
              </w:rPr>
            </w:pPr>
            <w:r>
              <w:rPr>
                <w:rFonts w:ascii="Arial" w:cs="Arial" w:eastAsia="Arial" w:hAnsi="Arial"/>
                <w:sz w:val="18"/>
                <w:szCs w:val="18"/>
                <w:color w:val="auto"/>
              </w:rPr>
              <w:t>Natural Gas</w:t>
            </w: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Revenues: Unrealized (loss) gain on derivatives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NGL</w:t>
            </w:r>
          </w:p>
        </w:tc>
        <w:tc>
          <w:tcPr>
            <w:tcW w:w="5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Revenues: Unrealized loss on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440" w:type="dxa"/>
            <w:vAlign w:val="bottom"/>
            <w:gridSpan w:val="3"/>
          </w:tcPr>
          <w:p>
            <w:pPr>
              <w:ind w:left="600"/>
              <w:spacing w:after="0"/>
              <w:rPr>
                <w:sz w:val="20"/>
                <w:szCs w:val="20"/>
                <w:color w:val="auto"/>
              </w:rPr>
            </w:pPr>
            <w:r>
              <w:rPr>
                <w:rFonts w:ascii="Arial" w:cs="Arial" w:eastAsia="Arial" w:hAnsi="Arial"/>
                <w:sz w:val="18"/>
                <w:szCs w:val="18"/>
                <w:color w:val="auto"/>
              </w:rPr>
              <w:t>Unrealized (loss) gain on derivatives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(12,372)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21,449</w:t>
            </w: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5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(11,887)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ind w:left="360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00" w:lineRule="exact"/>
        <w:rPr>
          <w:sz w:val="20"/>
          <w:szCs w:val="20"/>
          <w:color w:val="auto"/>
        </w:rPr>
      </w:pPr>
    </w:p>
    <w:p>
      <w:pPr>
        <w:spacing w:after="0" w:line="38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4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September 30, 2018 and December 31, 2017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8"/>
              </w:rPr>
              <w:t>September 30, 2018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7"/>
                <w:szCs w:val="17"/>
                <w:color w:val="auto"/>
              </w:rPr>
            </w:pP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(24,714)</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(24,732)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December 31, 2017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7"/>
                <w:szCs w:val="17"/>
                <w:color w:val="auto"/>
              </w:rPr>
            </w:pP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(16,429)</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(15,239)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At September 30, 2018 and December 31, 2017,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3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At September 30, 2018, the carrying value of borrowings under the Credit Agreement approximated its fair value as it is subject to short-term floating interest rates that reflect market rates available to the Company at the time and is classified at Level 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 — Continued</w:t>
      </w:r>
    </w:p>
    <w:p>
      <w:pPr>
        <w:spacing w:after="0" w:line="36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At September 30, 2018 and December 31, 2017, the fair value of the Original 2026 Notes and the 2023 Notes was $761.3 million and $614.1 million, respectively, based on quoted market prices, which represent Level 1 inputs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Loving County, Texas Natural Gas Processing</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late 2015, the Company entered into a 15-year, fixed-fee natural gas gathering and processing agreement whereby the Company committed to deliver the anticipated natural gas production from a significant portion of its Loving County, Texas acreage in West Texas through the counterparty’s gathering system for processing at the counterparty’s facilities. Under this agreement, if the Company does not meet the volume commitment for transportation and processing at the facilities in a contract year, it will be required to pay a deficiency fee per MMBtu of natural gas deficiency. At the end of each year of the agreement, the Company can elect to have the previous year’s actual transportation and processing volumes be the new minimum commitment for each of the remaining years of the contract. As such, the Company has the ability to unilaterally reduce the gathering and processing commitment if the Company’s production in the Loving County area is less than the Company’s minimum commitment. If the Company ceased operations in this area at September 30, 2018, the total deficiency fee required to be paid would be approximately $12.5 million. In addition, if the Company elects to reduce the gathering and processing commitment in any year, the Company has the ability to elect to increase the committed volumes in any future year to the originally agreed gathering and processing commitment. Any quantity in excess of the volume commitment delivered in a contract year can be carried over to the next contract year for purposes of calculating that year’s natural gas deficiency. The Company paid approximately $4.8 million and $4.0 million in natural gas processing and gathering fees under this agreement during the three months ended September 30, 2018 and 2017, respectively, and $12.2 million and $10.8 million in natural gas processing and gathering fees under this agreement during the nine months ended September 30, 2018 and 2017, respectively. The Company can elect to either sell the residue gas to the counterparty at the tailgate of its processing plants or have the counterparty deliver to the Company the residue gas in-kind to be sold to third parties downstream of the plants.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Delaware Basin — Eddy County, New Mexico Natural Gas Transportation</w:t>
      </w:r>
    </w:p>
    <w:p>
      <w:pPr>
        <w:spacing w:after="0" w:line="11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late 2017, the Company entered into an 18-year, fixed-fee natural gas transportation agreement whereby the Company committed to deliver a portion of the residue natural gas production at the tailgate of San Mateo’s Black River cryogenic natural gas processing plant in the Rustler Breaks asset area (the “Black River Processing Plant”) to transport through the counterparty’s pipeline. Under this agreement, if the Company does not meet the volume commitment for transportation in a contract year, the Company will owe the fees to transport the committed volume whether or not the committed volume is utilized. The minimum contractual obligation at September 30, 2018 was approximately $45.2 million. The Company paid approximately $1.0 million and $2.5 million in transportation fees under this agreement during the three and nine months ended September 30, 2018, respectively.</w:t>
      </w:r>
    </w:p>
    <w:p>
      <w:pPr>
        <w:spacing w:after="0" w:line="5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late 2017, the Company also entered into a fixed-fee NGL transportation and fractionation agreement whereby the Company committed to deliver its NGL production at the tailgate of the Black River Processing Plant. The Company is committed to deliver a minimum amount of NGLs to the counterparty upon construction and completion of a pipeline expansion and a fractionation facility by the counterparty, which is currently expected to be completed in late 2019.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$132.3 million.</w:t>
      </w:r>
    </w:p>
    <w:p>
      <w:pPr>
        <w:spacing w:after="0" w:line="7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April 2018, the Company entered into a short-term natural gas transportation agreement whereby the Company committed to deliver a portion of the residue natural gas production at the tailgate of the Black River Processing Plant to transport through the counterparty’s pipeline. Under this short-term agreement, the Company will owe the fees to transport the committed volume whether or not the committed volume is transported through the counterparty’s pipeline. The minimum contractual obligation under this short-term contract at September 30, 2018 was approximately $3.6 million. This short-term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 — Continued</w:t>
      </w:r>
    </w:p>
    <w:p>
      <w:pPr>
        <w:spacing w:after="0" w:line="3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agreement ends on September 30, 2019. The Company paid approximately $0.9 million and $1.1 million in transportation fees under this agreement during the three and nine months ended September 30, 2018, respectively.</w:t>
      </w:r>
    </w:p>
    <w:p>
      <w:pPr>
        <w:spacing w:after="0" w:line="62"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In April 2018, the Company also entered into a 16-year, fixed-fee natural gas transportation agreement that begins on October 1, 2019, whereby the Company committed to deliver a portion of the residue natural gas production at the tailgate of the Black River Processing Plant to transport through the counterparty’s pipeline. The Company will owe the fees to transport the committed volume whether or not the committed volume is transported through the counterparty’s pipeline. The minimum contractual obligation at September 30, 2018 was approximately $56.8 million.</w:t>
      </w:r>
    </w:p>
    <w:p>
      <w:pPr>
        <w:spacing w:after="0" w:line="6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May 2018, the Company also entered into a 10-year, fixed-fee natural gas sales agreement whereby the Company committed to deliver residue natural gas through the counterparty’s pipeline to the Texas Gulf Coast beginning on the in-service date of such pipeline, which is expected to be operational in late 2019. If the Company does not meet the volume commitment specified in the natural gas sales agreement, it may be required to pay a deficiency fee per MMBtu of natural gas deficiency. The minimum contractual obligation at September 30, 2018 was approximately $200.6 million.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In addition, the Company dedicated its current and future leasehold interests in the Rustler Breaks asset area pursuant to a 15-year, fixed-fee natural gas processing agreement (collectively with the gathering and salt water disposal agreements, the “Operational Agreements”). San Mateo provides the Company with firm service under each of the Operational Agreements in exchange for certain minimum volume commitments. The minimum contractual obligation under the Operational Agreements at September 30, 2018 was approximately $222.0 million.</w:t>
      </w:r>
    </w:p>
    <w:p>
      <w:pPr>
        <w:spacing w:after="0" w:line="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Beginning in May 2017, a subsidiary of San Mateo entered into certain agreements with third parties for the engineering, procurement, construction and installation of an expansion of the Black River Processing Plant. The expansion was completed late in the first quarter of 2018. Since inception, San Mateo’s commitments under these agreements totaled $55.3 million. The subsidiary of San Mateo paid approximately $2.0 million and $5.6 million under these agreements during the three and nine months ended September 30, 2018. As of September 30, 2018, there was no remaining obligation under these agreements.</w:t>
      </w:r>
    </w:p>
    <w:p>
      <w:pPr>
        <w:spacing w:after="0" w:line="8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During the first quarter of 2018, a subsidiary of San Mateo entered into agreements for additional field compression and an amine gas treatment unit to maximize the operation of the Black River Processing Plant. Since inception, San Mateo’s commitments under these agreements totaled $24.8 million. The subsidiary of San Mateo paid approximately $6.3 million and $12.8 million under these agreements during the three and nine months ended September 30, 2018. As of September 30, 2018, the remaining obligations under these agreements were $12.0 million, which are expected to be paid within the next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11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$32.8 million at September 30, 2018.</w:t>
      </w:r>
    </w:p>
    <w:p>
      <w:pPr>
        <w:spacing w:after="0" w:line="5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At September 30, 2018, the Company had outstanding commitments to participate in the drilling and completion of various non-operated wells. If all of these wells are drilled and completed as proposed, the Company’s minimum outstanding aggregate commitments for its participation in these non-operated wells were approximately $44.2 million at September 30, 2018. The Company expects these costs to be incurred within the next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is a party to several lawsuits encountered in the ordinary course of its business. While the ultimate outcome and impact on the Company cannot be predicted with certainty, in the opinion of management, it is remote that these lawsuits will have a material adverse impact on the Company’s financial condition, results of operations or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current accrued liabilities at September 30, 2018 and December 31, 2017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105,347</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midstream property costs</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14,823</w:t>
            </w:r>
          </w:p>
        </w:tc>
      </w:tr>
      <w:tr>
        <w:trPr>
          <w:trHeight w:val="27"/>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8,345</w:t>
            </w:r>
          </w:p>
        </w:tc>
      </w:tr>
      <w:tr>
        <w:trPr>
          <w:trHeight w:val="27"/>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27,628</w:t>
            </w:r>
          </w:p>
        </w:tc>
      </w:tr>
      <w:tr>
        <w:trPr>
          <w:trHeight w:val="27"/>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w:t>
            </w:r>
          </w:p>
        </w:tc>
      </w:tr>
      <w:tr>
        <w:trPr>
          <w:trHeight w:val="237"/>
        </w:trPr>
        <w:tc>
          <w:tcPr>
            <w:tcW w:w="7720" w:type="dxa"/>
            <w:vAlign w:val="bottom"/>
          </w:tcPr>
          <w:p>
            <w:pPr>
              <w:ind w:left="68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174,348</w:t>
            </w:r>
          </w:p>
        </w:tc>
      </w:tr>
      <w:tr>
        <w:trPr>
          <w:trHeight w:val="27"/>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provides supplemental disclosures of cash flow information for the nine months ended September 30, 2018 and 2017 (in thousands).</w:t>
      </w:r>
    </w:p>
    <w:p>
      <w:pPr>
        <w:spacing w:after="0" w:line="112"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14,542</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2,484</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asset retirement obligations related to midstream properties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Increase in liabilities for oil and natural gas properties 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35,940</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liabilities for midstream properties capital expenditures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Stock-based compensation expense recognized as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liabilities for accrued cost to issue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Increase in liabilities for accrued cost to issue senior notes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from oil and natural gas properties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Transfer of inventory to midstream and other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97"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20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2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25" w:right="5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36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operates in two business segments: (i) exploration and production and (ii) midstream. The exploration and production segment is engaged in the acquisition, exploration, development and production of oil and natural gas properties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The midstream segment conducts midstream operations in support of the Company’s exploration, development and production operations and provides natural gas processing, oil transportation services, natural gas, oil and salt water gathering services and salt water disposal services to third parties. Substantially all of the Company’s midstream operations in the Rustler Breaks and Wolf asset areas in the Delaware Basin are conducted through San Mateo.</w:t>
      </w:r>
    </w:p>
    <w:p>
      <w:pPr>
        <w:spacing w:after="0" w:line="5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215,248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216,282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128,263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19,041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139,325</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71,072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2,697,685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391,323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65,194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3,154,202</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716,751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764,216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$67.2 million and $2.6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$7.3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$554.9 million attributable to land and seismic acquisition expenditures related to the exploration and production segment and $23.1 million in capital expenditures attributable to non-controlling interest in subsidiaries related to the midstream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134,488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134,948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86,728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15,447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99,730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1,590,677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222,274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35,586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1,848,537</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180,686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217,188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$46.1 million and $1.3 million for the exploration and production and midstream segments, respectively. Also includes corporate depletion, depreciation and amortization expenses of $0.4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$2.9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$17.2 million in capital expenditures attributable to non-controlling interest in subsidiaries related to the midstream segment.</w:t>
      </w:r>
    </w:p>
    <w:p>
      <w:pPr>
        <w:spacing w:after="0" w:line="32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Exploration and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Consolidations and</w:t>
            </w:r>
          </w:p>
        </w:tc>
        <w:tc>
          <w:tcPr>
            <w:tcW w:w="14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2018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602,737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607,255</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13,284</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r>
      <w:tr>
        <w:trPr>
          <w:trHeight w:val="270"/>
        </w:trPr>
        <w:tc>
          <w:tcPr>
            <w:tcW w:w="38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359,830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26,723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394,517</w:t>
            </w:r>
          </w:p>
        </w:tc>
      </w:tr>
      <w:tr>
        <w:trPr>
          <w:trHeight w:val="264"/>
        </w:trPr>
        <w:tc>
          <w:tcPr>
            <w:tcW w:w="38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232,093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215,208</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2,697,685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391,323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65,194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3,154,202</w:t>
            </w:r>
          </w:p>
        </w:tc>
      </w:tr>
      <w:tr>
        <w:trPr>
          <w:trHeight w:val="257"/>
        </w:trPr>
        <w:tc>
          <w:tcPr>
            <w:tcW w:w="38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1,105,541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125,770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1,232,881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98" w:lineRule="exact"/>
        <w:rPr>
          <w:sz w:val="20"/>
          <w:szCs w:val="20"/>
          <w:color w:val="auto"/>
        </w:rPr>
      </w:pPr>
    </w:p>
    <w:p>
      <w:pPr>
        <w:ind w:left="340" w:right="58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$184.4 million and $6.5 million for the exploration and production and midstream segments, respectively. Also includes corporate depletion, depreciation and amortization expenses of $1.8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$18.2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$613.8 million attributable to land and seismic acquisition expenditures related to the exploration and production segment and $61.6 million in capital expenditures attributable to non-controlling interest in subsidiaries related to the midstream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Exploration and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Consolidations and</w:t>
            </w:r>
          </w:p>
        </w:tc>
        <w:tc>
          <w:tcPr>
            <w:tcW w:w="14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362,040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363,559</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21,449</w:t>
            </w:r>
          </w:p>
        </w:tc>
      </w:tr>
      <w:tr>
        <w:trPr>
          <w:trHeight w:val="270"/>
        </w:trPr>
        <w:tc>
          <w:tcPr>
            <w:tcW w:w="38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233,145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16,060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47,055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270,887</w:t>
            </w:r>
          </w:p>
        </w:tc>
      </w:tr>
      <w:tr>
        <w:trPr>
          <w:trHeight w:val="264"/>
        </w:trPr>
        <w:tc>
          <w:tcPr>
            <w:tcW w:w="38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119,816</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1,590,677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222,274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35,586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1,848,537</w:t>
            </w:r>
          </w:p>
        </w:tc>
      </w:tr>
      <w:tr>
        <w:trPr>
          <w:trHeight w:val="257"/>
        </w:trPr>
        <w:tc>
          <w:tcPr>
            <w:tcW w:w="38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634,587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98" w:lineRule="exact"/>
        <w:rPr>
          <w:sz w:val="20"/>
          <w:szCs w:val="20"/>
          <w:color w:val="auto"/>
        </w:rPr>
      </w:pPr>
    </w:p>
    <w:p>
      <w:pPr>
        <w:ind w:left="340" w:right="560" w:hanging="332"/>
        <w:spacing w:after="0" w:line="27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$118.2 million and $3.8 million for the exploration and production and midstream segments, respectively. Also includes corporate depletion, depreciation and amortization expenses of $1.1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$8.0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$35.8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SUBSIDIARY GUARANTORS</w:t>
      </w:r>
    </w:p>
    <w:p>
      <w:pPr>
        <w:spacing w:after="0" w:line="36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September 30, 2018,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46"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following presents condensed consolidating financial information of the issuer (Matador),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7886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8660" cy="17145"/>
                    </a:xfrm>
                    <a:prstGeom prst="rect">
                      <a:avLst/>
                    </a:prstGeom>
                    <a:noFill/>
                  </pic:spPr>
                </pic:pic>
              </a:graphicData>
            </a:graphic>
          </wp:anchor>
        </w:drawing>
      </w:r>
    </w:p>
    <w:p>
      <w:pPr>
        <w:spacing w:after="0" w:line="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Subsidiaries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940" w:type="dxa"/>
            <w:vAlign w:val="bottom"/>
            <w:gridSpan w:val="4"/>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939,294</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26,382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(965,676)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Third-party current assets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23,159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201,446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225,432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343,371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2,578,603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2,921,974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1,346,446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183,297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(1,529,743)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Third-party long-term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6,425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gridSpan w:val="2"/>
            <w:vMerge w:val="restart"/>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3,305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(2,934)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6,796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gridSpan w:val="2"/>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9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94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2,292,992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392,912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2,966,651</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(2,498,353)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3,154,202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94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965,676</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(965,676)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940" w:type="dxa"/>
            <w:vAlign w:val="bottom"/>
            <w:gridSpan w:val="4"/>
            <w:vMerge w:val="continue"/>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Third-party current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5,763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30,335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290,909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326,751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740,063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740,063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Other third-party long-term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4,003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363,620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(2,678)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364,945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840" w:type="dxa"/>
            <w:vAlign w:val="bottom"/>
            <w:gridSpan w:val="5"/>
            <w:shd w:val="clear" w:color="auto" w:fill="CCEEFF"/>
          </w:tcPr>
          <w:p>
            <w:pPr>
              <w:ind w:left="380"/>
              <w:spacing w:after="0"/>
              <w:rPr>
                <w:sz w:val="20"/>
                <w:szCs w:val="20"/>
                <w:color w:val="auto"/>
              </w:rPr>
            </w:pPr>
            <w:r>
              <w:rPr>
                <w:rFonts w:ascii="Arial" w:cs="Arial" w:eastAsia="Arial" w:hAnsi="Arial"/>
                <w:sz w:val="14"/>
                <w:szCs w:val="14"/>
                <w:color w:val="auto"/>
              </w:rPr>
              <w:t>Total equity attributable to Matador Resources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Company</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1,547,166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183,297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1,346,446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(1,529,743)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1,547,166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175,277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gridSpan w:val="3"/>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175,277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9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94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2,292,992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392,912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2,966,651</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(2,498,353)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3,154,202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00" w:type="dxa"/>
            <w:vAlign w:val="bottom"/>
            <w:gridSpan w:val="15"/>
          </w:tcPr>
          <w:p>
            <w:pPr>
              <w:jc w:val="center"/>
              <w:ind w:left="328"/>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Intercompany receivable</w:t>
            </w:r>
          </w:p>
        </w:tc>
        <w:tc>
          <w:tcPr>
            <w:tcW w:w="94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585,109</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(588,021)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Third-party current assets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9,334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245,596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257,170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Net property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223,178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1,658,278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1,881,456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 subsidiaries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1,147,295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111,077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(1,258,372)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Third-party long-term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6,425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3,642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7,064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2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1,741,069</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235,424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2,018,593</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(1,849,396)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2,145,690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Intercompany payable</w:t>
            </w: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588,021</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(588,021)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940" w:type="dxa"/>
            <w:vAlign w:val="bottom"/>
            <w:gridSpan w:val="4"/>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Third-party current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8,847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19,891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254,142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282,606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unsecured notes payable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574,073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574,073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Other third-party long-term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1,593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3,466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29,135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(2,729)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31,465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84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rPr>
              <w:t>Total equity attributable to Matador Resources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1,156,556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111,077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1,147,295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(1,258,372)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1,156,556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Non-controlling interest in subsidiaries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100,990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100,990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2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liabilities and equity</w:t>
            </w:r>
          </w:p>
        </w:tc>
        <w:tc>
          <w:tcPr>
            <w:tcW w:w="800" w:type="dxa"/>
            <w:vAlign w:val="bottom"/>
            <w:gridSpan w:val="3"/>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1,741,069</w:t>
            </w:r>
          </w:p>
        </w:tc>
        <w:tc>
          <w:tcPr>
            <w:tcW w:w="40" w:type="dxa"/>
            <w:vAlign w:val="bottom"/>
            <w:shd w:val="clear" w:color="auto" w:fill="CCEEFF"/>
          </w:tcPr>
          <w:p>
            <w:pPr>
              <w:spacing w:after="0"/>
              <w:rPr>
                <w:sz w:val="15"/>
                <w:szCs w:val="15"/>
                <w:color w:val="auto"/>
              </w:rPr>
            </w:pPr>
          </w:p>
        </w:tc>
        <w:tc>
          <w:tcPr>
            <w:tcW w:w="10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235,424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2,018,593</w:t>
            </w:r>
          </w:p>
        </w:tc>
        <w:tc>
          <w:tcPr>
            <w:tcW w:w="40" w:type="dxa"/>
            <w:vAlign w:val="bottom"/>
            <w:vMerge w:val="restart"/>
            <w:shd w:val="clear" w:color="auto" w:fill="CCEEFF"/>
          </w:tcPr>
          <w:p>
            <w:pPr>
              <w:spacing w:after="0"/>
              <w:rPr>
                <w:sz w:val="15"/>
                <w:szCs w:val="15"/>
                <w:color w:val="auto"/>
              </w:rPr>
            </w:pPr>
          </w:p>
        </w:tc>
        <w:tc>
          <w:tcPr>
            <w:tcW w:w="100" w:type="dxa"/>
            <w:vAlign w:val="bottom"/>
            <w:gridSpan w:val="3"/>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(1,849,396)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2,145,690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29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gridSpan w:val="3"/>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gridSpan w:val="3"/>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gridSpan w:val="2"/>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gridSpan w:val="2"/>
            <w:vMerge w:val="continue"/>
            <w:shd w:val="clear" w:color="auto" w:fill="CCEEFF"/>
          </w:tcPr>
          <w:p>
            <w:pPr>
              <w:spacing w:after="0"/>
              <w:rPr>
                <w:sz w:val="5"/>
                <w:szCs w:val="5"/>
                <w:color w:val="auto"/>
              </w:rPr>
            </w:pPr>
          </w:p>
        </w:tc>
        <w:tc>
          <w:tcPr>
            <w:tcW w:w="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980" w:type="dxa"/>
            <w:vAlign w:val="bottom"/>
            <w:gridSpan w:val="20"/>
          </w:tcPr>
          <w:p>
            <w:pPr>
              <w:jc w:val="center"/>
              <w:ind w:right="68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0"/>
          </w:tcPr>
          <w:p>
            <w:pPr>
              <w:jc w:val="center"/>
              <w:ind w:right="660"/>
              <w:spacing w:after="0"/>
              <w:rPr>
                <w:sz w:val="20"/>
                <w:szCs w:val="20"/>
                <w:color w:val="auto"/>
              </w:rPr>
            </w:pPr>
            <w:r>
              <w:rPr>
                <w:rFonts w:ascii="Arial" w:cs="Arial" w:eastAsia="Arial" w:hAnsi="Arial"/>
                <w:sz w:val="14"/>
                <w:szCs w:val="14"/>
                <w:b w:val="1"/>
                <w:bCs w:val="1"/>
                <w:color w:val="auto"/>
                <w:w w:val="93"/>
              </w:rPr>
              <w:t>For the Three Months Ended September 30, 2018</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9"/>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40" w:type="dxa"/>
            <w:vAlign w:val="bottom"/>
          </w:tcPr>
          <w:p>
            <w:pPr>
              <w:spacing w:after="0"/>
              <w:rPr>
                <w:sz w:val="13"/>
                <w:szCs w:val="1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Matador</w:t>
            </w:r>
          </w:p>
        </w:tc>
        <w:tc>
          <w:tcPr>
            <w:tcW w:w="11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4"/>
            <w:vMerge w:val="restart"/>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25,640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199,386</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(17,848)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207,178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Total expenses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10,708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145,281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(17,848)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139,325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(loss) income</w:t>
            </w: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54,105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67,853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40" w:type="dxa"/>
            <w:vAlign w:val="bottom"/>
            <w:gridSpan w:val="2"/>
          </w:tcPr>
          <w:p>
            <w:pPr>
              <w:ind w:left="20"/>
              <w:spacing w:after="0"/>
              <w:rPr>
                <w:sz w:val="20"/>
                <w:szCs w:val="20"/>
                <w:color w:val="auto"/>
              </w:rPr>
            </w:pPr>
            <w:r>
              <w:rPr>
                <w:rFonts w:ascii="Arial" w:cs="Arial" w:eastAsia="Arial" w:hAnsi="Arial"/>
                <w:sz w:val="14"/>
                <w:szCs w:val="14"/>
                <w:color w:val="auto"/>
                <w:w w:val="95"/>
              </w:rPr>
              <w:t>Net loss on asset sales and inventory impairment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(10,340)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25" w:right="49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Prepayment premium on extinguishment of debt</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(31,226)</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Arial" w:cs="Arial" w:eastAsia="Arial" w:hAnsi="Arial"/>
                <w:sz w:val="14"/>
                <w:szCs w:val="14"/>
                <w:color w:val="auto"/>
              </w:rPr>
              <w:t>Earnings in subsidiaries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60,550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7,619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(68,169)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0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Income before income taxes</w:t>
            </w: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17,794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14,940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60,550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(68,169)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25,115</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0" w:type="dxa"/>
            <w:vAlign w:val="bottom"/>
          </w:tcPr>
          <w:p>
            <w:pPr>
              <w:spacing w:after="0"/>
              <w:rPr>
                <w:sz w:val="1"/>
                <w:szCs w:val="1"/>
                <w:color w:val="auto"/>
              </w:rPr>
            </w:pPr>
          </w:p>
        </w:tc>
      </w:tr>
      <w:tr>
        <w:trPr>
          <w:trHeight w:val="143"/>
        </w:trPr>
        <w:tc>
          <w:tcPr>
            <w:tcW w:w="304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w w:val="92"/>
              </w:rPr>
              <w:t>Net income attributable to Matador Resources</w:t>
            </w:r>
          </w:p>
        </w:tc>
        <w:tc>
          <w:tcPr>
            <w:tcW w:w="4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17,794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7,619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60,550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(68,169)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17,794</w:t>
            </w:r>
          </w:p>
        </w:tc>
        <w:tc>
          <w:tcPr>
            <w:tcW w:w="0" w:type="dxa"/>
            <w:vAlign w:val="bottom"/>
          </w:tcPr>
          <w:p>
            <w:pPr>
              <w:spacing w:after="0"/>
              <w:rPr>
                <w:sz w:val="1"/>
                <w:szCs w:val="1"/>
                <w:color w:val="auto"/>
              </w:rPr>
            </w:pPr>
          </w:p>
        </w:tc>
      </w:tr>
      <w:tr>
        <w:trPr>
          <w:trHeight w:val="181"/>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Company shareholders</w:t>
            </w:r>
          </w:p>
        </w:tc>
        <w:tc>
          <w:tcPr>
            <w:tcW w:w="42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040" w:type="dxa"/>
            <w:vAlign w:val="bottom"/>
          </w:tcPr>
          <w:p>
            <w:pPr>
              <w:spacing w:after="0"/>
              <w:rPr>
                <w:sz w:val="24"/>
                <w:szCs w:val="24"/>
                <w:color w:val="auto"/>
              </w:rPr>
            </w:pPr>
          </w:p>
        </w:tc>
        <w:tc>
          <w:tcPr>
            <w:tcW w:w="39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10"/>
          </w:tcPr>
          <w:p>
            <w:pPr>
              <w:jc w:val="center"/>
              <w:ind w:right="820"/>
              <w:spacing w:after="0"/>
              <w:rPr>
                <w:sz w:val="20"/>
                <w:szCs w:val="20"/>
                <w:color w:val="auto"/>
              </w:rPr>
            </w:pPr>
            <w:r>
              <w:rPr>
                <w:rFonts w:ascii="Arial" w:cs="Arial" w:eastAsia="Arial" w:hAnsi="Arial"/>
                <w:sz w:val="14"/>
                <w:szCs w:val="14"/>
                <w:b w:val="1"/>
                <w:bCs w:val="1"/>
                <w:color w:val="auto"/>
                <w:w w:val="93"/>
              </w:rPr>
              <w:t>For the Three Months Ended September 30, 2017</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2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00" w:orient="portrait"/>
          <w:cols w:equalWidth="0" w:num="1">
            <w:col w:w="9200"/>
          </w:cols>
          <w:pgMar w:left="1360" w:top="121" w:right="1339" w:bottom="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gain on asset sales and inventory impairment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(benefit) provision</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11,242</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122,675</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(7,638)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126,279</w:t>
            </w:r>
          </w:p>
        </w:tc>
      </w:tr>
      <w:tr>
        <w:trPr>
          <w:trHeight w:val="276"/>
        </w:trPr>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100,940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99,730</w:t>
            </w:r>
          </w:p>
        </w:tc>
      </w:tr>
      <w:tr>
        <w:trPr>
          <w:trHeight w:val="244"/>
        </w:trPr>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26,549</w:t>
            </w:r>
          </w:p>
        </w:tc>
      </w:tr>
      <w:tr>
        <w:trPr>
          <w:trHeight w:val="270"/>
        </w:trPr>
        <w:tc>
          <w:tcPr>
            <w:tcW w:w="3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(8,550)</w:t>
            </w:r>
          </w:p>
        </w:tc>
      </w:tr>
      <w:tr>
        <w:trPr>
          <w:trHeight w:val="270"/>
        </w:trPr>
        <w:tc>
          <w:tcPr>
            <w:tcW w:w="3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3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24,674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2,997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14,976</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24,674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(27,671)</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17,979</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7"/>
        </w:trPr>
        <w:tc>
          <w:tcPr>
            <w:tcW w:w="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(2,940)</w:t>
            </w:r>
          </w:p>
        </w:tc>
      </w:tr>
      <w:tr>
        <w:trPr>
          <w:trHeight w:val="318"/>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15,039</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2,997</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24,674</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(27,671)</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15,039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-1663065</wp:posOffset>
            </wp:positionV>
            <wp:extent cx="584009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-1320165</wp:posOffset>
            </wp:positionV>
            <wp:extent cx="584009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-977265</wp:posOffset>
            </wp:positionV>
            <wp:extent cx="584009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-633730</wp:posOffset>
            </wp:positionV>
            <wp:extent cx="584009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-239395</wp:posOffset>
            </wp:positionV>
            <wp:extent cx="584009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60" w:space="400"/>
            <w:col w:w="574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58400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32"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00"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 on asset sales and inventory impairment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Prepayment premium on extinguishment of debt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64,190</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592,085</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(46,550)</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609,725</w:t>
            </w:r>
          </w:p>
        </w:tc>
      </w:tr>
      <w:tr>
        <w:trPr>
          <w:trHeight w:val="276"/>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27,102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410,369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(46,550)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394,517</w:t>
            </w:r>
          </w:p>
        </w:tc>
      </w:tr>
      <w:tr>
        <w:trPr>
          <w:trHeight w:val="244"/>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181,716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215,208</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(26,835)</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(1,275)</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(31,226)</w:t>
            </w:r>
          </w:p>
        </w:tc>
      </w:tr>
      <w:tr>
        <w:trPr>
          <w:trHeight w:val="276"/>
        </w:trPr>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199,151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18,925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(218,076)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137,494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37,107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199,151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(218,076)</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155,676</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(18,182)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(18,182)</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137,494</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18,925</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199,151</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(218,076)</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137,494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-1663065</wp:posOffset>
            </wp:positionV>
            <wp:extent cx="584009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-1320165</wp:posOffset>
            </wp:positionV>
            <wp:extent cx="584009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-977265</wp:posOffset>
            </wp:positionV>
            <wp:extent cx="584009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-633730</wp:posOffset>
            </wp:positionV>
            <wp:extent cx="584009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-239395</wp:posOffset>
            </wp:positionV>
            <wp:extent cx="5840095"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60" w:space="400"/>
            <w:col w:w="574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58400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32" w:lineRule="exact"/>
        <w:rPr>
          <w:sz w:val="20"/>
          <w:szCs w:val="20"/>
          <w:color w:val="auto"/>
        </w:rPr>
      </w:pPr>
    </w:p>
    <w:tbl>
      <w:tblPr>
        <w:tblLayout w:type="fixed"/>
        <w:tblInd w:w="374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00"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gain on asset sales and inventory impairment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(benefit) provision</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32,179</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382,520</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(23,996)</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390,703</w:t>
            </w:r>
          </w:p>
        </w:tc>
      </w:tr>
      <w:tr>
        <w:trPr>
          <w:trHeight w:val="276"/>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13,935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276,927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270,887</w:t>
            </w:r>
          </w:p>
        </w:tc>
      </w:tr>
      <w:tr>
        <w:trPr>
          <w:trHeight w:val="244"/>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105,593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119,816</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(26,229)</w:t>
            </w:r>
          </w:p>
        </w:tc>
      </w:tr>
      <w:tr>
        <w:trPr>
          <w:trHeight w:val="270"/>
        </w:trPr>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1,956</w:t>
            </w:r>
          </w:p>
        </w:tc>
      </w:tr>
      <w:tr>
        <w:trPr>
          <w:trHeight w:val="276"/>
        </w:trPr>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117,574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10,066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(127,640)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87,351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18,281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117,574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(127,640)</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95,566</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(8,034)</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87,532</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10,066</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117,574</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(127,640)</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87,532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-1663065</wp:posOffset>
            </wp:positionV>
            <wp:extent cx="584009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-1320165</wp:posOffset>
            </wp:positionV>
            <wp:extent cx="584009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-977265</wp:posOffset>
            </wp:positionV>
            <wp:extent cx="584009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-633730</wp:posOffset>
            </wp:positionV>
            <wp:extent cx="584009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-239395</wp:posOffset>
            </wp:positionV>
            <wp:extent cx="5840095"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60" w:space="440"/>
            <w:col w:w="570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(361,016)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12,318</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768,016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419,318</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(120,836)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(1,152,987)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53,295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(1,220,528)</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361,155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334,476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751,736</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Increase (decrease) in cash and restricted cash</w:t>
            </w:r>
          </w:p>
        </w:tc>
        <w:tc>
          <w:tcPr>
            <w:tcW w:w="16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(50,495)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(49,474)</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period</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74"/>
        </w:trPr>
        <w:tc>
          <w:tcPr>
            <w:tcW w:w="36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9200"/>
          </w:cols>
          <w:pgMar w:left="1360" w:top="121" w:right="1339" w:bottom="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6,545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46,038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53,008</w:t>
            </w:r>
          </w:p>
        </w:tc>
        <w:tc>
          <w:tcPr>
            <w:tcW w:w="0" w:type="dxa"/>
            <w:vAlign w:val="bottom"/>
          </w:tcPr>
          <w:p>
            <w:pPr>
              <w:spacing w:after="0"/>
              <w:rPr>
                <w:sz w:val="1"/>
                <w:szCs w:val="1"/>
                <w:color w:val="auto"/>
              </w:rPr>
            </w:pPr>
          </w:p>
        </w:tc>
      </w:tr>
      <w:tr>
        <w:trPr>
          <w:trHeight w:val="53"/>
        </w:trPr>
        <w:tc>
          <w:tcPr>
            <w:tcW w:w="3620" w:type="dxa"/>
            <w:vAlign w:val="bottom"/>
            <w:gridSpan w:val="2"/>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000" w:type="dxa"/>
            <w:vAlign w:val="bottom"/>
            <w:gridSpan w:val="11"/>
          </w:tcPr>
          <w:p>
            <w:pPr>
              <w:jc w:val="center"/>
              <w:ind w:left="2108"/>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0"/>
          </w:tcPr>
          <w:p>
            <w:pPr>
              <w:jc w:val="center"/>
              <w:ind w:right="900"/>
              <w:spacing w:after="0"/>
              <w:rPr>
                <w:sz w:val="20"/>
                <w:szCs w:val="20"/>
                <w:color w:val="auto"/>
              </w:rPr>
            </w:pPr>
            <w:r>
              <w:rPr>
                <w:rFonts w:ascii="Arial" w:cs="Arial" w:eastAsia="Arial" w:hAnsi="Arial"/>
                <w:sz w:val="14"/>
                <w:szCs w:val="14"/>
                <w:b w:val="1"/>
                <w:bCs w:val="1"/>
                <w:color w:val="auto"/>
                <w:w w:val="93"/>
              </w:rPr>
              <w:t>For the Nine Months Ended September 30, 2017</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Net cash (used in) provided by operating activities</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(99,546)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24,075</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297,987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222,516</w:t>
            </w:r>
          </w:p>
        </w:tc>
        <w:tc>
          <w:tcPr>
            <w:tcW w:w="0" w:type="dxa"/>
            <w:vAlign w:val="bottom"/>
          </w:tcPr>
          <w:p>
            <w:pPr>
              <w:spacing w:after="0"/>
              <w:rPr>
                <w:sz w:val="1"/>
                <w:szCs w:val="1"/>
                <w:color w:val="auto"/>
              </w:rPr>
            </w:pPr>
          </w:p>
        </w:tc>
      </w:tr>
      <w:tr>
        <w:trPr>
          <w:trHeight w:val="80"/>
        </w:trPr>
        <w:tc>
          <w:tcPr>
            <w:tcW w:w="310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tcPr>
          <w:p>
            <w:pPr>
              <w:ind w:left="20"/>
              <w:spacing w:after="0"/>
              <w:rPr>
                <w:sz w:val="20"/>
                <w:szCs w:val="20"/>
                <w:color w:val="auto"/>
              </w:rPr>
            </w:pPr>
            <w:r>
              <w:rPr>
                <w:rFonts w:ascii="Arial" w:cs="Arial" w:eastAsia="Arial" w:hAnsi="Arial"/>
                <w:sz w:val="14"/>
                <w:szCs w:val="14"/>
                <w:color w:val="auto"/>
                <w:w w:val="99"/>
              </w:rPr>
              <w:t>Net cash provided by (used in) investing activities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(75,749)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(387,257)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(133,880)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(596,853)</w:t>
            </w:r>
          </w:p>
        </w:tc>
        <w:tc>
          <w:tcPr>
            <w:tcW w:w="0" w:type="dxa"/>
            <w:vAlign w:val="bottom"/>
          </w:tcPr>
          <w:p>
            <w:pPr>
              <w:spacing w:after="0"/>
              <w:rPr>
                <w:sz w:val="1"/>
                <w:szCs w:val="1"/>
                <w:color w:val="auto"/>
              </w:rPr>
            </w:pPr>
          </w:p>
        </w:tc>
      </w:tr>
      <w:tr>
        <w:trPr>
          <w:trHeight w:val="74"/>
        </w:trPr>
        <w:tc>
          <w:tcPr>
            <w:tcW w:w="3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Net cash provided by (used in) financing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58,732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133,880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191,117</w:t>
            </w:r>
          </w:p>
        </w:tc>
        <w:tc>
          <w:tcPr>
            <w:tcW w:w="0" w:type="dxa"/>
            <w:vAlign w:val="bottom"/>
          </w:tcPr>
          <w:p>
            <w:pPr>
              <w:spacing w:after="0"/>
              <w:rPr>
                <w:sz w:val="1"/>
                <w:szCs w:val="1"/>
                <w:color w:val="auto"/>
              </w:rPr>
            </w:pPr>
          </w:p>
        </w:tc>
      </w:tr>
      <w:tr>
        <w:trPr>
          <w:trHeight w:val="80"/>
        </w:trPr>
        <w:tc>
          <w:tcPr>
            <w:tcW w:w="3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380"/>
              <w:spacing w:after="0"/>
              <w:rPr>
                <w:sz w:val="20"/>
                <w:szCs w:val="20"/>
                <w:color w:val="auto"/>
              </w:rPr>
            </w:pPr>
            <w:r>
              <w:rPr>
                <w:rFonts w:ascii="Arial" w:cs="Arial" w:eastAsia="Arial" w:hAnsi="Arial"/>
                <w:sz w:val="14"/>
                <w:szCs w:val="14"/>
                <w:color w:val="auto"/>
                <w:w w:val="91"/>
              </w:rPr>
              <w:t>(Decrease) increase in cash and restricted cash</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(99,513)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7,058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(90,765)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(183,220)</w:t>
            </w:r>
          </w:p>
        </w:tc>
        <w:tc>
          <w:tcPr>
            <w:tcW w:w="0" w:type="dxa"/>
            <w:vAlign w:val="bottom"/>
          </w:tcPr>
          <w:p>
            <w:pPr>
              <w:spacing w:after="0"/>
              <w:rPr>
                <w:sz w:val="1"/>
                <w:szCs w:val="1"/>
                <w:color w:val="auto"/>
              </w:rPr>
            </w:pPr>
          </w:p>
        </w:tc>
      </w:tr>
      <w:tr>
        <w:trPr>
          <w:trHeight w:val="74"/>
        </w:trPr>
        <w:tc>
          <w:tcPr>
            <w:tcW w:w="3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2"/>
              </w:rPr>
              <w:t>Cash and restricted cash at beginning of period</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99,795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214,142</w:t>
            </w:r>
          </w:p>
        </w:tc>
        <w:tc>
          <w:tcPr>
            <w:tcW w:w="0" w:type="dxa"/>
            <w:vAlign w:val="bottom"/>
          </w:tcPr>
          <w:p>
            <w:pPr>
              <w:spacing w:after="0"/>
              <w:rPr>
                <w:sz w:val="1"/>
                <w:szCs w:val="1"/>
                <w:color w:val="auto"/>
              </w:rPr>
            </w:pPr>
          </w:p>
        </w:tc>
      </w:tr>
      <w:tr>
        <w:trPr>
          <w:trHeight w:val="80"/>
        </w:trPr>
        <w:tc>
          <w:tcPr>
            <w:tcW w:w="3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9,958</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20,682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30,922</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p>
    <w:p>
      <w:pPr>
        <w:sectPr>
          <w:pgSz w:w="11900" w:h="16838" w:orient="portrait"/>
          <w:cols w:equalWidth="0" w:num="1">
            <w:col w:w="9200"/>
          </w:cols>
          <w:pgMar w:left="1360" w:top="134" w:right="1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2017 (the “Annual Report”) filed with the Securities and Exchange Commission (“SEC”), along with Management’s Discussion and Analysis of Financial Condition and Results of Operations contained in the Annual Report. The Annual Report is accessible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xml:space="preserve"> and on our website at </w:t>
      </w:r>
      <w:r>
        <w:rPr>
          <w:rFonts w:ascii="Arial" w:cs="Arial" w:eastAsia="Arial" w:hAnsi="Arial"/>
          <w:sz w:val="17"/>
          <w:szCs w:val="17"/>
          <w:i w:val="1"/>
          <w:iCs w:val="1"/>
          <w:u w:val="single" w:color="auto"/>
          <w:color w:val="auto"/>
        </w:rPr>
        <w:t>www.matadorresources.com</w:t>
      </w:r>
      <w:r>
        <w:rPr>
          <w:rFonts w:ascii="Arial" w:cs="Arial" w:eastAsia="Arial" w:hAnsi="Arial"/>
          <w:sz w:val="17"/>
          <w:szCs w:val="17"/>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i w:val="1"/>
          <w:iCs w:val="1"/>
          <w:color w:val="auto"/>
        </w:rPr>
        <w:t>In this Quarterly Report on Form 10-Q (the “Quarterly Report”), references to “we,” “our” or the “Company” refer to Matador Resources Company and its subsidiaries as a whole (unless the context indicates otherwise) and references to “Matador” refer solely to Matador Resources Company. For certain oil and natural gas terms used in this Quarterly Report, please see the “Glossary of Oil and Natural Gas Terms” included with the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or the Securities Act, and Section 21E of the Securities Exchange Act of 1934, as amended, or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changes in oil, natural gas and natural gas liquids prices and the demand for oil, natural gas and natural gas liquids, the success of our drilling program, the timing of planned capital expenditures, the sufficiency of our cash flow from operations together with available borrowing capacity under our credit agreement, uncertainties in estimating proved reserves and forecasting production results, operational factors affecting the commencement or maintenance of producing wells, the condition of the capital markets generally, as well as our ability to access them, the proximity to our properties and capacity of transportation facilities, availability of acquisitions, our ability to integrate acquisitions with our business, weather and environmental conditions, uncertainties regarding environmental regulations or litigation and other legal or regulatory developments affecting our business, and the other factors discussed below and elsewhere in this Quarterly Report and in other documents that we file with or furnish to the SEC, all of which are difficult to predict. Forward-looking statements may include statements about:</w:t>
      </w:r>
    </w:p>
    <w:p>
      <w:pPr>
        <w:spacing w:after="0" w:line="75"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reserves;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320" w:hanging="321"/>
        <w:spacing w:after="0" w:line="25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and operate midstream facilities, including the operation of our Black River cryogenic natural gas processing plant and the drilling of additional salt water disposal wells;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midstream joint venture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estimated future reserves and the present value thereof;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 conduct midstream operations, primarily through our midstream joint venture, San Mateo Midstream, LLC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and Year-to-Date Highlights</w:t>
      </w:r>
    </w:p>
    <w:p>
      <w:pPr>
        <w:spacing w:after="0" w:line="117"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For the three months ended September 30, 2018, our total oil equivalent production was 5.0 million BOE, and our average daily oil equivalent production was 54,625 BOE per day, of which 32,317 Bbl per day, or 59%, was oil and 133.8 MMcf per day, or 41%, was natural gas. Our oil production of</w:t>
      </w:r>
    </w:p>
    <w:p>
      <w:pPr>
        <w:ind w:right="20"/>
        <w:spacing w:after="0" w:line="269" w:lineRule="auto"/>
        <w:rPr>
          <w:sz w:val="20"/>
          <w:szCs w:val="20"/>
          <w:color w:val="auto"/>
        </w:rPr>
      </w:pPr>
      <w:r>
        <w:rPr>
          <w:rFonts w:ascii="Arial" w:cs="Arial" w:eastAsia="Arial" w:hAnsi="Arial"/>
          <w:sz w:val="17"/>
          <w:szCs w:val="17"/>
          <w:color w:val="auto"/>
        </w:rPr>
        <w:t>3.0 million Bbl for the three months ended September 30, 2018 increased 37% year-over-year from 2.2 million Bbl for the three months ended September 30, 2017. Our natural gas production of 12.3 Bcf for the three months ended September 30, 2018 increased 21% year-over-year from 10.2 Bcf for the three months ended September 30, 2017. For the nine months ended September 30, 2018, our total oil equivalent production was 13.9 million BOE, and our average daily oil equivalent production was 50,979 BOE per day, of which 29,529 Bbl per day, or 58%, was oil and 128.7 MMcf per day, or 42%, was natural gas. Our oil production of 8.1 million Bbl for the nine months ended September 30, 2018 increased 44% year-over-year from 5.6 million Bbl for the nine months ended September 30, 2017. Our natural gas production of 35.1 Bcf for the nine months ended September 30, 2018 increased 27% year-over-year from 27.6 Bcf for the nine months ended September 30, 2017.</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third quarter of 2018, we reported net income attributable to Matador Resources Company shareholders of approximately $17.8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$0.15 per diluted common share, on a GAAP basis, as compared to net income attributable to Matador Resources Company shareholders of $15.0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$0.15 per diluted common share, for the third quarter of 2017. For the third quarter of 2018, our Adjusted EBITDA attributable to Matador Resources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shareholders (“Adjusted EBITDA”), a non-GAAP financial measure, was $155.4 million, as compared to Adjusted EBITDA of $84.8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2017. For a definition of Adjusted EBITDA and a reconciliation of Adjusted EBITDA to our net income and net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provided by operating activities, see “— Liquidity and Capital Resources — Non-GAAP Financial Measures.” For more information regarding our financial results for the third quarter of 2018, see “— Results of Operations” below.</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nine months ended September 30, 2018, we reported net income attributable to Matador Resources Company shareholders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$137.5 million, or $1.21 per diluted common share, on a GAAP basis, as compared to net income attributable to Matador Resources Company shareholders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$87.5 million, or $0.87 per diluted common share, for the nine months ended September 30, 2017. For the nine months ended September 30, 2018,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 non-GAAP financial measure, was $410.0 million, as compared to Adjusted EBITDA of $227.4 million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 For a definition of Adjusted EBITDA and a reconciliation of Adjusted EBITDA to our net income (loss) and net cash provided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see “— Liquidity and Capital Resources — Non-GAAP Financial Measures.” For more information regarding our financial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2018, see “— Results of Operations”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During the third quarter of 2018, we continued our focus on the exploration, delineation and development of our Delaware Basin acreage in Loving County, Texas and Lea and Eddy Counties, New Mexico. We began 2018 operating six drilling rigs in the Delaware Basin and continued to do so through September 30, 2018. We expect to operate those six rigs in the Delaware Basin through the remainder of 2018, including three rigs in the Rustler Breaks asset area, one rig in the Wolf/Jackson Trust asset areas, one rig in the Ranger/Arrowhead and Twin Lakes asset areas and one rig in the Antelope Ridge asset area. We have continued to build significant optionality into our drilling program. Three of our rigs operate on longer-term contracts with remaining average terms between 12 and 15 months. The other three rigs are on short-term contracts with remaining obligations of six months or less. This affords us the ability to modify our drilling program as management may determine necessary based on changing commodity prices and other factors.</w:t>
      </w:r>
    </w:p>
    <w:p>
      <w:pPr>
        <w:spacing w:after="0" w:line="59" w:lineRule="exact"/>
        <w:rPr>
          <w:sz w:val="20"/>
          <w:szCs w:val="20"/>
          <w:color w:val="auto"/>
        </w:rPr>
      </w:pPr>
    </w:p>
    <w:p>
      <w:pPr>
        <w:ind w:right="140" w:firstLine="392"/>
        <w:spacing w:after="0" w:line="257" w:lineRule="auto"/>
        <w:rPr>
          <w:sz w:val="20"/>
          <w:szCs w:val="20"/>
          <w:color w:val="auto"/>
        </w:rPr>
      </w:pPr>
      <w:r>
        <w:rPr>
          <w:rFonts w:ascii="Arial" w:cs="Arial" w:eastAsia="Arial" w:hAnsi="Arial"/>
          <w:sz w:val="18"/>
          <w:szCs w:val="18"/>
          <w:color w:val="auto"/>
        </w:rPr>
        <w:t>Effective October 1, 2018, we added a seventh operated drilling rig to our drilling program on a short-term contract. This seventh drilling rig was deployed initially in South Texas to drill up to ten wells, primarily in the Eagle Ford shale. This rig is expected to operate in South Texas throughout the fourth quarter of 2018 and into early 2019. At that time, subject to commodity prices and other economic circumstances, we anticipate moving this rig to the Delaware Basin, most likely to either the Arrowhead or Antelope Ridge asset area. We then expect to operate this seventh rig in the Delaware Basin throughout the remainder of 2019.</w:t>
      </w:r>
    </w:p>
    <w:p>
      <w:pPr>
        <w:spacing w:after="0" w:line="80"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By initially deploying this seventh rig in South Texas over the next several months, we will be able to add to our oil production in South Texas during a time when our realized oil price in the Gulf Coast region is expected to be significantly higher than our realized oil price in the Delaware Basin. Further, given the results of the five-well Eagle Ford program we drilled in 2017, we anticipate strong economic returns from this drilling program. In addition, drilling these wells in South Texas provides us with the opportunity to test and establish the prospectivity of new formations, such as the Austin Chalk, which we have not previously tested on our South Texas leasehold. This short drilling program should also enable us to satisfy several near-term lease expiration obligations. The first few wells in this South Texas drilling program are expected to be completed and placed on production late in the fourth quarter of 2018. As a result, we expect the initial production from these wells should have a limited impact on our fourth quarter and full-year 2018 production estimates.</w:t>
      </w:r>
    </w:p>
    <w:p>
      <w:pPr>
        <w:spacing w:after="0" w:line="59"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During the third quarter of 2018, we did not conduct any operated drilling and completion activities on our leasehold properties in the Eagle Ford shale play in South Texas or in the Haynesville shale and Cotton Valley plays in Northwest Louisiana and East Texas. We did participate in the drilling and completion of two gross (0.3 net) non-operated Eagle Ford shale wells that were turned to sales in the third quarter of 2018.</w:t>
      </w:r>
    </w:p>
    <w:p>
      <w:pPr>
        <w:spacing w:after="0" w:line="5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completed and turned to sales a total of 36 gross (16.6 net) wells in the Delaware Basin during the third quarter of 2018, including 19 gross (15.0 net) operated horizontal wells and 17 gross (1.6 net) non-operated horizontal wells. During the third quarter of 2018, we began producing oil and natural gas from a total of six gross (2.7 net) wells in the Antelope Ridge asset area, including three gross (2.7 net) operated and three gross (less than 0.1 net) non-operated wells. The three gross operated wells included two Wolfcamp A-Lower and one Third Bone Spring completion. In the Rustler Breaks asset area, we began producing oil and natural gas from a total of 26 gross (11.7 net) wells during the third quarter of 2018, including 13 gross (10.5 net) operated and 13 gross (1.2 net) non-operated wells. Of the 13 gross operated wells in the Rustler Breaks asset area, eight were Wolfcamp A-XY completions, two were Wolfcamp A-Lower completions, one was a Wolfcamp B-Blair completion and two were Second Bone Spring completions. In addition, we began producing oil and natural gas from two gross (1.0 net) operated wells in the Wolf and Jackson Trust asset areas during the third quarter of 2018, including one Wolfcamp A-XY completion and one Wolfcamp B completion. Finally, in the Arrowhead asset area, we began producing oil and natural gas from one gross (0.8 net) operated well, a Wolfcamp A-XY completion, during the third quarter of 2018.</w:t>
      </w:r>
    </w:p>
    <w:p>
      <w:pPr>
        <w:spacing w:after="0" w:line="7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a result of our ongoing drilling and completion operations in these asset areas, our Delaware Basin production has continued to increase over the past twelve months. Our total Delaware Basin production for the third quarter of 2018 was 47,831 BOE per day, consisting of 29,931 Bbl of oil per day and 107.4 MMcf of natural gas per day, a 56% increase from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production of 30,707 BOE per day, consisting of 18,689 Bbl of oil per day and 72.1 MMcf of natural gas per day, in the third quarter of 2017. The Delaware Basin contributed approximately 93% of our daily oil production and approximately 80% of our daily natural gas production in the third quarter of 2018, as compared to approximately 79% of our daily oil production and approximately 65% of our daily natural gas production in the third quarter of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Acreage Acquisitions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September 12, 2018, we announced the successful acquisition of 8,400 gross (8,400 net) leasehold acres in Lea and Eddy Counties, New Mexico for approximately $387 million, or a weighted average cost of approximately $46,000 per net acre, in the Bureau of Land Management New Mexico Oil and Gas Lease Sale on September 5 and 6, 2018 (the “BLM Acquisition”). The acquired leasehold acreage includes approximately 2,800 gross/net acres in the Stateline area, 4,800 gross/net acres in the Antelope Ridge asset area, 400 gross/net acres in the Arrowhead asset area and 400 gross/net acres in the Twin Lakes asset area.</w:t>
      </w:r>
    </w:p>
    <w:p>
      <w:pPr>
        <w:spacing w:after="0" w:line="8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completed the BLM Acquisition on September 20, 2018, and we expect the leases will be issued to us in the fourth quarter of 2018. We financed the BLM Acquisition using cash on hand and borrowings under our revolving credit facility (the “Credit Agreement”). At September 30, 2018, we had $325.0 million in borrowings outstanding under the Credit Agreement and approximately $3.0 million in outstanding letters of credit issued pursuant to the Credit Agreement.</w:t>
      </w:r>
    </w:p>
    <w:p>
      <w:pPr>
        <w:spacing w:after="0" w:line="7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0A0A0A"/>
        </w:rPr>
        <w:t>In addition to the BLM Acquisition, during the third quarter of 2018, we acquired approximately 12,600 net leasehold and mineral acres in and around our existing acreage positions in the Delaware Basin, including approximately 2,600 net mineral acres. Including the BLM Acquisition, we have added approximately 27,200 net leasehold and mineral acres in the Delaware Basin from January 1 through October 31, 2018, bringing our total Delaware Basin leasehold and mineral position to approximately 222,200 gross (131,200 net) acres at October 31,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Transactions</w:t>
      </w:r>
    </w:p>
    <w:p>
      <w:pPr>
        <w:spacing w:after="0" w:line="11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As of June 30, 2018, we had $575.0 million aggregate principal amount of outstanding 6.875% senior notes due 2023 (the “2023 Notes”). On August 21, 2018, we issued $750.0 million of 5.875% senior unsecured notes due 2026 (the “Original 2026 Notes”) in a private placement (the “2026 Notes Offering”). The Original 2026 Notes were issued at par value, and we received net proceeds of approximately $740.0 million, after deducting the initials purchasers’ discounts and estimated offering expenses. In conjunction with the 2026 Notes Offering, in August and September 2018, respectively, we completed a tender offer to purchase for cash and subsequent redemption of all of our $575.0 million aggregate principal amount of 2023 Notes (the “2023 Notes Tender Offer and Redemption”). We used a portion of the net proceeds from the 2026 Notes Offering to fund the 2023 Notes Tender Offer and Redemption.</w:t>
      </w:r>
    </w:p>
    <w:p>
      <w:pPr>
        <w:spacing w:after="0" w:line="8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October 4, 2018, we issued an additional $300.0 million of 5.875% senior unsecured notes due 2026 (the “Additional 2026 Notes” and, collectively with the Original 2026 Notes, the “Notes”). The Additional 2026 Notes were issued pursuant to, and are governed by, the same indenture governing the Original 2026 Notes (the “Indenture”). The Additional 2026 Notes were issued at 100.5% of par, plus accrued interest from August 21, 2018. We received net proceeds from this offering of approximately $297.6 million, after deducting the initial purchasers’ discounts and estimated offering expenses but excluding accrued interest from August 21, 2018 paid by the initial purchasers of the Additional 2026 Notes. The proceeds from this offering were used to repay a portion of the outstanding borrowings under the Credit Agreement, which were incurred in connection with the BLM Acquisition. The Notes will mature September 15, 2026, and interest is payable on the Notes semi-annually in arrears on each March 15 and September 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Capital Expenditure Budget</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August 1, 2018, we adjusted our anticipated 2018 capital expenditures for drilling and completions (including equipping wells for production) from $530 to $570 million to $620 to $650 million and our anticipated midstream capital expenditures remained $70 to $90 million, which primarily represents our 51% share of San Mateo’s 2018 estimated capital expenditures. With the addition of the seventh drilling rig deployed to South Texas on October 1, 2018, we increased our anticipated 2018 capital expenditures for drilling and completions (including equipping wells for production) by approximately 4%, or $25 to $30 million, to $645 to $680 million. We have allocated substantially all of our estimated 2018 capital expenditures to the further delineation and development of our growing leasehold position and midstream assets in the Delaware Basin, with the exception of the South Texas drilling program beginning in the fourth quarter of 2018 and amounts allocated to limited non-operated activities in the Eagle Ford and Haynesville shales. For the remainder of 2018, our Delaware Basin drilling program will continue to focus on the development of the Wolf and Rustler Breaks asset areas and the further delineation and development of the Jackson Trust, Ranger/Arrowhead, Antelope Ridge and Twin Lakes asset areas, although we may also continue to delineate previously untested zones in the Wolf and Rustler Breaks asset areas.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Gathering and Processing Agreement</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In October 2018, a subsidiary of San Mateo entered into a long-term agreement with a producer in Eddy County, New Mexico relating to the gathering and processing of such producer’s natural gas production. As a result of this agreement, along with prior natural gas gathering and processing agreements entered into by San Mateo with the Company and other customers, San Mateo has now entered into contracts to provide firm gathering and processing services for over 200 million cubic feet of natural gas per day, or over 80% of the designed inlet capacity of 260 million cubic feet of natural gas per day, at its Black River cryogenic natural gas processing plant in the Rustler Breaks asset area in Eddy County, New Mexico (the “Black River Processing Plant”).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 xml:space="preserve">Other than as discussed in Note 2 to the interim unaudited condensed consolidated financial statements in this Quarterly Report related to the adoption of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there have been no changes to our critical accounting policies and estimates from those set forth in the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See Note 2 to the interim unaudited condensed consolidated financial statements in this Quarterly Report for a summary of recent accounting pronouncements that we believe may have an impact on our financial statements upon adoption.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6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169,913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100,150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484,343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265,107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98,452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oil and natural gas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216,282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134,948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607,255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363,559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Realized gain (loss) on derivatives</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(12,372)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21,449</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207,178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126,279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609,725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390,703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6740" w:type="dxa"/>
            <w:vAlign w:val="bottom"/>
          </w:tcPr>
          <w:p>
            <w:pPr>
              <w:ind w:left="38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5,582</w:t>
            </w: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70"/>
        </w:trPr>
        <w:tc>
          <w:tcPr>
            <w:tcW w:w="6740" w:type="dxa"/>
            <w:vAlign w:val="bottom"/>
          </w:tcPr>
          <w:p>
            <w:pPr>
              <w:ind w:left="760"/>
              <w:spacing w:after="0" w:line="27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13,917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10,190</w:t>
            </w:r>
          </w:p>
        </w:tc>
      </w:tr>
      <w:tr>
        <w:trPr>
          <w:trHeight w:val="270"/>
        </w:trPr>
        <w:tc>
          <w:tcPr>
            <w:tcW w:w="674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54,625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Average Sales Prices: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without realized derivatives (per Bbl)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 with realized derivatives (per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47.39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without realized derivatives (per Mcf)</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Natural gas, with realized derivatives (per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89" w:lineRule="exact"/>
        <w:rPr>
          <w:sz w:val="20"/>
          <w:szCs w:val="20"/>
          <w:color w:val="auto"/>
        </w:rPr>
      </w:pPr>
    </w:p>
    <w:p>
      <w:pPr>
        <w:ind w:left="340" w:right="500" w:hanging="332"/>
        <w:spacing w:after="0" w:line="27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thousand barrels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thousand barrels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September 30, 2018 as Compared to Three Months Ended September 30, 2017</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$81.3 million to $216.3 million, or 60%, for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2018, as compared to $134.9 million for the three months ended September 30, 2017. Our oil revenues increased $69.8 million, or 70%, to $169.9 million for the three months ended September 30, 2018, as compared to $100.2 million for the three months ended September 30, 2017. The increase in oil revenues resulted from (i) a higher weighted average oil price realized for the three months ended September 30, 2018 of $57.15 per Bbl, as compared to $46.25 per Bbl realized for the three months ended September 30, 2017, and (ii) the 37% increase in our oil production to 3.0 million Bbl of oil for the three months ended September 30, 2018, or 32,317 Bbl of oil per day, as compared to 2.2 million Bbl of oil, or 23,538 Bbl of oil per day, for the three months ended September 30, 2017. The increase in oil production was primarily attributable to our ongoing delineation and development drilling activities in the Delaware Basin. Our natural gas revenues increased by $11.6 million, or 33%, to $46.4 million for the three months ended September 30, 2018, as compared to $34.8 million for the three months ended September 30, 2017. The increase in natural gas revenues resulted from the 21% increase in our natural gas production to 12.3 Bcf for the three months ended September 30, 2018, as compared to 10.2 Bcf for the three months ended September 30, 2017, and from the 10% increase in our realized natural gas prices between the two periods. The increase in natural gas production was primarily attributable to our ongoing delineation and development drilling activities in the Delaware Basin.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increased $3.6 million to $6.8 million, or 112%,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2018, as compared to $3.2 million for the three months ended September 30, 2017. Third-party midstream services revenues are those revenues from midstream operations related to third parties, including working interest owners in our operated wells. This increase was primarily attributable to an increase in our third-party salt water gathering and disposal revenues to approximately $3.3 million for the three months ended September 30, 2018, as compared to approximately $0.4 million for the three months ended September 30, 2017.</w:t>
      </w:r>
    </w:p>
    <w:p>
      <w:pPr>
        <w:spacing w:after="0" w:line="64"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i w:val="1"/>
          <w:iCs w:val="1"/>
          <w:color w:val="auto"/>
        </w:rPr>
        <w:t xml:space="preserve">Realized gain on derivatives. </w:t>
      </w:r>
      <w:r>
        <w:rPr>
          <w:rFonts w:ascii="Arial" w:cs="Arial" w:eastAsia="Arial" w:hAnsi="Arial"/>
          <w:sz w:val="16"/>
          <w:szCs w:val="16"/>
          <w:color w:val="auto"/>
        </w:rPr>
        <w:t>Our realized net gain on derivatives was $5.4 million for the three months ended September 30, 2018, as compared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net gain of $0.5 million for the three months ended September 30, 2017. We realized a net loss of $10.2 million related to our oil costless collar contracts for the three months ended September 30, 2018, resulting from oil prices that were above the short call/ceiling prices of certain of our oil costless collar contracts. We realized a net gain of $15.6 million related to our oil basis swap contracts for the three months ended September 30, 2018, resulting from oil basis prices lower than the swap prices of certain of our oil basis swap contracts. We realized a net gain of $0.5 million from our oil derivative contracts for the three months ended September 30, 2017, resulting from oil prices that were below the floor prices of certain of our oil costless collar contracts. We realized an average gain on our oil derivatives contracts of approximately $1.82 per Bbl produced during the three months ended September 30, 2018, as compared to an average gain of approximately $0.22 per Bbl produced during the three months ended September 30, 2017. Our total oil volumes hedged for the three months ended September 30, 2018 represented 47% of our total oil production, as compared to 57% of our total oil production for the three months ended September 30, 2017. Our total natural gas volumes hedged for the three months ended September 30, 2018 represented 34% of our total natural gas production, as compared to 62% of our total natural gas production for the three months ended September 30, 2017.</w:t>
      </w:r>
    </w:p>
    <w:p>
      <w:pPr>
        <w:spacing w:after="0" w:line="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Unrealized loss on derivatives. </w:t>
      </w:r>
      <w:r>
        <w:rPr>
          <w:rFonts w:ascii="Arial" w:cs="Arial" w:eastAsia="Arial" w:hAnsi="Arial"/>
          <w:sz w:val="16"/>
          <w:szCs w:val="16"/>
          <w:color w:val="auto"/>
        </w:rPr>
        <w:t>Our unrealized net loss on derivatives was $21.3 million for the three months ended September 30, 2018,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unrealized net loss of $12.4 million for the three months ended September 30, 2017. During the three months ended September 30, 2018, the net fair value of our open oil and natural gas derivative contracts decreased to a net liability of $24.7 million from a net liability of $3.4 million at June 30, 2018, resulting in an unrealized loss on derivatives of $21.3 million for the three months ended September 30, 2018. During the three months ended September 30, 2017, the net fair value of our open oil and natural gas derivative contracts decreased to a net liability of approximately $3.5 million from a net asset of $8.9 million at June 30, 2017, resulting in an unrealized loss on derivatives of $12.4 million for the three months ended September 30, 2017.</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Nine Months Ended September 30, 2018 as Compared to Nine Months Ended September 30,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$243.7 million to $607.3 million, or 67%,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as compared to $363.6 million for the nine months ended September 30, 2017. Our oil revenues increased $219.2 million, or 83%,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$484.3 million for the nine months ended September 30, 2018, as compared to $265.1 million for the nine months ended September 30, 2017.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oil revenues resulted from (i) a higher weighted average oil price realized for the nine months ended September 30, 2018 of $60.08 per Bbl,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$47.49 per Bbl realized for the nine months ended September 30, 2017, and (ii) the 44% increase in our oil production to 8.1 million Bbl of oil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2018, or 29,529 Bbl of oil per day, as compared to 5.6 million Bbl of oil, or 20,447 Bbl of oil per day,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The increase in oil production was primarily attributable to our ongoing delineation and development drilling activities in the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Basin. Our natural gas revenues increased by $24.5 million, or 25%, to $122.9 million for the nine months ended September 30, 2018, as compared to $98.5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nine months ended September 30, 2017. The increase in natural gas revenues resulted from the 27% increase in our natural gas production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35.1 Bcf for the nine months ended September 30, 2018, as compared to 27.6 Bcf for the nine months ended September 30, 2017, which was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slightly lower weighted average natural gas price realized for the nine months ended September 30, 2018 of $3.50 per Mcf, as compared to $3.56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Mcf realized for the nine months ended September 30, 2017. The increase in natural gas production was primarily attributable to our ongoing delineation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drilling activities in the Delaware Basin.</w:t>
      </w:r>
    </w:p>
    <w:p>
      <w:pPr>
        <w:spacing w:after="0" w:line="10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$6.4 million to $13.3 million, or 93%,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as compared to $6.9 million for the nine months ended September 30, 2017. This increase was primarily attributable to (i) an increase in our third-party salt water gathering and disposal revenues to approximately $6.3 million for the nine months ended September 30, 2018, as compared to approximately $1.1 million for the nine months ended September 30, 2017, and (ii) an increase in natural gas gathering and processing revenues to approximately $6.8 million for the nine months ended September 30, 2018, as compared to $5.6 million for the nine months ended September 30, 2017, due to increased natural gas volumes being gathered and/or processed in our Rustler Breaks and Wolf asset areas.</w:t>
      </w:r>
    </w:p>
    <w:p>
      <w:pPr>
        <w:spacing w:after="0" w:line="5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i w:val="1"/>
          <w:iCs w:val="1"/>
          <w:color w:val="auto"/>
        </w:rPr>
        <w:t xml:space="preserve">Realized loss on derivatives. </w:t>
      </w:r>
      <w:r>
        <w:rPr>
          <w:rFonts w:ascii="Arial" w:cs="Arial" w:eastAsia="Arial" w:hAnsi="Arial"/>
          <w:sz w:val="16"/>
          <w:szCs w:val="16"/>
          <w:color w:val="auto"/>
        </w:rPr>
        <w:t>Our realized net loss on derivatives was $1.3 million for the nine months ended September 30, 2018, as compared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net loss of $1.2 million for the nine months ended September 30, 2017. We realized a net loss of $21.6 million related to our oil costless collar contracts for the nine months ended September 30, 2018, resulting from oil prices that were above the short call/ceiling prices of certain of our oil costless collar contracts. We realized a net gain of $20.3 million related to our oil basis swap contracts for the nine months ended September 30, 2018, resulting from oil basis prices lower than the swap prices of certain of our oil basis swap contracts. We realized net losses of $0.6 million from both our oil and natural gas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derivative contracts for the nine months ended September 30, 2017, resulting from oil and natural gas prices that were above the ceiling prices of certain of our oil and natural gas costless collar contracts. We realized an average loss on our oil derivatives of approximately $0.17 per Bbl produced during the nine months ended September 30, 2018, as compared to an average loss of $0.10 per Bbl produced during the nine months ended September 30, 2017. Our total oil volumes hedged for the nine months ended September 30, 2018 represented 50% of our total oil production, as compared to 61% of our total oil production for the nine months ended September 30, 2017. Our total natural gas volumes hedged for the nine months ended September 30, 2018 represented 36% of our total natural gas production, as compared to 64% of our total natural gas production for the nine months ended September 30, 2017.</w:t>
      </w:r>
    </w:p>
    <w:p>
      <w:pPr>
        <w:spacing w:after="0" w:line="5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i w:val="1"/>
          <w:iCs w:val="1"/>
          <w:color w:val="auto"/>
        </w:rPr>
        <w:t xml:space="preserve">Unrealized (loss) gain on derivatives. </w:t>
      </w:r>
      <w:r>
        <w:rPr>
          <w:rFonts w:ascii="Arial" w:cs="Arial" w:eastAsia="Arial" w:hAnsi="Arial"/>
          <w:sz w:val="17"/>
          <w:szCs w:val="17"/>
          <w:color w:val="auto"/>
        </w:rPr>
        <w:t>Our unrealized net loss on derivatives was $9.5 million for the nine months ended September 30, 2018,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an unrealized net gain of $21.4 million for the nine months ended September 30, 2017. During the period from December 31, 2017 through September 30, 2018, the aggregate net fair value of our open oil and natural gas derivative contracts decreased to a net liability of approximately $24.7 million from a net liability of approximately $15.2 million, resulting in an unrealized loss on derivatives of approximately $9.5 million for the nine months ended September 30, 2018. During the period from December 31, 2016 through September 30, 2017, the aggregate net fair value of our open oil and natural gas derivative contracts increased from a net liability of approximately $25.0 million to a net liability of approximately $3.5 million, resulting in an unrealized gain on derivatives of approximately $21.4 million for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2017</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40,348</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22,531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69,685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48,486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8,379</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70,457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47,800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192,664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123,066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55,739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49,671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394,517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270,887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67,853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215,208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119,816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Net (loss) gain on asset sales and inventory impairment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(26,229)</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Prepayment premium on extinguishment of debt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w:t>
            </w:r>
          </w:p>
        </w:tc>
      </w:tr>
      <w:tr>
        <w:trPr>
          <w:trHeight w:val="237"/>
        </w:trPr>
        <w:tc>
          <w:tcPr>
            <w:tcW w:w="6520" w:type="dxa"/>
            <w:vAlign w:val="bottom"/>
          </w:tcPr>
          <w:p>
            <w:pPr>
              <w:ind w:left="1140"/>
              <w:spacing w:after="0"/>
              <w:rPr>
                <w:sz w:val="20"/>
                <w:szCs w:val="20"/>
                <w:color w:val="auto"/>
              </w:rPr>
            </w:pPr>
            <w:r>
              <w:rPr>
                <w:rFonts w:ascii="Arial" w:cs="Arial" w:eastAsia="Arial" w:hAnsi="Arial"/>
                <w:sz w:val="18"/>
                <w:szCs w:val="18"/>
                <w:color w:val="auto"/>
              </w:rPr>
              <w:t>Total other expense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(59,532)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(24,250)</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95,566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(8,034)</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87,532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Expenses per BOE: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12.08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r>
      <w:tr>
        <w:trPr>
          <w:trHeight w:val="27"/>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September 30, 2018 as Compared to Three Months Ended September 30, 2017</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transportation and processing expenses increased $4.5 million to $20.2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29%, for the three months ended September 30, 2018, as compared to $15.7 million for the three months ended September 30, 2017. On a unit-of-production basis, our production taxes, transportation and processing expenses decreased 1% to $4.02 per BOE for the three months ended September 30, 2018, as compared to $4.06 per BOE for the three months ended September 30, 2017. The increase in production taxes, transportation and processing expenses was primarily attributable to the $7.9 million increase in our production taxes to $16.0 million for the three months ended September 30, 2018, as compared to $8.1 million for the three months ended September 30, 2017, principally due to the $81.3 million increase in oil and natural gas revenues for the three months ended September 30, 2018, as compared to the three months ended September 30, 2017. In addition, the production tax rates in New Mexico are higher than production tax rates in Texas. As more of our oil and natural gas production becomes attributable to New Mexico, we expect our production tax expenses to increase proportionately.</w:t>
      </w:r>
    </w:p>
    <w:p>
      <w:pPr>
        <w:spacing w:after="0" w:line="7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$5.8 million to $22.5 million, or 35%, for the three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$16.7 million for the three months ended September 30, 2017. On a unit-of-production basis, our lease operating expenses increased 4% to $4.48 per BOE for the three months ended September 30, 2018, as compared to $4.32 per BOE for the three months ended September 30, 2017. The increase in lease operating expenses for the three months ended September 30, 2018, as compared to the three months ended September 30, 2017, was primarily attributable to an increase in costs of services and equipment related to the increased number of wells at September 30, 2018, as compared to September 30, 2017.</w:t>
      </w:r>
    </w:p>
    <w:p>
      <w:pPr>
        <w:spacing w:after="0" w:line="8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$4.2 million to $7.3 million,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135%, for the three months ended September 30, 2018, as compared to $3.1 million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three months ended September 30, 2017. This increase was primarily attributable to (i) increased expenses associated with our expanded commercial salt water disposal operations to $3.7 million for the three months ended September 30, 2018, as compared to $1.6 million for the three months ended September 30, 2017, and (ii) increased expenses associated with the Black River Processing Plant, which was expanded in the first quarter of 2018, to $1.7 million for the three months ended September 30, 2018, as compared to $1.0 million for the three months ended September 30, 2017.</w:t>
      </w:r>
    </w:p>
    <w:p>
      <w:pPr>
        <w:spacing w:after="0" w:line="4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$22.7 million to $70.5 million, or 47%,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2018, as compared to $47.8 million for the three months ended September 30, 2017. On a unit-of-production basis, our depletion, depreciation and amortization expenses increased 13% to $14.02 per BOE for the three months ended September 30, 2018, as compared to $12.38 per BOE for the three months ended September 30, 2017. The increase in our total depletion, depreciation and amortization expenses was primarily attributable to (i) increased well costs year-over-year in response to increased oil prices over the past year and (ii) the 30% increase in our total oil equivalent production to 5.0 million BOE for the three months ended September 30, 2018, as compared to 3.9 million BOE for the three months ended September 30, 2017. The impact of the increase in well costs and oil and natural gas production was partially offset by higher total proved oil and natural gas reserves at September 30, 2018, as compared to September 30, 2017, primarily attributable to our ongoing delineation and development drilling activities in the Delaware Basin. In addition, depreciation expenses attributable to our midstream segment were approximately $2.6 million for the three months ended September 30, 2018, as compared to $1.3 million for the three months ended September 30, 2017.</w:t>
      </w:r>
    </w:p>
    <w:p>
      <w:pPr>
        <w:spacing w:after="0" w:line="6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$2.3 million to $18.4 million, or 14%,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as compared to $16.2 million for the three months ended September 30, 2017. The increase in our general and administrative expenses was primarily attributable to increased payroll and related expenses of $5.6 million, including approximately $3.5 million of non-cash stock-based compensation. These increases were partially offset by the $2.4 million increase in capitalized general and administrative expenses for the three months ended September 30, 2018, as compared to the three months ended September 30, 2017. As a result of the 30% increase in oil and natural gas production for the three months ended September 30, 2018, as compared to the three months ended September 30, 2017, our general and administrative expenses decreased 12% on a unit-of-production basis to $3.67 per BOE for the three months ended September 30, 2018, as compared to $4.19 per BOE for the three months ended September 30, 2017.</w:t>
      </w:r>
    </w:p>
    <w:p>
      <w:pPr>
        <w:spacing w:after="0" w:line="8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September 30, 2018, we incurred total interest expense of approximately $12.1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$1.7 million of our interest expense on certain qualifying projects for the three months ended September 30, 2018 and expensed the remaining $10.3 million to operations. For the three months ended September 30, 2017, we incurred total interest expense of approximately $10.6 million. We capitalized approximately $2.1 million of our interest expense on certain qualifying projects for the three months ended September 30, 2017 and expensed the remaining $8.6 million to operations.</w:t>
      </w:r>
    </w:p>
    <w:p>
      <w:pPr>
        <w:spacing w:after="0" w:line="80"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i w:val="1"/>
          <w:iCs w:val="1"/>
          <w:color w:val="auto"/>
        </w:rPr>
        <w:t xml:space="preserve">Prepayment premium on extinguishment of debt. </w:t>
      </w:r>
      <w:r>
        <w:rPr>
          <w:rFonts w:ascii="Arial" w:cs="Arial" w:eastAsia="Arial" w:hAnsi="Arial"/>
          <w:sz w:val="17"/>
          <w:szCs w:val="17"/>
          <w:color w:val="auto"/>
        </w:rPr>
        <w:t>Our prepayment premium on the extinguishment of debt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was $31.2 million due to the 2023 Notes Tender Offer and Redemption, including total payments of $30.4 million to holders of the 2023 Notes as a result of the tender premium and the required 105.156% redemption price payable pursuant to the 2023 Notes indenture.</w:t>
      </w:r>
    </w:p>
    <w:p>
      <w:pPr>
        <w:spacing w:after="0" w:line="57"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i w:val="1"/>
          <w:iCs w:val="1"/>
          <w:color w:val="auto"/>
        </w:rPr>
        <w:t xml:space="preserve">Total income tax benefit. </w:t>
      </w:r>
      <w:r>
        <w:rPr>
          <w:rFonts w:ascii="Arial" w:cs="Arial" w:eastAsia="Arial" w:hAnsi="Arial"/>
          <w:sz w:val="16"/>
          <w:szCs w:val="16"/>
          <w:color w:val="auto"/>
        </w:rPr>
        <w:t>Our deferred tax assets exceeded our deferred tax liabilities at September 30, 2018 due to the deferred tax amounts generated</w:t>
      </w:r>
      <w:r>
        <w:rPr>
          <w:rFonts w:ascii="Arial" w:cs="Arial" w:eastAsia="Arial" w:hAnsi="Arial"/>
          <w:sz w:val="16"/>
          <w:szCs w:val="16"/>
          <w:i w:val="1"/>
          <w:iCs w:val="1"/>
          <w:color w:val="auto"/>
        </w:rPr>
        <w:t xml:space="preserve"> </w:t>
      </w:r>
      <w:r>
        <w:rPr>
          <w:rFonts w:ascii="Arial" w:cs="Arial" w:eastAsia="Arial" w:hAnsi="Arial"/>
          <w:sz w:val="16"/>
          <w:szCs w:val="16"/>
          <w:color w:val="auto"/>
        </w:rPr>
        <w:t>by full-cost ceiling impairment charges recorded in prior periods. As a result, we established a valuation allowance against the deferred tax assets beginning in the third quarter of 2015. We retained a full valuation allowance at September 30, 2018 due to uncertainties regarding the future realization of our deferred tax assets. Should we continue to generate net income, we anticipate the reversal of a portion of the deferred tax asset valuation allowance in a future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Nine Months Ended September 30, 2018 as Compared to Nine Months Ended September 30, 2017</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transportation and processing expenses increased $17.8 million to $58.1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44%, for the nine months ended September 30, 2018, as compared to $40.3 million for the nine months ended September 30, 2017. On a unit-of-production basis, our production taxes, transportation and processing expenses increased 6% to $4.18 per BOE for the nine months ended September 30, 2018, as compared to $3.96 per BOE for the nine months ended September 30, 2017. The increase in production taxes, transportation and processing expenses was primarily attributable to the $22.0 million increase in our production taxes to $44.2 million for the nine months ended September 30, 2018, as compared to $22.2 million for the nine months ended September 30, 2017, principally due to the $243.7 million increase in oil and natural gas revenues for the nine months ended September 30, 2018, as compared to the nine months ended September 30, 2017. In addition, the production tax rates in New Mexico are higher than production tax rates in Texas. As more of our oil and natural gas production becomes attributable to New Mexico, we expect our production tax expenses to increase proportionately.</w:t>
      </w:r>
    </w:p>
    <w:p>
      <w:pPr>
        <w:spacing w:after="0" w:line="7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$21.2 million to $69.7 million, or 44%, for the nine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$48.5 million for the nine months ended September 30, 2017. Our lease operating expenses on a unit-of production basis increased 5% to $5.01 per BOE for the nine months ended September 30, 2018, as compared to $4.76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per BOE for the nine months ended September 30, 2017. The increase in lease operating expenses for the nine months ended September 30, 2018, as compared to the nine months ended September 30, 2017, was primarily attributable to an increase in costs of services and equipment, including salt water disposal costs in asset areas other than Wolf and Rustler Breaks (which are serviced by San Mateo), at September 30, 2018, as compared to September 30, 2017.</w:t>
      </w:r>
    </w:p>
    <w:p>
      <w:pPr>
        <w:spacing w:after="0" w:line="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$8.8 million to $17.2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105%, for the nine months ended September 30, 2018, as compared to $8.4 million for the nine months ended September 30, 2017. This increase was primarily attributable to (i) increased expenses associated with our expanded commercial salt water disposal operations to $8.8 million for the nine months ended September 30, 2018, as compared to $4.7 million for the nine months ended September 30, 2017, and (ii) increased expenses associated with the Black River Processing Plant, which was expanded in the first quarter of 2018, to $5.3 million for the nine months ended September 30, 2018, as compared to $2.8 million for the nine months ended September 30, 2017.</w:t>
      </w:r>
    </w:p>
    <w:p>
      <w:pPr>
        <w:spacing w:after="0" w:line="8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$69.6 million to $192.7 million, or 57%,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2018, as compared to $123.1 million for the nine months ended September 30, 2017. On a unit-of-production basis, our depletion, depreciation and amortization expenses increased 15% to $13.84 per BOE for the nine months ended September 30, 2018, as compared to $12.08 per BOE for the nine months ended September 30, 2017. The increase in our total depletion, depreciation and amortization expenses was primarily attributable to (i) increased well costs in response to increased oil prices over the past year and (ii) the 37% increase in our total oil equivalent production to 13.9 million BOE for the nine months ended September 30, 2018, as compared to 10.2 million BOE for the nine months ended September 30, 2017. The impact of the increase in well costs and oil and natural gas production was partially offset by higher total proved oil and natural gas reserves at September 30, 2018, as compared to September 30, 2017, primarily attributable to our ongoing delineation and development drilling activities in the Delaware Basin. In addition, depreciation expenses attributable to our midstream segment were approximately $6.5 million for the nine months ended September 30, 2018, as compared to $3.8 million for the nine months ended September 30, 2017.</w:t>
      </w:r>
    </w:p>
    <w:p>
      <w:pPr>
        <w:spacing w:after="0" w:line="7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$6.1 million to $55.7 million, or 12%,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as compared to $49.7 million for the nine months ended September 30, 2017. The increase in our general and administrative expenses was partially attributable to increased payroll and related expenses of approximately $9.4 million associated with additional employees joining the Company to support our increased land, geoscience, drilling, completion, production, midstream, accounting and administration functions as a result of our continued growth. These increases were partially offset by the $5.7 million increase in capitalized general and administrative expenses for the nine months ended September 30, 2018, as compared to the nine months ended September 30, 2017. As a result of the 37% increase in oil and natural gas production for the nine months ended September 30, 2018, as compared to the nine months ended September 30, 2017, our general and administrative expenses decreased 18% on a unit-of-production basis to $4.00 per BOE for the nine months ended September 30, 2018, as compared to $4.87 per BOE for the nine months ended September 30, 2017.</w:t>
      </w:r>
    </w:p>
    <w:p>
      <w:pPr>
        <w:spacing w:after="0" w:line="7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nine months ended September 30, 2018, we incurred total interest expense of approximately $33.0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$6.2 million of our interest expense on certain qualifying projects for the nine months ended September 30, 2018 and expensed the remaining $26.8 million to operations. For the nine months ended September 30, 2017, we incurred total interest expense of approximately $31.5 million. We capitalized approximately $5.2 million of our interest expense on certain qualifying projects for the nine months ended September 30, 2017 and expensed the remaining $26.2 million to operations.</w:t>
      </w:r>
    </w:p>
    <w:p>
      <w:pPr>
        <w:spacing w:after="0" w:line="80"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i w:val="1"/>
          <w:iCs w:val="1"/>
          <w:color w:val="auto"/>
        </w:rPr>
        <w:t xml:space="preserve">Prepayment premium on extinguishment of debt. </w:t>
      </w:r>
      <w:r>
        <w:rPr>
          <w:rFonts w:ascii="Arial" w:cs="Arial" w:eastAsia="Arial" w:hAnsi="Arial"/>
          <w:sz w:val="17"/>
          <w:szCs w:val="17"/>
          <w:color w:val="auto"/>
        </w:rPr>
        <w:t>Our prepayment premium on the extinguishment of debt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was $31.2 million due to the 2023 Notes Tender Offer and Redemption, including total payments of $30.4 million to holders of the 2023 Notes as a result of the tender premium and the required 105.156% redemption price payable pursuant to the 2023 Notes indenture.</w:t>
      </w:r>
    </w:p>
    <w:p>
      <w:pPr>
        <w:spacing w:after="0" w:line="5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Total income tax benefit. </w:t>
      </w:r>
      <w:r>
        <w:rPr>
          <w:rFonts w:ascii="Arial" w:cs="Arial" w:eastAsia="Arial" w:hAnsi="Arial"/>
          <w:sz w:val="18"/>
          <w:szCs w:val="18"/>
          <w:color w:val="auto"/>
        </w:rPr>
        <w:t>Our deferred tax assets exceeded our deferred tax liabilities at September 30, 2018 due to the deferred tax amounts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full-cost ceiling impairment charges recorded in prior periods. As a result, we established a valuation allowance against the deferred tax assets beginning in the third quarter of 2015. We retained a full valuation allowance at September 30, 2018 due to uncertainties regarding the future realization of our deferred tax assets. Should we continue to generate net income, we anticipate the reversal of a portion of the deferred tax asset valuation allowance in a future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Our primary use of capital has been, and we expect will continue to be during the remainder of 2018 and for the foreseeable future, for the acquisition, exploration and development of oil and natural gas properties and for midstream investments. Excluding any possible significant acquisitions, we expect to fund our capital expenditure requirements for the remainder of 2018 and for 2019 through a combination of cash on hand, operating cash flows and borrowings under the Credit Agreement (assuming availability under our borrowing base). We continually evaluate other capital sources, including borrowings under additional credit arrangements, the sale or joint venture of midstream assets or oil and natural gas producing assets or acreage, particularly in our non-core asset areas,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84" w:lineRule="exact"/>
        <w:rPr>
          <w:sz w:val="20"/>
          <w:szCs w:val="20"/>
          <w:color w:val="auto"/>
        </w:rPr>
      </w:pPr>
    </w:p>
    <w:p>
      <w:pPr>
        <w:ind w:right="40" w:firstLine="392"/>
        <w:spacing w:after="0" w:line="276" w:lineRule="auto"/>
        <w:rPr>
          <w:sz w:val="20"/>
          <w:szCs w:val="20"/>
          <w:color w:val="auto"/>
        </w:rPr>
      </w:pPr>
      <w:r>
        <w:rPr>
          <w:rFonts w:ascii="Arial" w:cs="Arial" w:eastAsia="Arial" w:hAnsi="Arial"/>
          <w:sz w:val="17"/>
          <w:szCs w:val="17"/>
          <w:color w:val="auto"/>
        </w:rPr>
        <w:t>As of June 30, 2018, we had $575.0 million of outstanding 2023 Notes with a coupon of 6.875%. On August 21, 2018, we issued $750.0 million of Original 2026 Notes with a coupon of 5.875% in a private placement. The Original 2026 Notes were issued at par value, and we received net proceeds of approximately $740.0 million, after deducting the initial purchasers’ discounts and estimated offering expenses. In conjunction with the 2026 Notes Offering, in August and September 2018, we completed the 2023 Notes Tender Offer and Redemption of all of our $575.0 million aggregate principal amount of 2023 Notes. We used a portion of the net proceeds from the 2026 Notes Offering to fund the 2023 Notes Tender Offer and Redemption.</w:t>
      </w:r>
    </w:p>
    <w:p>
      <w:pPr>
        <w:spacing w:after="0" w:line="64"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On September 12, 2018, we announced the successful acquisition of 8,400 gross (8,400 net) leasehold acres in Lea and Eddy Counties, New Mexico for approximately $387 million, or a weighted average cost of approximately $46,000 per net acre, in the Bureau of Land Management New Mexico Oil and Gas Lease Sale on September 5 and 6, 2018 (the “BLM Acquisition”). We completed the BLM Acquisition on September 20, 2018, and we expect the leases will be issued to us in the fourth quarter of 2018. We financed the BLM Acquisition using cash on hand and borrowings under the Credit Agreement.</w:t>
      </w:r>
    </w:p>
    <w:p>
      <w:pPr>
        <w:spacing w:after="0" w:line="46"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At September 30, 2018, we had $750.0 million of outstanding Original 2026 Notes, $325.0 million in borrowings outstanding under the Credit Agreement and approximately $3.0 million in outstanding letters of credit issued pursuant to the Credit Agreement. At September 30, 2018, we also had cash totaling approximately $45.9 million and restricted cash totaling approximately $7.1 million, most of which is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4"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On October 4, 2018, we issued $300.0 million of Additional 2026 Notes. The Additional 2026 Notes were issued pursuant to, and are governed by, the same Indenture governing the Original 2026 Notes. The Additional 2026 Notes were issued at 100.5% of par, plus accrued interest from August 21, 2018. We received net proceeds from this offering of approximately $297.6 million, after deducting the initial purchasers’ discounts and estimated offering expenses but excluding accrued interest from August 21, 2018 paid by the initial purchasers of the Additional 2026 Notes. The proceeds from this offering were used to repay a portion of the $325.0 million in outstanding borrowings under the Credit Agreement, which were incurred in connection with the BLM Acquisition. The Notes will mature September 15, 2026, and interest is payable on the Notes semi-annually in arrears on each March 15 and September 15.</w:t>
      </w:r>
    </w:p>
    <w:p>
      <w:pPr>
        <w:spacing w:after="0" w:line="57" w:lineRule="exact"/>
        <w:rPr>
          <w:sz w:val="20"/>
          <w:szCs w:val="20"/>
          <w:color w:val="auto"/>
        </w:rPr>
      </w:pPr>
    </w:p>
    <w:p>
      <w:pPr>
        <w:ind w:right="1040" w:firstLine="392"/>
        <w:spacing w:after="0" w:line="277" w:lineRule="auto"/>
        <w:rPr>
          <w:sz w:val="20"/>
          <w:szCs w:val="20"/>
          <w:color w:val="auto"/>
        </w:rPr>
      </w:pPr>
      <w:r>
        <w:rPr>
          <w:rFonts w:ascii="Arial" w:cs="Arial" w:eastAsia="Arial" w:hAnsi="Arial"/>
          <w:sz w:val="18"/>
          <w:szCs w:val="18"/>
          <w:color w:val="auto"/>
        </w:rPr>
        <w:t>At October 31, 2018, we had $1.05 billion of outstanding Notes, $25.0 million in borrowings outstanding under the Credit Agreement and approximately $3.0 million in outstanding letters of credit issued pursuant to the Credit Agreement.</w:t>
      </w:r>
    </w:p>
    <w:p>
      <w:pPr>
        <w:spacing w:after="0" w:line="62" w:lineRule="exact"/>
        <w:rPr>
          <w:sz w:val="20"/>
          <w:szCs w:val="20"/>
          <w:color w:val="auto"/>
        </w:rPr>
      </w:pPr>
    </w:p>
    <w:p>
      <w:pPr>
        <w:ind w:right="20" w:firstLine="392"/>
        <w:spacing w:after="0" w:line="297" w:lineRule="auto"/>
        <w:rPr>
          <w:sz w:val="20"/>
          <w:szCs w:val="20"/>
          <w:color w:val="auto"/>
        </w:rPr>
      </w:pPr>
      <w:r>
        <w:rPr>
          <w:rFonts w:ascii="Arial" w:cs="Arial" w:eastAsia="Arial" w:hAnsi="Arial"/>
          <w:sz w:val="16"/>
          <w:szCs w:val="16"/>
          <w:color w:val="auto"/>
        </w:rPr>
        <w:t>In October 2018, the lenders under our Credit Agreement completed their review of our proved oil and natural gas reserves at June 30, 2018. In connection with such review, we amended the Credit Agreement to, among other items, increase the maximum facility amount to $1.5 billion, increase the borrowing base to $850.0 million, increase the elected borrowing commitment to $500.0 million, extend the maturity to October 31, 2023 and reduce borrowing rates by 0.25% per annum. This October 2018 redetermination constituted the regularly scheduled November 1 redetermination. Borrowings under the Credit Agreement are limited to the lowest of the borrowing base, the maximum facility amount and the elected borrowing commitment.</w:t>
      </w:r>
    </w:p>
    <w:p>
      <w:pPr>
        <w:spacing w:after="0" w:line="50" w:lineRule="exact"/>
        <w:rPr>
          <w:sz w:val="20"/>
          <w:szCs w:val="20"/>
          <w:color w:val="auto"/>
        </w:rPr>
      </w:pPr>
    </w:p>
    <w:p>
      <w:pPr>
        <w:ind w:right="20" w:firstLine="392"/>
        <w:spacing w:after="0" w:line="291" w:lineRule="auto"/>
        <w:rPr>
          <w:sz w:val="20"/>
          <w:szCs w:val="20"/>
          <w:color w:val="auto"/>
        </w:rPr>
      </w:pPr>
      <w:r>
        <w:rPr>
          <w:rFonts w:ascii="Arial" w:cs="Arial" w:eastAsia="Arial" w:hAnsi="Arial"/>
          <w:sz w:val="16"/>
          <w:szCs w:val="16"/>
          <w:color w:val="auto"/>
        </w:rPr>
        <w:t>During the third quarter of 2018, we continued our focus on the exploration, delineation and development of our Delaware Basin acreage in Loving County, Texas and Lea and Eddy Counties, New Mexico. We began 2018 operating six drilling rigs in the Delaware Basin and continued to do so through September 30, 2018. We expect to operate those six rigs in the Delaware Basin through the remainder of 2018, including three rigs in the Rustler Breaks asset area, one rig in the Wolf/Jackson Trust asset areas, one rig in the Ranger/Arrowhead and Twin Lakes asset areas and one rig in the Antelope Ridge asset area. We have continued to build significant optionality into our drilling program. Three of our rigs operate on longer-term contracts with remaining average terms between 12 and 15 months. The other three rigs are on short-term contracts with remaining obligations of six months or less. This affords us the ability to modify our drilling program as management may determine necessary based on changing commodity prices and other factors.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392"/>
        <w:spacing w:after="0" w:line="257" w:lineRule="auto"/>
        <w:rPr>
          <w:sz w:val="20"/>
          <w:szCs w:val="20"/>
          <w:color w:val="auto"/>
        </w:rPr>
      </w:pPr>
      <w:r>
        <w:rPr>
          <w:rFonts w:ascii="Arial" w:cs="Arial" w:eastAsia="Arial" w:hAnsi="Arial"/>
          <w:sz w:val="18"/>
          <w:szCs w:val="18"/>
          <w:color w:val="auto"/>
        </w:rPr>
        <w:t>Effective October 1, 2018, we added a seventh operated drilling rig to our drilling program on a short-term contract. This seventh drilling rig was deployed initially in South Texas to drill up to ten wells, primarily in the Eagle Ford shale. This rig is expected to operate in South Texas throughout the fourth quarter of 2018 and into early 2019. At that time, subject to commodity prices and other economic circumstances, we anticipate moving this rig to the Delaware Basin, most likely to either the Arrowhead or Antelope Ridge asset area. We then expect to operate this seventh rig in the Delaware Basin throughout the remainder of 2019.</w:t>
      </w:r>
    </w:p>
    <w:p>
      <w:pPr>
        <w:spacing w:after="0" w:line="80"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August 1, 2018, we adjusted our anticipated 2018 capital expenditures for drilling and completions (including equipping wells for production) from $530 to $570 million to $620 to $650 million and our anticipated midstream capital expenditures remained $70 to $90 million, which primarily represents our 51% share of San Mateo’s 2018 estimated capital expenditures. With the addition of the seventh drilling rig deployed to South Texas on October 1, 2018, we increased our anticipated 2018 capital expenditures for drilling and completions (including equipping wells for production) by approximately 4%, or $25 to $30 million, to $645 to $680 million. We have allocated substantially all of our estimated 2018 capital expenditures to the further delineation and development of our growing leasehold position and midstream assets in the Delaware Basin, with the exception of the South Texas drilling program beginning in the fourth quarter of 2018 and amounts allocated to limited non-operated activities in the Eagle Ford and Haynesville shales. For the remainder of 2018, our Delaware Basin drilling program will continue to focus on the development of the Wolf and Rustler Breaks asset areas and the further delineation and development of the Jackson Trust, Ranger/Arrowhead, Antelope Ridge and Twin Lakes asset areas, although we may also continue to delineate previously untested zones in the Wolf and Rustler Breaks asset areas.</w:t>
      </w:r>
    </w:p>
    <w:p>
      <w:pPr>
        <w:spacing w:after="0" w:line="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2018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2018 is expected to come from producing wells and development activities on currently proved properties in the Wolfcamp and Bone Spring plays in the Delaware Basin, the Eagle Ford shale in South Texas and the Haynesville shale in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2018 and the hedges we currently have in place.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 at September 30, 2018.</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unaudited cash flows for the nine months ended September 30, 2018 and 2017 are presented below:</w:t>
      </w:r>
    </w:p>
    <w:p>
      <w:pPr>
        <w:spacing w:after="0" w:line="172"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33020</wp:posOffset>
            </wp:positionV>
            <wp:extent cx="20066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222,516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(1,220,528)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(596,853)</w:t>
            </w:r>
          </w:p>
        </w:tc>
      </w:tr>
      <w:tr>
        <w:trPr>
          <w:trHeight w:val="27"/>
        </w:trPr>
        <w:tc>
          <w:tcPr>
            <w:tcW w:w="7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751,736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191,117</w:t>
            </w:r>
          </w:p>
        </w:tc>
      </w:tr>
      <w:tr>
        <w:trPr>
          <w:trHeight w:val="237"/>
        </w:trPr>
        <w:tc>
          <w:tcPr>
            <w:tcW w:w="7720" w:type="dxa"/>
            <w:vAlign w:val="bottom"/>
          </w:tcPr>
          <w:p>
            <w:pPr>
              <w:ind w:left="4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(49,474)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(183,220)</w:t>
            </w:r>
          </w:p>
        </w:tc>
      </w:tr>
      <w:tr>
        <w:trPr>
          <w:trHeight w:val="67"/>
        </w:trPr>
        <w:tc>
          <w:tcPr>
            <w:tcW w:w="77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1"/>
        </w:trPr>
        <w:tc>
          <w:tcPr>
            <w:tcW w:w="772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409,984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227,444</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75" w:lineRule="exact"/>
        <w:rPr>
          <w:sz w:val="20"/>
          <w:szCs w:val="20"/>
          <w:color w:val="auto"/>
        </w:rPr>
      </w:pPr>
    </w:p>
    <w:p>
      <w:pPr>
        <w:ind w:left="340" w:right="46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Net cash provided by operating activities increased $196.8 million to $419.3 million for the nine months ended September 30, 2018 from $222.5 million for the nine months ended September 30, 2017. Excluding changes in operating assets and liabilities, net cash provided by operating activities increased to $405.0 million for the nine months ended September 30, 2018 from $210.7 million for the nine months ended September 30, 2017. This increase was primarily attributable to higher oil and natural gas production and higher oil prices. Changes in our operating assets and liabilities between the two periods resulted in a net increase of approximately $2.5 million in net cash provided by operating activities for the nine months ended September 30, 2018, as compared to the nine months ended September 30, 2017.</w:t>
      </w:r>
    </w:p>
    <w:p>
      <w:pPr>
        <w:spacing w:after="0" w:line="8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 In addition, we attempt to avoid long-term service agreements where possible in order to minimize ongoing future commitments.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Net cash used in investing activities increased by $623.7 million to $1.221 billion for the nine months ended September 30, 2018 from $596.9 million for the nine months ended September 30, 2017. This increase in net cash used in investing activities is primarily due to an increase of $589.3 million in oil and natural gas properties capital expenditures for the nine months ended September 30, 2018, as compared to the nine months ended September 30, 2017. Cash used for oil and natural gas properties capital expenditures for the nine months ended September 30, 2018 was attributable to the acquisition of additional leasehold and mineral interests including, primarily, the BLM Acquisition, and to our operated and non-operated drilling and completion activities in the Delaware Basin. The remaining increase was attributable to an increase in cash used for midstream and other property and equipment of $41.7 million primarily related to capital expenditures for San Mateo, which was partially offset by a net increase of $7.3 million in proceeds from the sale of acreage.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Net cash provided by financing activities increased by $560.6 million to $751.7 million for the nine months ended September 30, 2018 from $191.1 million for the nine months ended September 30, 2017. During the nine months ended September 30, 2018, we received net proceeds of $226.5 million from our May 2018 public equity offering, had borrowings under our credit agreement of $370.0 million, received net proceeds from the 2026 Notes Offering of $740.5 million and had an increase of $44.1 million in contributions from non-controlling interest owners in less-than-wholly-owned subsidiaries. These increases were offset by the repayment of the $45.0 million in borrowings under our Credit Agreement, the purchase of our 2023 Notes for $605.8 million, a decrease of $156.8 million in contributions related to the formation of San Mateo and an increase of $11.8 million in distributions to non-controlling interest owners in less-than-wholly-owned subsidiaries.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jc w:val="both"/>
        <w:ind w:right="100" w:firstLine="432"/>
        <w:spacing w:after="0" w:line="288" w:lineRule="auto"/>
        <w:rPr>
          <w:sz w:val="20"/>
          <w:szCs w:val="20"/>
          <w:color w:val="auto"/>
        </w:rPr>
      </w:pPr>
      <w:r>
        <w:rPr>
          <w:rFonts w:ascii="Arial" w:cs="Arial" w:eastAsia="Arial" w:hAnsi="Arial"/>
          <w:sz w:val="16"/>
          <w:szCs w:val="16"/>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 EBITDA is not a measure of net income (loss) or cash flows as determined by GAAP.</w:t>
      </w:r>
    </w:p>
    <w:p>
      <w:pPr>
        <w:ind w:right="220"/>
        <w:spacing w:after="0" w:line="261" w:lineRule="auto"/>
        <w:rPr>
          <w:sz w:val="20"/>
          <w:szCs w:val="20"/>
          <w:color w:val="auto"/>
        </w:rPr>
      </w:pPr>
      <w:r>
        <w:rPr>
          <w:rFonts w:ascii="Arial" w:cs="Arial" w:eastAsia="Arial" w:hAnsi="Arial"/>
          <w:sz w:val="18"/>
          <w:szCs w:val="18"/>
          <w:color w:val="auto"/>
        </w:rPr>
        <w:t>Adjusted EBITDA is a supplemental non-GAAP financial measure that is used by management and external users of our consolidated financial statements, such as industry analysts, investors, lenders and rating agencies.</w:t>
      </w:r>
    </w:p>
    <w:p>
      <w:pPr>
        <w:spacing w:after="0" w:line="1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06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258"/>
        </w:trPr>
        <w:tc>
          <w:tcPr>
            <w:tcW w:w="4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6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4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37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4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17,794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15,039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137,494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87,532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income attributable to non-controlling interest in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155,676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95,566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26,229</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Depletion, depreciation and amortization</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47,800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192,664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123,066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asset retirement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Unrealized loss (gain) on derivatives</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(21,449)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Net loss (gain) on asset sales and inventory impairment</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premium on extinguishment of debt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Consolidated Adjusted EBITDA</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163,900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431,002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236,814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8"/>
                <w:szCs w:val="18"/>
                <w:color w:val="auto"/>
                <w:w w:val="93"/>
              </w:rPr>
              <w:t>Adjusted EBITDA attributable to Matador Resources Company</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155,392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84,833</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409,984</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227,444</w:t>
            </w:r>
          </w:p>
        </w:tc>
        <w:tc>
          <w:tcPr>
            <w:tcW w:w="0" w:type="dxa"/>
            <w:vAlign w:val="bottom"/>
          </w:tcPr>
          <w:p>
            <w:pPr>
              <w:spacing w:after="0"/>
              <w:rPr>
                <w:sz w:val="1"/>
                <w:szCs w:val="1"/>
                <w:color w:val="auto"/>
              </w:rPr>
            </w:pPr>
          </w:p>
        </w:tc>
      </w:tr>
      <w:tr>
        <w:trPr>
          <w:trHeight w:val="242"/>
        </w:trPr>
        <w:tc>
          <w:tcPr>
            <w:tcW w:w="48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24"/>
                <w:szCs w:val="24"/>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Unaudited Adjusted EBITDA Reconciliation to Net Cash</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165,111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101,274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419,318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222,516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expense, net of non-cash portion</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26,126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8"/>
                <w:szCs w:val="18"/>
                <w:color w:val="auto"/>
                <w:w w:val="93"/>
              </w:rPr>
              <w:t>Adjusted EBITDA attributable to Matador Resources Company</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155,392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84,833</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409,984</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227,444</w:t>
            </w:r>
          </w:p>
        </w:tc>
        <w:tc>
          <w:tcPr>
            <w:tcW w:w="0" w:type="dxa"/>
            <w:vAlign w:val="bottom"/>
          </w:tcPr>
          <w:p>
            <w:pPr>
              <w:spacing w:after="0"/>
              <w:rPr>
                <w:sz w:val="1"/>
                <w:szCs w:val="1"/>
                <w:color w:val="auto"/>
              </w:rPr>
            </w:pPr>
          </w:p>
        </w:tc>
      </w:tr>
      <w:tr>
        <w:trPr>
          <w:trHeight w:val="242"/>
        </w:trPr>
        <w:tc>
          <w:tcPr>
            <w:tcW w:w="48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Net income attributable to Matador Resources Company shareholders increased by $2.8 million to $17.8 million for the three months ended September 30, 2018, as compared to $15.0 million for the three months ended September 30, 2017. This increase in net income attributable to Matador Resources Company shareholders for the three months ended September 30, 2018 as compared to the three months ended September 30, 2017 is primarily attributable to the increase in oil and natural gas revenues of $81.3 million, which was offset by a $9.0 million increase in unrealized loss on derivatives, a $39.6 million increase in total expenses and the $31.2 million in prepayment premium on extinguishment of debt.</w:t>
      </w:r>
    </w:p>
    <w:p>
      <w:pPr>
        <w:spacing w:after="0" w:line="6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Net income attributable to Matador Resources Company shareholders increased by $50.0 million to $137.5 million for the nine months ended September 30, 2018, as compared to $87.5 million for the nine months ended September 30, 2017. This increase in net income attributable to Matador Resources Company shareholders for the nine months ended September 30, 2018 as compared to the nine months ended September 30, 2017 is primarily attributable to the increase in oil and natural gas revenues of $243.7 million, which was offset by a $30.9 million decrease in unrealized gain on derivatives, a $123.6 million increase in total expenses and the $31.2 million in prepayment premium on extinguishment of debt.</w:t>
      </w:r>
    </w:p>
    <w:p>
      <w:pPr>
        <w:spacing w:after="0" w:line="6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Adjusted EBITDA, a non-GAAP financial measure, increased by $70.6 million to $155.4 million for the three months ended September 30, 2018, as compared to $84.8 million for the three months ended September 30, 2017. This increase in our Adjusted EBITDA is primarily attributable to higher oil and natural gas production and higher oil and natural gas prices for the three months ended September 30, 2018, as compared to the three months ended September 30, 2017.</w:t>
      </w:r>
    </w:p>
    <w:p>
      <w:pPr>
        <w:spacing w:after="0" w:line="7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Adjusted EBITDA, a non-GAAP financial measure, increased by $182.5 million to $410.0 million for the nine months ended September 30, 2018, as compared to $227.4 million for the nine months ended September 30, 2017. This increase in our</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Adjusted EBITDA is primarily attributable to higher oil and natural gas production and higher oil prices for the nine months ended September 30, 2018, as compared to the nine months ended September 30,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 September 30, 2018, the material off-balance sheet arrangements and transactions that we have entered into include (i) operating lease agreements, (ii) non-operated drilling commitments, (iii) termination obligations under drilling rig contracts, (iv) firm transportation, gathering, processing and disposal commitments and (v)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September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Payments Due by Period</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ind w:right="14"/>
              <w:spacing w:after="0" w:line="153" w:lineRule="exact"/>
              <w:rPr>
                <w:sz w:val="20"/>
                <w:szCs w:val="20"/>
                <w:color w:val="auto"/>
              </w:rPr>
            </w:pPr>
            <w:r>
              <w:rPr>
                <w:rFonts w:ascii="Arial" w:cs="Arial" w:eastAsia="Arial" w:hAnsi="Arial"/>
                <w:sz w:val="14"/>
                <w:szCs w:val="14"/>
                <w:b w:val="1"/>
                <w:bCs w:val="1"/>
                <w:color w:val="auto"/>
                <w:w w:val="81"/>
              </w:rPr>
              <w:t>Less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5"/>
              </w:rPr>
              <w:t>More</w:t>
            </w:r>
          </w:p>
        </w:tc>
        <w:tc>
          <w:tcPr>
            <w:tcW w:w="0" w:type="dxa"/>
            <w:vAlign w:val="bottom"/>
          </w:tcPr>
          <w:p>
            <w:pPr>
              <w:spacing w:after="0"/>
              <w:rPr>
                <w:sz w:val="1"/>
                <w:szCs w:val="1"/>
                <w:color w:val="auto"/>
              </w:rPr>
            </w:pPr>
          </w:p>
        </w:tc>
      </w:tr>
      <w:tr>
        <w:trPr>
          <w:trHeight w:val="149"/>
        </w:trPr>
        <w:tc>
          <w:tcPr>
            <w:tcW w:w="5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6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92"/>
        </w:trPr>
        <w:tc>
          <w:tcPr>
            <w:tcW w:w="5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50"/>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line="270" w:lineRule="exact"/>
              <w:rPr>
                <w:sz w:val="20"/>
                <w:szCs w:val="20"/>
                <w:color w:val="auto"/>
              </w:rPr>
            </w:pPr>
            <w:r>
              <w:rPr>
                <w:rFonts w:ascii="Arial" w:cs="Arial" w:eastAsia="Arial" w:hAnsi="Arial"/>
                <w:sz w:val="18"/>
                <w:szCs w:val="18"/>
                <w:color w:val="auto"/>
              </w:rPr>
              <w:t>Revolving credit borrowings, including letters of credit</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327,991</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327,991</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Office leases</w:t>
            </w:r>
          </w:p>
        </w:tc>
        <w:tc>
          <w:tcPr>
            <w:tcW w:w="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Non-operated drilling commitments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line="27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32,790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30,771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25,371</w:t>
            </w: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w w:val="92"/>
              </w:rPr>
              <w:t>Natural gas transportation, gathering and processing agreements with</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40"/>
              <w:spacing w:after="0" w:line="257" w:lineRule="exact"/>
              <w:rPr>
                <w:sz w:val="20"/>
                <w:szCs w:val="20"/>
                <w:color w:val="auto"/>
              </w:rPr>
            </w:pPr>
            <w:r>
              <w:rPr>
                <w:rFonts w:ascii="Arial" w:cs="Arial" w:eastAsia="Arial" w:hAnsi="Arial"/>
                <w:sz w:val="18"/>
                <w:szCs w:val="18"/>
                <w:color w:val="auto"/>
              </w:rPr>
              <w:t>non-affiliates</w:t>
            </w:r>
            <w:r>
              <w:rPr>
                <w:rFonts w:ascii="Arial" w:cs="Arial" w:eastAsia="Arial" w:hAnsi="Arial"/>
                <w:sz w:val="25"/>
                <w:szCs w:val="25"/>
                <w:color w:val="auto"/>
                <w:vertAlign w:val="superscript"/>
              </w:rPr>
              <w:t>(5)</w:t>
            </w:r>
          </w:p>
        </w:tc>
        <w:tc>
          <w:tcPr>
            <w:tcW w:w="1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451,092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87,651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90,815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253,669</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6"/>
              </w:rPr>
              <w:t>Gathering, processing and disposal agreements with San Mateo</w:t>
            </w:r>
            <w:r>
              <w:rPr>
                <w:rFonts w:ascii="Arial" w:cs="Arial" w:eastAsia="Arial" w:hAnsi="Arial"/>
                <w:sz w:val="25"/>
                <w:szCs w:val="25"/>
                <w:color w:val="auto"/>
                <w:w w:val="96"/>
                <w:vertAlign w:val="superscript"/>
              </w:rPr>
              <w:t>(6)</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222,028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69,994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75,205</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Natural gas construction contracts</w:t>
            </w:r>
            <w:r>
              <w:rPr>
                <w:rFonts w:ascii="Arial" w:cs="Arial" w:eastAsia="Arial" w:hAnsi="Arial"/>
                <w:sz w:val="25"/>
                <w:szCs w:val="25"/>
                <w:color w:val="auto"/>
                <w:vertAlign w:val="superscript"/>
              </w:rPr>
              <w:t>(7)</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11,955</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1,890,759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111,219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166,158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173,750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1,439,632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52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At September 30, 2018, we had $325.0 million in borrowings outstanding under our Credit Agreement and approximately $3.0 million in outstanding letters of credit issued pursuant to the Credit Agreement. The Credit Agreement matures in October 2023.</w:t>
      </w:r>
    </w:p>
    <w:p>
      <w:pPr>
        <w:spacing w:after="0" w:line="65" w:lineRule="exact"/>
        <w:rPr>
          <w:rFonts w:ascii="Arial" w:cs="Arial" w:eastAsia="Arial" w:hAnsi="Arial"/>
          <w:sz w:val="14"/>
          <w:szCs w:val="14"/>
          <w:color w:val="auto"/>
        </w:rPr>
      </w:pPr>
    </w:p>
    <w:p>
      <w:pPr>
        <w:ind w:left="340" w:right="36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Original 2026 Notes that were outstanding as of September 30, 2018 is expected to be approximately $44.1 million each year until maturity.</w:t>
      </w:r>
    </w:p>
    <w:p>
      <w:pPr>
        <w:spacing w:after="0" w:line="65" w:lineRule="exact"/>
        <w:rPr>
          <w:rFonts w:ascii="Arial" w:cs="Arial" w:eastAsia="Arial" w:hAnsi="Arial"/>
          <w:sz w:val="14"/>
          <w:szCs w:val="14"/>
          <w:color w:val="auto"/>
        </w:rPr>
      </w:pPr>
    </w:p>
    <w:p>
      <w:pPr>
        <w:ind w:left="340" w:right="180" w:hanging="332"/>
        <w:spacing w:after="0" w:line="25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September 30, 2018, we had outstanding commitments to participate in the drilling and completion of various non-operated wells. Our working interests in these wells are typically small, and certain of these wells were in progress at September 30, 2018. If all of these wells are drilled and completed, we will have minimum outstanding aggregate commitments for our participation in these wells of approximately $44.2 million at September 30, 2018, which we expect to incur within the next year.</w:t>
      </w:r>
    </w:p>
    <w:p>
      <w:pPr>
        <w:spacing w:after="0" w:line="77" w:lineRule="exact"/>
        <w:rPr>
          <w:rFonts w:ascii="Arial" w:cs="Arial" w:eastAsia="Arial" w:hAnsi="Arial"/>
          <w:sz w:val="14"/>
          <w:szCs w:val="14"/>
          <w:color w:val="auto"/>
        </w:rPr>
      </w:pPr>
    </w:p>
    <w:p>
      <w:pPr>
        <w:ind w:left="340" w:right="28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 See Note 9 to the interim unaudited condensed consolidated financial statements in this Quarterly Report for more information regarding these contractual commitments.</w:t>
      </w:r>
    </w:p>
    <w:p>
      <w:pPr>
        <w:spacing w:after="0" w:line="65" w:lineRule="exact"/>
        <w:rPr>
          <w:rFonts w:ascii="Arial" w:cs="Arial" w:eastAsia="Arial" w:hAnsi="Arial"/>
          <w:sz w:val="14"/>
          <w:szCs w:val="14"/>
          <w:color w:val="auto"/>
        </w:rPr>
      </w:pPr>
    </w:p>
    <w:p>
      <w:pPr>
        <w:ind w:left="340" w:hanging="332"/>
        <w:spacing w:after="0" w:line="246"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late 2015, we entered into a 15-year fixed-fee natural gas gathering and processing agreement for a significant portion of our operated natural gas production in Loving County, Texas. In late 2017, we entered into an 18-year fixed-fee natural gas transportation agreement where we committed to deliver a portion of the residue natural gas production at the tailgate of the Black River Processing Plant to transport through the counterparty’s pipeline in Eddy County, New Mexico. In late 2017, we also entered into a fixed-fee NGL transportation and fractionation agreement whereby we committed to deliver our NGL production at the tailgate of the Black River Processing Plant. We have committed to deliver a minimum amount of NGLs to the counterparty upon construction and completion of a pipeline expansion and a fractionation facility by the counterparty, which is currently expected to be completed late in 2019. We have no rights to compel the counterparty to construct this pipeline extension or fractionation facility. If the counterparty does not construct the pipeline extension and fractionation facility, then we do not have any minimum volume commitments under the agreement. If the counterparty constructs the pipeline extension and fractionation facility on or prior to February 28, 2021, then we will have a commitment to deliver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100"/>
        <w:spacing w:after="0" w:line="386" w:lineRule="auto"/>
        <w:rPr>
          <w:sz w:val="20"/>
          <w:szCs w:val="20"/>
          <w:color w:val="auto"/>
        </w:rPr>
      </w:pPr>
      <w:r>
        <w:rPr>
          <w:rFonts w:ascii="Arial" w:cs="Arial" w:eastAsia="Arial" w:hAnsi="Arial"/>
          <w:sz w:val="14"/>
          <w:szCs w:val="14"/>
          <w:color w:val="auto"/>
        </w:rPr>
        <w:t>minimum amount of NGLs for seven years following the completion of the pipeline extension and fractionation facility. If we do not meet our NGL volume commitment in any quarter during the seven-year commitment period, we will be required to pay a deficiency fee per gallon of NGL deficiency. The amounts in the table assume that the seven-year period containing minimum NGL volume commitments begins in late 2019. In the second quarter of 2018, we entered into a 16-year, fixed fee natural gas transportation agreement that begins on October 1, 2019, whereby we committed to deliver a portion of the residue natural gas production at the tailgate of the Black River Processing Plant to transport through the counterparty’s pipeline. Additionally, in the second quarter of 2018, we entered into a short-term natural gas transportation agreement whereby we committed to deliver a portion of the residue natural gas production at the tailgate of the Black River Processing Plant to transport through the counterparty’s pipeline. Lastly, in the second quarter of 2018, we entered into a 10-year, fixed-fee natural gas sales agreement whereby we committed to deliver residue natural gas through the counterparty’s pipeline to the Texas Gulf Coast beginning on the in-service date for such pipeline, which is expected to be operational in late 2019. See Note 9 to the interim unaudited condensed consolidated financial statements in this Quarterly Report for more information regarding these contractual commitments.</w:t>
      </w:r>
    </w:p>
    <w:p>
      <w:pPr>
        <w:spacing w:after="0" w:line="33" w:lineRule="exact"/>
        <w:rPr>
          <w:sz w:val="20"/>
          <w:szCs w:val="20"/>
          <w:color w:val="auto"/>
        </w:rPr>
      </w:pPr>
    </w:p>
    <w:p>
      <w:pPr>
        <w:ind w:left="340" w:right="20" w:hanging="332"/>
        <w:spacing w:after="0" w:line="252"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February 2017, we dedicated our current and future leasehold interests in the Rustler Breaks and Wolf asset areas pursuant to 15-year, fixed-fee natural gas, oil and salt water gathering agreements and salt water disposal agreements. In addition, effective February 1, 2017, we dedicated our current and future leasehold interests in the Rustler Breaks asset area pursuant to a 15-year, fixed-fee natural gas processing agreement. See Note 9 to the interim unaudited condensed consolidated financial statements in this Quarterly Report for more information regarding these contractual commitments.</w:t>
      </w:r>
    </w:p>
    <w:p>
      <w:pPr>
        <w:spacing w:after="0" w:line="80" w:lineRule="exact"/>
        <w:rPr>
          <w:rFonts w:ascii="Arial" w:cs="Arial" w:eastAsia="Arial" w:hAnsi="Arial"/>
          <w:sz w:val="14"/>
          <w:szCs w:val="14"/>
          <w:color w:val="auto"/>
        </w:rPr>
      </w:pPr>
    </w:p>
    <w:p>
      <w:pPr>
        <w:ind w:left="340" w:right="120" w:hanging="332"/>
        <w:spacing w:after="0" w:line="252"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Beginning in May 2017, a subsidiary of San Mateo entered into certain agreements with third parties for the engineering, procurement, construction and installation of an expansion of the Black River Processing Plant. In addition, during the first quarter of 2018, a subsidiary of San Mateo entered into agreements for additional field compression and an amine gas treatment unit to maximize the operation of the Black River Processing Plant. See Note 9 to the interim unaudited condensed consolidated financial statements in this Quarterly Report for more information regarding these contractual commitments.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the three months ended September 30, 2018, oil prices averaged $69.51 per Bbl, ranging from a high of $74.14 per Bbl in early July to a low of $65.01 per Bbl in mid-August, based upon the NYMEX West Texas Intermediate oil futures contract price for the earliest delivery date. We realized a weighted average oil price of $57.15 per Bbl ($58.97 per Bbl including realized gains from oil derivatives) for our oil production for the three months ended September 30, 2018, as compared to $46.25 per Bbl ($46.47 per Bbl including realized gains from oil derivatives) for our production for the three months ended September 30, 2017. At October 31, 2018, the NYMEX West Texas Intermediate oil futures contract for the earliest delivery date had declined from the average price for the third quarter of 2018, settling at $65.31 per Bbl, which was a significant increase as compared to $54.38 per Bbl at October 31, 2017.</w:t>
      </w:r>
    </w:p>
    <w:p>
      <w:pPr>
        <w:spacing w:after="0" w:line="57"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For the three months ended September 30, 2018, natural gas prices averaged $2.87 per MMBtu, ranging from a high of approximately $3.08 per MMBtu in late September to a low of approximately $2.72 per MMBtu in mid-July, based upon the NYMEX Henry Hub natural gas futures contract price for the earliest delivery date. We realized a weighted average natural gas price of $3.77 per Mcf (with no realized gains or losses from natural gas derivatives) for our natural gas production (including revenues attributable to NGLs) for the three months ended September 30, 2018, as compared to $3.42 per Mcf (with no realized gains or losses from natural gas derivatives) for our natural gas production (including revenues attributable to NGLs) for the three months ended September 30, 2017. Our weighted average natural gas price was positively impacted by increasing NGL revenues during the third quarter of 2018 as compared to the third quarter of 2017. At October 31, 2018, the NYMEX Henry Hub natural gas futures contract for the earliest delivery date had increased from the average price for the third quarter of 2018, settling at $3.26 per MMBtu, which was also an increase as compared to $2.90 per MMBtu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October 31, 2017.</w:t>
      </w:r>
    </w:p>
    <w:p>
      <w:pPr>
        <w:spacing w:after="0" w:line="10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prices we receive for oil, natural gas and NGLs heavily influence our revenue, profitability, cash flow available for capital expenditures, access to capital and future rate of growth. Oil, natural gas and NGLs are commodities, and therefore, their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We are uncertain if oil and natural gas prices may rise from their current levels, and in fact, oil and natural gas prices may decrease in future periods.</w:t>
      </w:r>
    </w:p>
    <w:p>
      <w:pPr>
        <w:spacing w:after="0" w:line="8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From time to time, we use derivative financial instruments to mitigate our exposure to commodity price risk associated with oil, natural gas and NGL prices and basis differentials.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4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prices we receive for our oil and natural gas production often reflect a discount to the relevant benchmark prices, such as the NYMEX West Texas Intermediate oil price or the NYMEX Henry Hub natural gas price. The difference between the benchmark price and the price we receive is called a differential. At September 30, 2018, most of our oil production from the Delaware Basin was sold based on prices established in Midland, Texas and most of our natural gas production from the Delaware Basin was sold based on prices established at the Waha Hub in far West Texas. During the first quarter of 2018, the price differentials for oil sold in Midland and natural gas sold at the Waha Hub compared to the benchmark prices for oil and natural gas, respectively, began to widen significantly, and these differentials widened further in the second and third quarters. These widening differentials negatively impacted our oil and natural gas revenues throughout the third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quarter of 2018, with oil price differentials reaching higher than ($16.00) per Bbl and natural gas price differentials reaching higher than ($1.25) per MMBtu in the latter part of the quarter. The oil price differentials have begun to narrow somewhat since September 30, 2018, but the natural gas price differentials have widened further. These oil and natural gas price differentials are expected to negatively impact our oil and natural gas revenues in the fourth quarter of 2018.</w:t>
      </w:r>
    </w:p>
    <w:p>
      <w:pPr>
        <w:spacing w:after="0" w:line="7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anticipate that these widening price differentials could persist for 12 to 18 months or longer until additional oil and natural gas pipeline capacity from West Texas to the Texas Gulf Coast and other end markets is completed; however, we can provide no assurances as to how long these widening differentials may persist, and these price differentials could widen further in future periods. At September 30, 2018, we had approximately 45% to 50% of our anticipated Delaware Basin oil production for the fourth quarter of 2018 hedged at a weighted average basis differential swap price of ($1.02) per barrel to help mitigate our exposure to these widening oil price basis differentials. See Note 7 to the interim unaudited condensed consolidated financial statements in this Quarterly Report for a summary of these oil basis swaps. At September 30, 2018, we had no hedges in place to mitigate our exposure to basis differentials for our natural gas production in 2018 and no basis hedges in place for either oil or natural gas production in 2019 or beyond.</w:t>
      </w:r>
    </w:p>
    <w:p>
      <w:pPr>
        <w:spacing w:after="0" w:line="5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These widening basis differentials are largely attributable to industry concerns regarding the near-term sufficiency of pipeline takeaway capacity for oil, natural gas and NGL production in the Delaware Basin. At October 31, 2018, we had not experienced material pipeline-related interruptions to our oil, natural gas or NGL production during 2018. During the third quarter of 2018, shortages of NGL fractionation capacity were experienced by certain operators in the Delaware Basin and elsewhere. We did not experience such problems in the third quarter of 2018, and although we do not expect to encounter fractionation capacity problems going forward,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Coinciding with the improvements in oil and natural gas prices since the latter part of 2016, we have experienced price increases from certain of our service providers for some of the products and services we use in our drilling, completion and production operations. If oil and natural gas prices remain at their current levels or increase further, we could experience additional price increases for drilling, completion and production products and services, although we can provide no estimates as to the magnitude of these increases.</w:t>
      </w:r>
    </w:p>
    <w:p>
      <w:pPr>
        <w:spacing w:after="0" w:line="7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properties are subject to natural production declines. By their nature, our oil and natural gas wells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certain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w:t>
      </w:r>
    </w:p>
    <w:p>
      <w:pPr>
        <w:spacing w:after="0" w:line="8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2017, which are disclosed in Part II, Item 7A of the Annual Report and incorporated herein by reference.</w:t>
      </w:r>
    </w:p>
    <w:p>
      <w:pPr>
        <w:spacing w:after="0" w:line="6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the Company with downside price protection through the purchase of a put option, but they also allow the Company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the Company.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September 30, 2018, Royal Bank of Canada, The Bank of Nova Scotia, BMO Harris Financing (Bank of Montreal) and SunTrust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at September 30, 2018. Such information is incorporated herein by reference.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2018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September 30, 2018 that have materially affected or are reasonably likely to have a material effect on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party to several lawsuits encountered in the ordinary course of business. While the ultimate outcome and impact on us cannot be predicted with certainty, in the opinion of management, it is remote that these lawsuits will have a material adverse impact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During the quarter ended September 30, 2018,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 as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 Per</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3"/>
              </w:rPr>
              <w:t>Purchased</w:t>
            </w:r>
            <w:r>
              <w:rPr>
                <w:rFonts w:ascii="Arial" w:cs="Arial" w:eastAsia="Arial" w:hAnsi="Arial"/>
                <w:sz w:val="25"/>
                <w:szCs w:val="25"/>
                <w:b w:val="1"/>
                <w:bCs w:val="1"/>
                <w:color w:val="auto"/>
                <w:w w:val="83"/>
                <w:vertAlign w:val="superscript"/>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to July 31, 2018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August 1, 2018 to August 31, 2018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21"/>
                <w:szCs w:val="21"/>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to September 30, 2018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45,368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220" w:firstLine="8"/>
        <w:spacing w:after="0" w:line="273" w:lineRule="auto"/>
        <w:tabs>
          <w:tab w:leader="none" w:pos="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60" w:type="dxa"/>
            <w:vAlign w:val="bottom"/>
            <w:gridSpan w:val="24"/>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6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80" w:type="dxa"/>
            <w:vAlign w:val="bottom"/>
            <w:tcBorders>
              <w:top w:val="single" w:sz="8" w:color="auto"/>
              <w:bottom w:val="single" w:sz="8" w:color="0000FF"/>
            </w:tcBorders>
            <w:gridSpan w:val="28"/>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Certificate of Merger between Matador Resources Company (now known as MRC Energy Company) and Matador Merger Co. (incorporated</w:t>
              </w:r>
            </w:hyperlink>
          </w:p>
        </w:tc>
        <w:tc>
          <w:tcPr>
            <w:tcW w:w="16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by reference to Exhibit 3.4 to the Registration Statement on Form S-1 filed on August 12, 2011).</w:t>
              </w:r>
            </w:hyperlink>
          </w:p>
        </w:tc>
        <w:tc>
          <w:tcPr>
            <w:tcW w:w="33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22"/>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Amended and Restated Certificate of Formation of Matador Resources Company (incorporated by reference to Exhibit 3.2 to the Quarterly</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Report on Form 10-Q for the quarter ended June 30, 2017).</w:t>
              </w:r>
            </w:hyperlink>
          </w:p>
        </w:tc>
        <w:tc>
          <w:tcPr>
            <w:tcW w:w="60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Certificate of Amendment to the Amended and Restated Certificate of Formation of Matador Resources Company dated April 2, 2015</w:t>
              </w:r>
            </w:hyperlink>
          </w:p>
        </w:tc>
        <w:tc>
          <w:tcPr>
            <w:tcW w:w="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(incorporated by reference to Exhibit 3.3 to the Quarterly Report on Form 10-Q for the quarter ended June 30, 2017).</w:t>
              </w:r>
            </w:hyperlink>
          </w:p>
        </w:tc>
        <w:tc>
          <w:tcPr>
            <w:tcW w:w="19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(incorporated by reference to Exhibit 3.4 to the Quarterly Report on Form 10-Q for the quarter ended June 30, 2017).</w:t>
              </w:r>
            </w:hyperlink>
          </w:p>
        </w:tc>
        <w:tc>
          <w:tcPr>
            <w:tcW w:w="1420" w:type="dxa"/>
            <w:vAlign w:val="bottom"/>
            <w:tcBorders>
              <w:top w:val="single" w:sz="8" w:color="0000FF"/>
            </w:tcBorders>
            <w:gridSpan w:val="5"/>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on Form 8-K filed on February 22, 2018).</w:t>
              </w:r>
            </w:hyperlink>
          </w:p>
        </w:tc>
        <w:tc>
          <w:tcPr>
            <w:tcW w:w="7100" w:type="dxa"/>
            <w:vAlign w:val="bottom"/>
            <w:tcBorders>
              <w:top w:val="single" w:sz="8" w:color="0000FF"/>
            </w:tcBorders>
            <w:gridSpan w:val="22"/>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Indenture, dated August 21, 2018, by and among the Company, the Guarantors and Wells Fargo Bank, National Association, as trustee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(incorporated by reference to Exhibit 4.1 to the Current Report on Form 8-K filed on August 21, 2018).</w:t>
              </w:r>
            </w:hyperlink>
          </w:p>
        </w:tc>
        <w:tc>
          <w:tcPr>
            <w:tcW w:w="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0"/>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Registration Rights Agreement, dated August 21, 2018, by and among the Company, the Guarantors and Merrill Lynch, Pierce, Fenner &amp;</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Smith Incorporated, as representative of the several initial purchasers named therein (incorporated by reference to Exhibit 4.2 to the Current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Report on Form 8-K filed on August 21, 2018).</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Registration Rights Agreement, dated October 4, 2018, by and among the Company, the Guarantors and Merrill Lynch, Pierce, Fenner &amp;</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Smith Incorporated, as representative of the several initial purchasers named therein (incorporated by reference to Exhibit 4.2 to the Current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Report on Form 8-K filed on October 4, 2018).</w:t>
              </w:r>
            </w:hyperlink>
          </w:p>
        </w:tc>
        <w:tc>
          <w:tcPr>
            <w:tcW w:w="6660" w:type="dxa"/>
            <w:vAlign w:val="bottom"/>
            <w:tcBorders>
              <w:top w:val="single" w:sz="8" w:color="0000FF"/>
            </w:tcBorders>
            <w:gridSpan w:val="19"/>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First Amendment to the Employment Agreement between Matador Resources Company and Billy E. Goodwin (incorporated by reference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Exhibit 10.1 to the Quarterly Report on Form 10-Q for the period ended June 30, 2018).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tcBorders>
              <w:bottom w:val="single" w:sz="8" w:color="0000FF"/>
            </w:tcBorders>
            <w:gridSpan w:val="29"/>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Amended and Restated Employment Agreement between Matador Resources Company and Bradley M. Robinson (incorporated by reference</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to Exhibit 10.2 to the Quarterly Report on Form 10-Q for the period ended June 30,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Purchase Agreement, dated as of August 7, 2018, by and among the Company, the Guarantors and Merrill Lynch, Pierce, Fenner &amp; Smith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Incorporated, as representative of the several initial purchasers named therein (incorporated by reference to Exhibit 10.2 to the Current Report</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on Form 8-K filed on August 9, 2018).</w:t>
              </w:r>
            </w:hyperlink>
          </w:p>
        </w:tc>
        <w:tc>
          <w:tcPr>
            <w:tcW w:w="75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Purchase Agreement, dated as of October 1, 2018, by and among the Company, the Guarantors and Merrill Lynch, Pierce, Fenner &amp; Smith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Incorporated, as representative of the several initial purchasers named therein (incorporated by reference to Exhibit 10.1 to the Current Report</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on Form 8-K filed on October 4, 2018).</w:t>
              </w:r>
            </w:hyperlink>
          </w:p>
        </w:tc>
        <w:tc>
          <w:tcPr>
            <w:tcW w:w="74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28"/>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Eleventh Amendment to Third Amended and Restated Credit Agreement, dated as of August 7, 2018, by and among MRC Energy Company,</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as Borrower, the Lenders party thereto and Royal Bank of Canada, as Administrative Agent (incorporated by reference to Exhibit 10.1 to the</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Current Report on Form 8-K filed on August 9,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7"/>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Twelfth Amendment to Third Amended and Restated Credit Agreement, dated as of October 1, 2018, by and among MRC Energy Company,</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as Borrower, the Lenders party thereto and Royal Bank of Canada, as Administrative Agent (incorporated by reference to Exhibit 10.2 to the</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Current Report on Form 8-K filed on October 4,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6"/>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Thirteenth Amendment to Third Amended and Restated Credit Agreement, dated as of October 31, 2018, by and among MRC Energy</w:t>
              </w:r>
            </w:hyperlink>
          </w:p>
        </w:tc>
        <w:tc>
          <w:tcPr>
            <w:tcW w:w="6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Company, as Borrower, the Lenders party thereto and Royal Bank of Canada, as Administrative Agent (incorporated by reference to Exhibit</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Current Report on Form 8-K filed on November 1, 2018).</w:t>
              </w:r>
            </w:hyperlink>
          </w:p>
        </w:tc>
        <w:tc>
          <w:tcPr>
            <w:tcW w:w="53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Principal Executive Officer pursuant to Section 302 of the Sarbanes-Oxley Act of 2002 (filed herewith).</w:t>
              </w:r>
            </w:hyperlink>
          </w:p>
        </w:tc>
        <w:tc>
          <w:tcPr>
            <w:tcW w:w="1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1"/>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Principal Financial Officer pursuant to Section 302 of the Sarbanes-Oxley Act of 2002 (filed herewith).</w:t>
              </w:r>
            </w:hyperlink>
          </w:p>
        </w:tc>
        <w:tc>
          <w:tcPr>
            <w:tcW w:w="0" w:type="dxa"/>
            <w:vAlign w:val="bottom"/>
          </w:tcPr>
          <w:p>
            <w:pPr>
              <w:spacing w:after="0"/>
              <w:rPr>
                <w:sz w:val="1"/>
                <w:szCs w:val="1"/>
                <w:color w:val="auto"/>
              </w:rPr>
            </w:pPr>
          </w:p>
        </w:tc>
      </w:tr>
      <w:tr>
        <w:trPr>
          <w:trHeight w:val="62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top w:val="single" w:sz="8" w:color="0000FF"/>
            </w:tcBorders>
            <w:gridSpan w:val="8"/>
          </w:tcPr>
          <w:p>
            <w:pPr>
              <w:ind w:left="4560"/>
              <w:spacing w:after="0"/>
              <w:rPr>
                <w:sz w:val="20"/>
                <w:szCs w:val="20"/>
                <w:color w:val="auto"/>
              </w:rPr>
            </w:pPr>
            <w:r>
              <w:rPr>
                <w:rFonts w:ascii="Arial" w:cs="Arial" w:eastAsia="Arial" w:hAnsi="Arial"/>
                <w:sz w:val="18"/>
                <w:szCs w:val="18"/>
                <w:color w:val="auto"/>
              </w:rPr>
              <w:t>45</w:t>
            </w:r>
          </w:p>
        </w:tc>
        <w:tc>
          <w:tcPr>
            <w:tcW w:w="1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060" w:hanging="683"/>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8"/>
            <w:szCs w:val="18"/>
            <w:u w:val="single" w:color="auto"/>
            <w:color w:val="0000FF"/>
          </w:rPr>
          <w:t>Certification of Principal Executive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of 2002 (furnished herewith).</w:t>
        </w:r>
      </w:hyperlink>
    </w:p>
    <w:p>
      <w:pPr>
        <w:spacing w:after="0" w:line="130" w:lineRule="exact"/>
        <w:rPr>
          <w:sz w:val="20"/>
          <w:szCs w:val="20"/>
          <w:color w:val="auto"/>
        </w:rPr>
      </w:pPr>
    </w:p>
    <w:p>
      <w:pPr>
        <w:ind w:left="1060" w:right="40" w:hanging="683"/>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54">
        <w:r>
          <w:rPr>
            <w:rFonts w:ascii="Arial" w:cs="Arial" w:eastAsia="Arial" w:hAnsi="Arial"/>
            <w:sz w:val="18"/>
            <w:szCs w:val="18"/>
            <w:u w:val="single" w:color="auto"/>
            <w:color w:val="0000FF"/>
          </w:rPr>
          <w:t>Certification of Principal Financial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of 2002 (furnished herewith).</w:t>
        </w:r>
      </w:hyperlink>
    </w:p>
    <w:p>
      <w:pPr>
        <w:spacing w:after="0" w:line="130" w:lineRule="exact"/>
        <w:rPr>
          <w:sz w:val="20"/>
          <w:szCs w:val="20"/>
          <w:color w:val="auto"/>
        </w:rPr>
      </w:pPr>
    </w:p>
    <w:p>
      <w:pPr>
        <w:ind w:left="1060" w:hanging="660"/>
        <w:spacing w:after="0" w:line="25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financial information from Matador Resources Company’s Quarterly Report on Form 10-Q for the quarter ended September 30, 2018 formatted in XBRL (eXtensible Business Reporting Language): (i) the Condensed Consolidated Balance Sheets - Unaudited, (ii) the Condensed Consolidated Statements of Operations - Unaudited, (iii) the Condensed Consolidated Statement of Changes in Shareholders’ Equity - Unaudited, (iv) the Condensed Consolidated Statements of Cash Flows - Unaudited and (v) the Notes to Condensed Consolidated Financial Statements - Unaudited (submitted electronically herewith).</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125"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Date: November 1, 2018</w:t>
            </w:r>
          </w:p>
        </w:tc>
        <w:tc>
          <w:tcPr>
            <w:tcW w:w="2020" w:type="dxa"/>
            <w:vAlign w:val="bottom"/>
          </w:tcPr>
          <w:p>
            <w:pPr>
              <w:ind w:left="156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405"/>
        </w:trPr>
        <w:tc>
          <w:tcPr>
            <w:tcW w:w="3340" w:type="dxa"/>
            <w:vAlign w:val="bottom"/>
          </w:tcPr>
          <w:p>
            <w:pPr>
              <w:spacing w:after="0"/>
              <w:rPr>
                <w:sz w:val="20"/>
                <w:szCs w:val="20"/>
                <w:color w:val="auto"/>
              </w:rPr>
            </w:pPr>
            <w:r>
              <w:rPr>
                <w:rFonts w:ascii="Arial" w:cs="Arial" w:eastAsia="Arial" w:hAnsi="Arial"/>
                <w:sz w:val="18"/>
                <w:szCs w:val="18"/>
                <w:color w:val="auto"/>
              </w:rPr>
              <w:t>Date: November 1, 2018</w:t>
            </w:r>
          </w:p>
        </w:tc>
        <w:tc>
          <w:tcPr>
            <w:tcW w:w="2020" w:type="dxa"/>
            <w:vAlign w:val="bottom"/>
          </w:tcPr>
          <w:p>
            <w:pPr>
              <w:ind w:left="156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02"/>
        </w:trPr>
        <w:tc>
          <w:tcPr>
            <w:tcW w:w="3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490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2400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5730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September 30, 2018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23837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September 30, 2018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470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50"/>
    </w:lvl>
  </w:abstractNum>
  <w:abstractNum w:abstractNumId="3">
    <w:nsid w:val="7FDCC233"/>
    <w:multiLevelType w:val="hybridMultilevel"/>
    <w:lvl w:ilvl="0">
      <w:lvlJc w:val="left"/>
      <w:lvlText w:val="\emdash "/>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6"/>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67" Type="http://schemas.openxmlformats.org/officeDocument/2006/relationships/hyperlink" Target="http://www.sec.gov/Archives/edgar/data/1520006/000119312511221108/dex34.htm" TargetMode="External"/><Relationship Id="rId68" Type="http://schemas.openxmlformats.org/officeDocument/2006/relationships/hyperlink" Target="http://www.sec.gov/Archives/edgar/data/1520006/000152000617000188/a20170630mtdr10q-exhibit32.htm" TargetMode="External"/><Relationship Id="rId69" Type="http://schemas.openxmlformats.org/officeDocument/2006/relationships/hyperlink" Target="http://www.sec.gov/Archives/edgar/data/1520006/000152000617000188/a20170630mtdr10q-exhibit33.htm" TargetMode="External"/><Relationship Id="rId70" Type="http://schemas.openxmlformats.org/officeDocument/2006/relationships/hyperlink" Target="http://www.sec.gov/Archives/edgar/data/1520006/000152000617000188/a20170630mtdr10q-exhibit34.htm" TargetMode="External"/><Relationship Id="rId71" Type="http://schemas.openxmlformats.org/officeDocument/2006/relationships/hyperlink" Target="http://www.sec.gov/Archives/edgar/data/1520006/000152000618000051/a20171231mtdr8k-amendedbyl.htm" TargetMode="External"/><Relationship Id="rId72" Type="http://schemas.openxmlformats.org/officeDocument/2006/relationships/hyperlink" Target="http://www.sec.gov/Archives/edgar/data/1520006/000119312518254069/d578570dex41.htm" TargetMode="External"/><Relationship Id="rId73" Type="http://schemas.openxmlformats.org/officeDocument/2006/relationships/hyperlink" Target="http://www.sec.gov/Archives/edgar/data/1520006/000119312518254069/d578570dex42.htm" TargetMode="External"/><Relationship Id="rId74" Type="http://schemas.openxmlformats.org/officeDocument/2006/relationships/hyperlink" Target="http://www.sec.gov/Archives/edgar/data/1520006/000119312518293290/d623866dex42.htm" TargetMode="External"/><Relationship Id="rId75" Type="http://schemas.openxmlformats.org/officeDocument/2006/relationships/hyperlink" Target="http://www.sec.gov/Archives/edgar/data/1520006/000152000618000102/a20180630mtdr10q-exhibit101.htm" TargetMode="External"/><Relationship Id="rId76" Type="http://schemas.openxmlformats.org/officeDocument/2006/relationships/hyperlink" Target="http://www.sec.gov/Archives/edgar/data/1520006/000152000618000102/a20180630mtdr10q-exhibit102.htm" TargetMode="External"/><Relationship Id="rId77" Type="http://schemas.openxmlformats.org/officeDocument/2006/relationships/hyperlink" Target="http://www.sec.gov/Archives/edgar/data/1520006/000119312518244534/d598036dex102.htm" TargetMode="External"/><Relationship Id="rId78" Type="http://schemas.openxmlformats.org/officeDocument/2006/relationships/hyperlink" Target="http://www.sec.gov/Archives/edgar/data/1520006/000119312518293290/d623866dex101.htm" TargetMode="External"/><Relationship Id="rId79" Type="http://schemas.openxmlformats.org/officeDocument/2006/relationships/hyperlink" Target="http://www.sec.gov/Archives/edgar/data/1520006/000119312518244534/d598036dex101.htm" TargetMode="External"/><Relationship Id="rId80" Type="http://schemas.openxmlformats.org/officeDocument/2006/relationships/hyperlink" Target="http://www.sec.gov/Archives/edgar/data/1520006/000119312518293290/d623866dex102.htm" TargetMode="External"/><Relationship Id="rId81" Type="http://schemas.openxmlformats.org/officeDocument/2006/relationships/hyperlink" Target="http://www.sec.gov/Archives/edgar/data/1520006/000152000618000121/rbc_matador-thirteenth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2019-12-28T18:37:16Z</dcterms:created>
  <dcterms:modified xsi:type="dcterms:W3CDTF">2019-12-28T18:37:16Z</dcterms:modified>
</cp:coreProperties>
</file>