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6"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0"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25, 2022, there were 118,161,520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September 30, 2022 and December 31, 2021</w:t>
            </w:r>
          </w:p>
        </w:tc>
        <w:tc>
          <w:tcPr>
            <w:tcW w:w="340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2022 and 2021</w:t>
            </w:r>
          </w:p>
        </w:tc>
        <w:tc>
          <w:tcPr>
            <w:tcW w:w="112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Nine Months Ended September 30, 2022</w:t>
            </w:r>
          </w:p>
        </w:tc>
        <w:tc>
          <w:tcPr>
            <w:tcW w:w="48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2021</w:t>
            </w:r>
          </w:p>
        </w:tc>
        <w:tc>
          <w:tcPr>
            <w:tcW w:w="8680" w:type="dxa"/>
            <w:vAlign w:val="bottom"/>
            <w:tcBorders>
              <w:top w:val="single" w:sz="8" w:color="0000FF"/>
            </w:tcBorders>
            <w:gridSpan w:val="13"/>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gridSpan w:val="3"/>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184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40" w:type="dxa"/>
            <w:vAlign w:val="bottom"/>
            <w:gridSpan w:val="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10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8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3040" w:type="dxa"/>
            <w:vAlign w:val="bottom"/>
            <w:gridSpan w:val="6"/>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164,242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371,305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6,007,325</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1,000,720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1,038,883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900,979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(4,380,674)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(4,046,456)</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3,856,685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59,992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34,163</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5,305,150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61,105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253,283</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464,837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1,042,580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22,721</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1,614,353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1,669,928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118,248,112 and 117,861,923 shares issued; and 118,155,815 and</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117,850,233 shares outstanding, respectively</w:t>
            </w: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2,094,611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2,077,592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92,297 and 11,945 shares, respectively</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2,858,811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206,797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3,065,608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0"/>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5,305,150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280" w:type="dxa"/>
            <w:vAlign w:val="bottom"/>
            <w:gridSpan w:val="4"/>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7760" w:type="dxa"/>
            <w:vAlign w:val="bottom"/>
            <w:gridSpan w:val="8"/>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280" w:type="dxa"/>
            <w:vAlign w:val="bottom"/>
            <w:gridSpan w:val="4"/>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80" w:type="dxa"/>
            <w:vAlign w:val="bottom"/>
          </w:tcPr>
          <w:p>
            <w:pPr>
              <w:spacing w:after="0"/>
              <w:rPr>
                <w:sz w:val="24"/>
                <w:szCs w:val="24"/>
                <w:color w:val="auto"/>
              </w:rPr>
            </w:pPr>
          </w:p>
        </w:tc>
        <w:tc>
          <w:tcPr>
            <w:tcW w:w="2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80" w:type="dxa"/>
            <w:vAlign w:val="bottom"/>
          </w:tcPr>
          <w:p>
            <w:pPr>
              <w:spacing w:after="0"/>
              <w:rPr>
                <w:sz w:val="20"/>
                <w:szCs w:val="20"/>
                <w:color w:val="auto"/>
              </w:rPr>
            </w:pPr>
          </w:p>
        </w:tc>
        <w:tc>
          <w:tcPr>
            <w:tcW w:w="21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2,270,728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1,189,772</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55,774</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54,198</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1,096,623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126,913</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44,452</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255,368</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628,668</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467,955</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(55,579)</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(57,076)</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410,879</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409,391</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0" w:type="dxa"/>
            <w:vAlign w:val="bottom"/>
          </w:tcPr>
          <w:p>
            <w:pPr>
              <w:spacing w:after="0"/>
              <w:rPr>
                <w:sz w:val="1"/>
                <w:szCs w:val="1"/>
                <w:color w:val="auto"/>
              </w:rPr>
            </w:pPr>
          </w:p>
        </w:tc>
      </w:tr>
      <w:tr>
        <w:trPr>
          <w:trHeight w:val="223"/>
        </w:trPr>
        <w:tc>
          <w:tcPr>
            <w:tcW w:w="6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370,178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119,850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119,197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119,867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118,788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200" w:lineRule="exact"/>
        <w:rPr>
          <w:sz w:val="20"/>
          <w:szCs w:val="20"/>
          <w:color w:val="auto"/>
        </w:rPr>
      </w:pPr>
    </w:p>
    <w:p>
      <w:pPr>
        <w:spacing w:after="0" w:line="21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8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20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$ 2,077,592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$4.8</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$ 2,087,788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29,940</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2,118,600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218,864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2,337,464</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($0.05 per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415,718</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436,195</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$ 2,090,564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2,742,051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2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3"/>
                <w:szCs w:val="13"/>
                <w:color w:val="auto"/>
              </w:rPr>
            </w:pPr>
          </w:p>
        </w:tc>
        <w:tc>
          <w:tcPr>
            <w:tcW w:w="9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402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$ 2,090,564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439,780</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2,529,170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2,742,051</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($0.10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(11,750)</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and employee stock purchases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(22,540)</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337,572</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354,028</w:t>
            </w:r>
          </w:p>
        </w:tc>
        <w:tc>
          <w:tcPr>
            <w:tcW w:w="0" w:type="dxa"/>
            <w:vAlign w:val="bottom"/>
          </w:tcPr>
          <w:p>
            <w:pPr>
              <w:spacing w:after="0"/>
              <w:rPr>
                <w:sz w:val="1"/>
                <w:szCs w:val="1"/>
                <w:color w:val="auto"/>
              </w:rPr>
            </w:pPr>
          </w:p>
        </w:tc>
      </w:tr>
      <w:tr>
        <w:trPr>
          <w:trHeight w:val="22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$ 2,094,611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2,858,811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3,065,608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w:t>
      </w:r>
    </w:p>
    <w:p>
      <w:pPr>
        <w:spacing w:after="0" w:line="3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p>
      <w:pPr>
        <w:ind w:left="856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29"/>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$ 2,027,069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(741,705)</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1,513,025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69,498</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$ 2,043,703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1,580,533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tcBorders>
              <w:top w:val="single" w:sz="8" w:color="CCEEFF"/>
            </w:tcBorders>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105,905</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121,831</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$ 2,061,815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1,479,762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1,702,126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28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3"/>
                <w:szCs w:val="13"/>
                <w:color w:val="auto"/>
              </w:rPr>
            </w:pPr>
          </w:p>
        </w:tc>
        <w:tc>
          <w:tcPr>
            <w:tcW w:w="9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402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$ 2,061,815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(580,981)</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(2,243)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1,479,762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222,364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1,702,126</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$1.3</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218,062</w:t>
            </w: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$ 2,069,484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(380,268)</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(2,381)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1,688,007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219,893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1,907,900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2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1,014,408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409,391</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77,178</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334,747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255,368</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10,887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266,489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debt-related costs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(111,221)</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(9,515)</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51,078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60,619</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40,014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8,919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6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2"/>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1,532,216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718,826</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(317,486)</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(40,222)</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midstream assets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46,507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(383,678)</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37,626</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(45,815)</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(416,296)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(318,740)</w:t>
            </w:r>
          </w:p>
        </w:tc>
      </w:tr>
      <w:tr>
        <w:trPr>
          <w:trHeight w:val="18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 in cash and restricted cash</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354,800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16,408</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86,920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91,383</w:t>
            </w:r>
          </w:p>
        </w:tc>
      </w:tr>
      <w:tr>
        <w:trPr>
          <w:trHeight w:val="18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441,720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107,791</w:t>
            </w:r>
          </w:p>
        </w:tc>
      </w:tr>
      <w:tr>
        <w:trPr>
          <w:trHeight w:val="27"/>
        </w:trPr>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2021 filed with the SEC on February 28, 2022 (the “Annual Report”). The Company consolidates certain subsidiaries and joint ventures that are less than wholly-owned and are not involved in oil and natural gas exploration, including its midstream joint venture, San Mateo Midstream, LLC (collectively with its subsidiaries, “San Mateo”), and the net income and equity attributable to the non-controlling interest in these subsidiaries have been reported separately as required by Accounting Standards Codification,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2022. Amounts as of December 31, 2021 are derived from the Company’s audited consolidated financial statements included in the Annual Report.</w:t>
      </w:r>
    </w:p>
    <w:p>
      <w:pPr>
        <w:spacing w:after="0" w:line="8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and nine months ended September 30, 2022 and 2021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1,299,744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(77,178)</w:t>
            </w:r>
          </w:p>
        </w:tc>
      </w:tr>
      <w:tr>
        <w:trPr>
          <w:trHeight w:val="223"/>
        </w:trPr>
        <w:tc>
          <w:tcPr>
            <w:tcW w:w="4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840,928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2,350,550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1,096,623</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5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853,953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335,819</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55,774</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54,198</w:t>
            </w:r>
          </w:p>
        </w:tc>
      </w:tr>
      <w:tr>
        <w:trPr>
          <w:trHeight w:val="248"/>
        </w:trPr>
        <w:tc>
          <w:tcPr>
            <w:tcW w:w="5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1,299,744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nine months ended September 30, 2022, the cost center ceiling was higher than the capitalized costs of oil and natural gas properties, and, as a result, no impairment charge was necessary.</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capitalized approximately $11.4 million and $9.9 million of its general and administrative costs and approximately $3.0 million and $1.5 million of its interest expense for the three months ended September 30, 2022 and 2021, respectively. The Company capitalized approximately $35.0 million and $28.6 million of its general and administrative costs and approximately $7.4 million and $3.9 million of its interest expense for the nine months ended September 30, 2022 and 2021,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and nine months ended September 30, 2022 and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0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116,872</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119,850</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118,788</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 total of 1.3 million options to purchase shares of Matador’s common stock were excluded from the diluted weighted average common shares outstanding for the nine months ended September 30, 2021, because their effects were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RETIREMENT OBLIGATIONS</w:t>
      </w:r>
    </w:p>
    <w:p>
      <w:pPr>
        <w:spacing w:after="0" w:line="121"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nine months ended September 30, 2022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Divestitures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29"/>
        </w:trPr>
        <w:tc>
          <w:tcPr>
            <w:tcW w:w="10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52,154</w:t>
            </w:r>
          </w:p>
        </w:tc>
      </w:tr>
      <w:tr>
        <w:trPr>
          <w:trHeight w:val="229"/>
        </w:trPr>
        <w:tc>
          <w:tcPr>
            <w:tcW w:w="10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8"/>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51,707</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2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At September 30, 2022, the Company had (i) $757.4 million of outstanding senior notes due 2026 (the “Notes”), (ii) no borrowings outstanding under its reserves-based revolving credit facility (the “Credit Agreement”) and (iii) approximately $45.6 million in outstanding letters of credit issued pursuant to the Credit Agreement. During the first quarter of 2022, the $7.5 million unsecured U.S. Small Business Administration loan was forgiven under the terms of the loan agreement and recorded as a gain on the extinguishment of debt within “Other expense” on the unaudited condensed consolidated statement of operations. During the three and nine months ended September 30, 2022, the Company repurchased $148.6 million and $292.6 million of its Notes for $144.9 million and $287.4 million, respectively. Between September 30, 2022 and October 25, 2022, the Company repurchased an additional $7.4 million of its Notes for $7.2 million.</w:t>
      </w:r>
    </w:p>
    <w:p>
      <w:pPr>
        <w:spacing w:after="0" w:line="8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2022, San Mateo had $440.0 million in borrowings outstanding under its revolving credit facility (the “San Mateo Credit Facility”) and approximately $9.0 million in outstanding letters of credit issued pursuant to the San Mateo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Between September 30, 2022 and October 25, 2022, San Mateo repaid $20.0 million of borrowings under the San Mateo Credit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2022, the lenders completed their review of the Company’s proved oil and natural gas reserves, and, as a result, the borrowing base was increased to $2.00 billion, the borrowing commitment was increased to $775.0 million and the maximum facility amount remained $1.50 billion.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This April 2022 redetermination constituted the regularly scheduled May 1 redetermination. Borrowings under the Credit Agreement are limited to the lowest of the borrowing base, the maximum facility amount and the elected commitment (subject to compliance with the covenants noted below). The Credit Agreement matures October 31, 2026.</w:t>
      </w:r>
    </w:p>
    <w:p>
      <w:pPr>
        <w:spacing w:after="0" w:line="8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The Company believes that it was in compliance with the terms of the Credit Agreement at September 30, 2022.</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19, 2023 and lender commitments under the revolving credit facility were $450.0 million at September 30, 2022 (subject to San Mateo’s compliance with the covenants noted below). The San Mateo Credit Facility includes an accordion feature, which provides for potential increases in lender commitments to up to $700.0 million.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September 30,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 Company repurchased $148.6 million and $292.6 million of its Notes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$144.9 million and $287.4 million, respectively. At September 30, 2022, the Company had $757.4 million of outstanding Notes, which have a 5.875%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coupon rate. The Notes mature September 15, 2026, and interest is payable on the Notes semi-annually in arrears on each March 15 and September 15.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jointly and severally guaranteed on a senior unsecured basis by certain subsidiaries of the Company.</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recorded a current income tax provision of $0.3 million and $51.9 million, respectively, and a deferred income tax provision of $113.7 million and $266.5 million, respectively, for the three and nine months ended September 30, 2022. The Company’s effective income tax rate of 25% for both the three and nine months ended September 30, 2022 differed from the U.S. federal statutory rate due primarily to permanent differences between book and tax income and state taxes, primarily in New Mexico.</w:t>
      </w:r>
    </w:p>
    <w:p>
      <w:pPr>
        <w:spacing w:after="0" w:line="72"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7"/>
          <w:szCs w:val="17"/>
          <w:color w:val="auto"/>
        </w:rPr>
        <w:t>The Company recorded a deferred income tax benefit of $6.7 million and a deferred income tax provision of $1.5 million for the three and nine months ended September 30, 2021, respectively. As a result of the full-cost ceiling impairments recorded in 2020, the Company recognized a valuation allowance against its net deferred tax assets for the year ended December 31, 2020. Due to a variety of factors, including the Company’s significant net income during 2021, the Company’s federal valuation allowance was reversed as of September 30, 2021 as the deferred tax assets were determined to be more likely than not to be utilized. The Company’s income tax position for the three and nine months ended September 30, 2021 differed from amounts computed by applying the U.S. federal statutory rate to the pre-tax income due primarily to the impact of reversing the Company’s federal valuation allowance as of September 30, 2021, as well as permanent differences between book and tax income and state taxes, primarily in New Mexico.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awards to certain of its employees of 226,238 service-based restricted stock units to be settled in cash, which are liability instruments, 230,251 performance-based stock units and 226,656 service-based shares of restricted stock, which are equity instruments. The performance-based stock units vest in an amount between zero and 200% of the target units granted based on the Company’s relative total shareholder return over the three-year period ending December 31, 2024, as compared to a designated peer group. The service-based restricted stock and restricted stock units vest over a three-year period. The fair value of these awards was approximately $35.2 million on the grant date.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2022, the Company’s Board of Directors (the “Board”) adopted, subject to shareholder approval, the first amendment to the 2019 Long-Term Incentive Plan, authorizing an additional 3.7 million shares of common stock for issuance to employees, directors, contractors or advisors of the Company. In June 2022, the Company’s shareholders approved such amendment.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April 2022, the Board adopted, subject to shareholder approval, an Employee Stock Purchase Plan (the “ESPP”). The purpose of the ESPP is to encourage and enable the Company’s eligible employees to acquire an interest in the Company through the ownership of common stock. In June 2022, the Company’s shareholders approved the ESPP. A maximum of 4.0 million shares of common stock may be purchased under the ESPP.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Board declared a quarterly cash dividend of $0.05 per share of common stock in both the first and second quarters of 2022. The dividend, which totaled $5.9 million in each quarter, was paid on March 14, 2022 and June 3, 2022. In June 2022, the Board amended the Company’s dividend policy to increase the quarterly dividend to $0.10 per share of common stock. In the third quarter of 2022, the Board declared a quarterly cash dividend of $0.10 per share of common stock, which totaled $11.8 million and was paid on September 1, 2022. In October 2022, the Board declared a quarterly cash dividend of $0.10 per share of common stock payable on December 1, 2022 to shareholders of record as of November 10,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and 2021, San Mateo distributed $23.5 million and $17.6 million, respectively, to the Company and $22.5 million and $16.9 million, respectively, to a subsidiary of Five Point Energy LLC (“Five Point”), the Company’s joint venture partner in San Mateo. During the nine months ended September 30, 2022 and 2021, San Mateo distributed $70.1 million and $47.7 million, respectively, to the Company and $67.4 million and $45.8 million, respectively, to Five Point. During the three and nine months ended September 30, 2022 and 2021, there were no contributions to San Mateo by either the Company or Five Point.</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No performance incentives were paid by Five Point to the Company during the three months ended September 30, 2022. Five Point paid to the Company $6.0 million in performance incentives during the three months ended September 30, 2021. Five Point paid to the Company $22.8 million and $37.6 million in performance incentives during the nine months ended September 30, 2022 and 2021, respectively. These performance incentives are recorded when received, net of the $4.8 million and $1.3 million deferred tax impact to Matador for the nine months ended September 30, 2022 and 2021, respectively, in “Additional paid-in capital” in the Company’s interim unaudited condensed consolidated balance sheets. These performance incentives for the nine months ended September 30, 2022 and 2021 are also denoted as “Contributions related to formation of San Mateo” under “Financing activities” in the Company’s interim unaudited condensed consolidated statements of cash flows and changes in shareholders’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At September 30, 2022,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September 30, 2022, each contract was set to expire at varying times during 2022. The Company had no open contracts associated with natural gas liquids (“NGL”) prices at September 30, 2022.</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for oil and natural gas at September 30, 2022.</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Notional Quantity (Bbl or</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6"/>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2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Floor ($/Bbl or</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Ceiling ($/Bbl or</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43"/>
        </w:trPr>
        <w:tc>
          <w:tcPr>
            <w:tcW w:w="16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10/01/2022 - 12/31/2022</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01/01/2023 - 03/31/2023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3"/>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swap contracts for oil at September 30, 2022.</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6"/>
                <w:szCs w:val="16"/>
                <w:color w:val="auto"/>
              </w:rPr>
            </w:pPr>
          </w:p>
        </w:tc>
        <w:tc>
          <w:tcPr>
            <w:tcW w:w="1260" w:type="dxa"/>
            <w:vAlign w:val="bottom"/>
          </w:tcPr>
          <w:p>
            <w:pPr>
              <w:jc w:val="right"/>
              <w:ind w:right="430"/>
              <w:spacing w:after="0" w:line="184"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(Bbl)</w:t>
            </w:r>
          </w:p>
        </w:tc>
        <w:tc>
          <w:tcPr>
            <w:tcW w:w="26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23"/>
        </w:trPr>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open basis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2022, the net liability value for the Company’s open derivative financial instruments was $16.4 million.</w:t>
      </w:r>
    </w:p>
    <w:p>
      <w:pPr>
        <w:spacing w:after="0" w:line="117"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gross asset and liability fair values of the Company’s commodity price derivative financial instruments and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location of these balances in the interim unaudited condensed consolidated balance sheets as of September 30, 2022 and December 31,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89"/>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6"/>
                <w:szCs w:val="16"/>
                <w:color w:val="auto"/>
              </w:rPr>
            </w:pPr>
          </w:p>
        </w:tc>
        <w:tc>
          <w:tcPr>
            <w:tcW w:w="150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operations for the periods presented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6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0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22"/>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Instrument</w:t>
            </w:r>
          </w:p>
        </w:tc>
        <w:tc>
          <w:tcPr>
            <w:tcW w:w="4340" w:type="dxa"/>
            <w:vAlign w:val="bottom"/>
            <w:gridSpan w:val="2"/>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300" w:type="dxa"/>
            <w:vAlign w:val="bottom"/>
            <w:gridSpan w:val="2"/>
            <w:vMerge w:val="continue"/>
          </w:tcPr>
          <w:p>
            <w:pPr>
              <w:spacing w:after="0"/>
              <w:rPr>
                <w:sz w:val="16"/>
                <w:szCs w:val="16"/>
                <w:color w:val="auto"/>
              </w:rPr>
            </w:pPr>
          </w:p>
        </w:tc>
        <w:tc>
          <w:tcPr>
            <w:tcW w:w="434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(121,460)</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gridSpan w:val="4"/>
          </w:tcPr>
          <w:p>
            <w:pPr>
              <w:ind w:left="5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(125,943)</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0" w:type="dxa"/>
            <w:vAlign w:val="bottom"/>
          </w:tcPr>
          <w:p>
            <w:pPr>
              <w:spacing w:after="0"/>
              <w:rPr>
                <w:sz w:val="1"/>
                <w:szCs w:val="1"/>
                <w:color w:val="auto"/>
              </w:rPr>
            </w:pPr>
          </w:p>
        </w:tc>
      </w:tr>
      <w:tr>
        <w:trPr>
          <w:trHeight w:val="223"/>
        </w:trPr>
        <w:tc>
          <w:tcPr>
            <w:tcW w:w="66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0" w:type="dxa"/>
            <w:vAlign w:val="bottom"/>
          </w:tcPr>
          <w:p>
            <w:pPr>
              <w:spacing w:after="0"/>
              <w:rPr>
                <w:sz w:val="1"/>
                <w:szCs w:val="1"/>
                <w:color w:val="auto"/>
              </w:rPr>
            </w:pPr>
          </w:p>
        </w:tc>
      </w:tr>
      <w:tr>
        <w:trPr>
          <w:trHeight w:val="223"/>
        </w:trPr>
        <w:tc>
          <w:tcPr>
            <w:tcW w:w="2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(203,121)</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35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September 30, 2022 and December 31, 2021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September 30, 2022 using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448"/>
        </w:trPr>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2021 using</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48"/>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(14,727)</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(8,203)</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-1765300</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-1473835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-2065655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-479425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-187960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-779780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the carrying values reported on the interim unaudited condensed consolidated balance sheets for accounts receivable, prepaid expenses and other current assets, accounts payable, accrued liabilities, royalties payable, amounts due to affiliates, advances from joint interest owners, income taxes payable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fair value of the Notes was $731.4 million and $1.08 billion, respectively, based on quoted market prices, which represent Level 1 inputs in the fair value hierarchy.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20" w:firstLine="445"/>
        <w:spacing w:after="0" w:line="273" w:lineRule="auto"/>
        <w:rPr>
          <w:sz w:val="20"/>
          <w:szCs w:val="20"/>
          <w:color w:val="auto"/>
        </w:rPr>
      </w:pPr>
      <w:r>
        <w:rPr>
          <w:rFonts w:ascii="Times New Roman" w:cs="Times New Roman" w:eastAsia="Times New Roman" w:hAnsi="Times New Roman"/>
          <w:sz w:val="17"/>
          <w:szCs w:val="17"/>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$13.0 million and $13.4 million for deliveries under these agreements during the three months ended September 30, 2022 and 2021, respectively, and $36.8 million and $41.1 million for deliveries under these agreements during the nine months ended September 30, 2022 and 2021,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2022, the total deficiencies required to be paid by the Company under these agreements would be approximately $557.8 million.</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September 30, 2022 was approximately $301.7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September 30, 2022 and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 —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nine months ended September 30, 2022 and 2021 (in thousands).</w:t>
      </w:r>
    </w:p>
    <w:p>
      <w:pPr>
        <w:spacing w:after="0" w:line="17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mineral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liabilities for drilling, completion and equipping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acquisition of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inventory from (to)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360"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Wolf and Stateline asset areas and the Greater Stebbins Area in the Delaware Basin, which comprise most of the Company’s midstream operations, are conducted through San Mateo. In addition, on June 30, 2022, an indirect wholly-owned subsidiary of the Company acquired a cryogenic gas processing plant, three compressor stations and approximately 45 miles of natural gas gathering pipelines in Lea and Eddy Counties, New Mexico as part of the acquisition (the “Pronto Acquisition”) of a wholly-owned subsidiary of Summit Midstream Partners, LP that was subsequently renamed Pronto Midstream, LLC (“Pronto”). Neither San Mateo nor Pronto is a guarantor of the Notes.</w:t>
      </w:r>
    </w:p>
    <w:p>
      <w:pPr>
        <w:spacing w:after="0" w:line="84"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357,654</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466,525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40,524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(23,775)</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483,274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5,305,150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302,499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330,757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40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$109.1 million and $9.2 million for the exploration and production and midstream segments, respectively. Also includes corporate depletion, depreciation and amortization expenses of $0.6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$16.5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22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$60.7 million attributable to land and seismic acquisition expenditures related to the exploration and production segment and $13.2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217,362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34,399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(21,575)</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230,186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3,985,493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28,948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167,542</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0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$80.6 million and $7.8 million for the exploration and production and midstream segments, respectively. Also includes corporate depletion, depreciation and amortization expenses of $0.6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$14.4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16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$17.2 million attributable to land and seismic acquisition expenditures related to the exploration and production segment and $14.2 million in capital expenditures attributable to non-controlling interest in subsidiaries related to the midstream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8"/>
                <w:szCs w:val="18"/>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2,261,395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2,270,728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157,290</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962,980</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1,334,449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123,918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(70,797)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1,387,570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5,305,150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714,987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138,975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854,652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8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$307.5 million and $25.5 million for the exploration and production and midstream segments, respectively. Also includes corporate depletion, depreciation and amortization expenses of $1.8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$54.0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$131.4 million attributable to land and seismic acquisition expenditures related to the exploration and production segment, $75.0 million in midstream acquisition expenditures and $30.7 million in capital expenditures attributable to non-controlling interest in subsidiaries related to the midstream segment.</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7"/>
                <w:szCs w:val="17"/>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1,189,772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(109,041)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55,774</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(125,943)</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(109,041)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628,668</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439,402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92,851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(64,298)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467,955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3,985,493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381,167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46,584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428,216</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12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$230.0 million and $23.4 million for the exploration and production and midstream segments, respectively. Also includes corporate depletion, depreciation and amortization expenses of $2.0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$39.2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$32.8 million attributable to land and seismic acquisition expenditures related to the exploration and production segment and $22.4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2" w:name="page23"/>
    <w:bookmarkEnd w:id="22"/>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COMBINATIONS</w:t>
      </w:r>
    </w:p>
    <w:p>
      <w:pPr>
        <w:spacing w:after="0" w:line="200" w:lineRule="exact"/>
        <w:rPr>
          <w:sz w:val="20"/>
          <w:szCs w:val="20"/>
          <w:color w:val="auto"/>
        </w:rPr>
      </w:pPr>
    </w:p>
    <w:p>
      <w:pPr>
        <w:spacing w:after="0" w:line="23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December 14, 2021, the Company completed an acquisition of assets from a private operator. This acquisition was accounted for as a business combination in accordance with ASC Topic 805, which requires the assets acquired and liabilities assumed to be recorded at fair value as of the respective acquisition date. The Company obtained certain oil and natural gas producing properties and undeveloped acreage located in Lea and Eddy Counties, New Mexico, strategically located primarily within the Company’s existing acreage in its Ranger and Arrowhead asset areas.</w:t>
      </w:r>
    </w:p>
    <w:p>
      <w:pPr>
        <w:spacing w:after="0" w:line="72"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7"/>
          <w:szCs w:val="17"/>
          <w:color w:val="auto"/>
        </w:rPr>
        <w:t>As consideration for the business combination, the Company paid approximately $161.7 million in cash, subject to certain customary post-closing working capital adjustments, including adjusting for production, revenues, operating expenses and capital expenditures from August 1, 2021 to closing. In addition, the Company will increase the purchase price by $5.0 million for each quarter during 2022 in which the average oil price, as defined in the purchase and sale agreement, is greater than $75.00 per barrel. The Company recorded this contingent consideration at fair value on the date of the business combination and will record the change in the fair value in future periods as “Other expense” in its unaudited condensed consolidated statements of operations. The change in the fair value of the contingent consideration included in “Other expense” during the three and nine months ended September 30, 2022 was income of $0.4 million and an expense of $9.7 million, respectively. During the three and nine months ended September 30, 2022, the Company paid $5.0 million and $10.0 million in cash, respectively, related to this contingent consideration. The estimated fair value of the remaining payments was $7.9 million as of September 30, 2022. The Company used the Monte Carlo simulation method to measure the fair value of the contingent consideration, which has unobservable inputs and is thus classified at Level 3 in the fair value hierarchy (see Note 8 for discussion of the fair value hierarchy).</w:t>
      </w:r>
    </w:p>
    <w:p>
      <w:pPr>
        <w:spacing w:after="0" w:line="6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allocation of the consideration given related to this business combination was as follows (in thousands), which the Company considers to be final as of September 30, 2022.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22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
        </w:trPr>
        <w:tc>
          <w:tcPr>
            <w:tcW w:w="80" w:type="dxa"/>
            <w:vAlign w:val="bottom"/>
            <w:tcBorders>
              <w:bottom w:val="single" w:sz="8" w:color="CCEDFF"/>
            </w:tcBorders>
          </w:tcPr>
          <w:p>
            <w:pPr>
              <w:spacing w:after="0" w:line="20" w:lineRule="exact"/>
              <w:rPr>
                <w:sz w:val="1"/>
                <w:szCs w:val="1"/>
                <w:color w:val="auto"/>
              </w:rPr>
            </w:pPr>
          </w:p>
        </w:tc>
        <w:tc>
          <w:tcPr>
            <w:tcW w:w="1540" w:type="dxa"/>
            <w:vAlign w:val="bottom"/>
            <w:tcBorders>
              <w:top w:val="single" w:sz="8" w:color="auto"/>
              <w:bottom w:val="single" w:sz="8" w:color="CCEDFF"/>
            </w:tcBorders>
          </w:tcPr>
          <w:p>
            <w:pPr>
              <w:spacing w:after="0" w:line="20" w:lineRule="exact"/>
              <w:rPr>
                <w:sz w:val="1"/>
                <w:szCs w:val="1"/>
                <w:color w:val="auto"/>
              </w:rPr>
            </w:pPr>
          </w:p>
        </w:tc>
        <w:tc>
          <w:tcPr>
            <w:tcW w:w="620" w:type="dxa"/>
            <w:vAlign w:val="bottom"/>
            <w:tcBorders>
              <w:bottom w:val="single" w:sz="8" w:color="CCEDFF"/>
            </w:tcBorders>
          </w:tcPr>
          <w:p>
            <w:pPr>
              <w:spacing w:after="0" w:line="20" w:lineRule="exact"/>
              <w:rPr>
                <w:sz w:val="1"/>
                <w:szCs w:val="1"/>
                <w:color w:val="auto"/>
              </w:rPr>
            </w:pPr>
          </w:p>
        </w:tc>
        <w:tc>
          <w:tcPr>
            <w:tcW w:w="756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Borders>
              <w:bottom w:val="single" w:sz="8" w:color="CCEDFF"/>
            </w:tcBorders>
            <w:shd w:val="clear" w:color="auto" w:fill="CCEDFF"/>
          </w:tcPr>
          <w:p>
            <w:pPr>
              <w:spacing w:after="0"/>
              <w:rPr>
                <w:sz w:val="20"/>
                <w:szCs w:val="20"/>
                <w:color w:val="auto"/>
              </w:rPr>
            </w:pPr>
          </w:p>
        </w:tc>
        <w:tc>
          <w:tcPr>
            <w:tcW w:w="9720" w:type="dxa"/>
            <w:vAlign w:val="bottom"/>
            <w:tcBorders>
              <w:bottom w:val="single" w:sz="8" w:color="CCEDFF"/>
            </w:tcBorders>
            <w:gridSpan w:val="3"/>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161,680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contingent consideration at December 14, 2021</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consideration given</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163,954</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98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48"/>
        </w:trPr>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7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29"/>
        </w:trPr>
        <w:tc>
          <w:tcPr>
            <w:tcW w:w="9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Evaluated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Unproved and unevaluated</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163,954</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COMBINATIONS — Continued</w:t>
      </w:r>
    </w:p>
    <w:p>
      <w:pPr>
        <w:spacing w:after="0" w:line="200" w:lineRule="exact"/>
        <w:rPr>
          <w:sz w:val="20"/>
          <w:szCs w:val="20"/>
          <w:color w:val="auto"/>
        </w:rPr>
      </w:pPr>
    </w:p>
    <w:p>
      <w:pPr>
        <w:spacing w:after="0" w:line="31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On June 30, 2022, the Company acquired a cryogenic gas processing plant, three compressor stations and approximately 45 miles of natural gas gathering pipelines in Lea and Eddy Counties, New Mexico as part of the Pronto Acquisition. This acquisition was also accounted for as a business combination in accordance with ASC Topic 805. In addition, the Company assumed certain takeaway capacity on a Federal Energy Regulatory Commission regulated natural gas pipeline. As consideration for the business combination, the Company paid approximately $77.8 million in cash, subject to certain customary post-closing purchase price adjustments. The pro forma impact of this business combination to revenues and net income for 2022 would not be material to the Company’s 2022 revenues and net income as reported.</w:t>
      </w:r>
    </w:p>
    <w:p>
      <w:pPr>
        <w:spacing w:after="0" w:line="7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2022, the preliminary allocation of the consideration given related to this business combination was as set forth in the following table (in thousands). The Company anticipates that the allocation of the consideration given should be finalized during 2022 upon determination of the final customary post-closing purchase price adjustments.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22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0" w:type="dxa"/>
            <w:vAlign w:val="bottom"/>
            <w:tcBorders>
              <w:bottom w:val="single" w:sz="8" w:color="CCEEFF"/>
            </w:tcBorders>
            <w:shd w:val="clear" w:color="auto" w:fill="CCEEFF"/>
          </w:tcPr>
          <w:p>
            <w:pPr>
              <w:spacing w:after="0"/>
              <w:rPr>
                <w:sz w:val="23"/>
                <w:szCs w:val="23"/>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consideration given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980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9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acquired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74,695</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77,828</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2021 (the “Annual Report”) filed with the Securities and Exchange Commission (the “SEC”) on February 28, 2022,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“Pronto” refer to Pronto Midstream, LLC, and the “Pronto Acquisition” refers to the acquisition of Pronto by a subsidiary of the Company on June 30, 2022. For certain oil and natural gas terms used in this Quarterly Report, please see the “Glossary of Oil and Natural Gas Terms” included with the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w:t>
      </w:r>
      <w:r>
        <w:rPr>
          <w:rFonts w:ascii="Times New Roman" w:cs="Times New Roman" w:eastAsia="Times New Roman" w:hAnsi="Times New Roman"/>
          <w:sz w:val="18"/>
          <w:szCs w:val="18"/>
          <w:color w:val="0A0A0A"/>
        </w:rPr>
        <w:t>general economic conditions; our ability to execute our business plan, including whether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our drilling program is successful; changes in oil, natural gas and natural gas liquids prices and the demand for oil, natural gas and natural gas liquids; our ability to secure sufficient pipeline takeaway capacity for our oil, natural gas and natural gas liquids; our ability to replace reserves and efficiently develop current reserves; the operating results of our midstream business’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any potential distributions from our joint ventures; weather and environmental conditions; the impact of the worldwide spread of the novel coronavirus (“COVID-19”), or variants thereof, on oil and natural gas demand, oil and natural gas prices and our business; </w:t>
      </w:r>
      <w:r>
        <w:rPr>
          <w:rFonts w:ascii="Times New Roman" w:cs="Times New Roman" w:eastAsia="Times New Roman" w:hAnsi="Times New Roman"/>
          <w:sz w:val="18"/>
          <w:szCs w:val="18"/>
          <w:color w:val="000000"/>
        </w:rPr>
        <w:t>and the other factors discussed below and elsewhere in this Quarterly Report and in other documents that we file with or furnish to the SEC, all of which are difficult to predict. Forward-looking statements may include statements about:</w:t>
      </w:r>
    </w:p>
    <w:p>
      <w:pPr>
        <w:spacing w:after="0" w:line="8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natural gas liquids;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natural gas liquids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midstream joint venture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or variants thereof, on the oil and natural gas industry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Highlights</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our total oil equivalent production was 9.7 million BOE, and our average daily oil equivalent production was 105,214 BOE per day, of which 60,200 Bbl per day, or 57%, was oil and 270.3 MMcf per day, or 43%, was natural gas. Our average daily oil production of 60,200 Bbl per day for the three months ended September 30, 2022 increased 19% year-over-year from 50,700 Bbl per day for the three months ended September 30, 2021. Our average daily natural gas production of 270.3 MMcf per day for the three months ended September 30, 2022 increased 15% year-over-year from 235.7 MMcf per day for the three months ended September 30, 2021.</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For the third quarter of 2022, we reported net income attributable to Matador shareholders of $337.6 million, or $2.82 per diluted common share, on a generally accepted accounting principles in the United States (“GAAP”) basis, as compared to net income attributable to Matador shareholders of $203.6 million, or $1.71 per diluted common share, for the third quarter of 2021. For the third quarter of 2022, our Adjusted EBITDA attributable to Matador shareholders (“Adjusted EBITDA”), a non-GAAP financial measure, was $539.7 million, as compared to Adjusted EBITDA of $293.8 million during the third quarter of 2021.</w:t>
      </w:r>
    </w:p>
    <w:p>
      <w:pPr>
        <w:spacing w:after="0" w:line="75"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we reported net income attributable to Matador shareholders of $960.4 million, or $8.01 per diluted common share, on a GAAP basis, as compared to net income attributable to Matador shareholders of $370.2 million, or $3.12 per diluted common share, for the nine months ended September 30, 2021. For the nine months ended September 30, 2022, our Adjusted EBITDA, a non-GAAP financial measure, was $1.67 billion, as compared to Adjusted EBITDA of $752.9 million during the nine months ended September 30, 2021. For a definition of Adjusted EBITDA and a reconciliation of Adjusted EBITDA to our net income and net cash provided by operating activities, see “—Liquidity and Capital Resources—Non-GAAP Financial Measures.” For more information regarding our financial results for the three and three and nine months ended September 30, 2022, see “—Results of Operations”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Update</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began 2022 operating five drilling rigs in the Delaware Basin but contracted a sixth drilling rig during the first quarter to begin development of certain acquired assets in the western portion of the Ranger asset area in Lea County, New Mexico. We contracted a seventh drilling rig late in the second quarter of 2022, which we began operating in September 2022. At October 25, 2022, four of these rigs were operating in the Antelope Ridge asset area, two of these rigs were operating in the Rustler Breaks asset area and one rig was operating in the Ranger asset area. We plan to operate seven drilling rigs throughout the remainder of 2022. We have built significant optionality into our drilling program, which should generally allow us to decrease or increase the number of rigs we operate as necessary based on changing commodity prices and other factors.</w:t>
      </w:r>
    </w:p>
    <w:p>
      <w:pPr>
        <w:spacing w:after="0" w:line="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turned to sales a total of 48 gross (19.8 net) horizontal wells in the Delaware Basin during the third quarter of 2022, including 20 gross (18.5 net) operated horizontal wells and 28 gross (1.3 net) non-operated horizontal wells. During the third quarter of 2022, we turned to sales 12 gross (11.2 net) operated horizontal wells in the Antelope Ridge asset area: five were Second Bone Spring completions, four were First Bone Spring completions and three were Third Bone Spring completions. In the Rustler Breaks area, we turned to sales four gross (3.3 net) operated horizontal wells: two were Second Bone Spring completions, one was a Wolfcamp A completion and one was a Wolfcamp B completion. In the Stateline area, we turned to sales four gross (4.0 net) operated horizontal wells, all of which were Wolfcamp B completions. We also participated in 11 gross (0.5 net) non-operated wells turned to sales in the Antelope Ridge asset area, nine gross (0.3 net) non-operated wells in the Rustler Breaks asset area, four gross (0.1 net) non-operated wells in the Arrowhead asset area and four gross (0.4 net) non-operated wells in the Ranger asset area.</w:t>
      </w:r>
    </w:p>
    <w:p>
      <w:pPr>
        <w:spacing w:after="0" w:line="84"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Our average daily oil equivalent production in the Delaware Basin for the third quarter of 2022 was 99,700 BOE per day, consisting of 59,300 Bbl of oil per day and 241.9 MMcf of natural gas per day, a 19% increase from 84,000 BOE per day, consisting of 49,200 Bbl of oil per day and 209.1 MMcf of natural gas per day, in the third quarter of 2021. The Delaware Basin contributed approximately 99% of our daily oil production and approximately 89% of our daily natural gas production in the third quarter of 2022, as compared to approximately 97% of our daily oil production and approximately 89% of our daily natural gas production in the third quarter of 2021.</w:t>
      </w:r>
    </w:p>
    <w:p>
      <w:pPr>
        <w:spacing w:after="0" w:line="75"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During the third quarter of 2022, we did not turn to sales any operated wells on our leasehold properties in the Eagle Ford shale play in South Texas or in the Haynesville shale and Cotton Valley plays in Northwest Louisiana, although we did participate in the drilling and completion of 5 gross (0.6 net) non-operated Haynesville shale wells.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Capital Expenditure Budget</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October 25, 2022, our estimated 2022 capital expenditures for drilling, completing and equipping wells (“D/C/E capital expenditures”) remained at $765.0 to $835.0 million. At October 25, 2022, our anticipated midstream capital expenditures remained at $50.0 to $60.0 million, which includes our proportionate share of estimated 2022 capital expenditures for San Mateo and other wholly-owned midstream projects, but excludes the Pronto Acquisition.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declared quarterly cash dividends of $0.05 per share of common stock in both the first and second quarters of 2022, which were paid on March 14, 2022 and June 3, 2022, respectively. In June 2022, the Board amended the Company’s dividend policy to increase the quarterly dividend to $0.10 per share of common stock. In the third quarter of 2022, the Board declared a quarterly cash dividend of $0.10 per share of common stock, which totaled $11.8 million and was paid on September 1, 2022. In October 2022, the Board declared a quarterly cash dividend of $0.10 per share of common stock payable on December 1, 2022 to shareholders of record as of November 10,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We did not have any outstanding borrowings under our fourth amended and restated credit agreement (the “Credit Agreement”) at September 30, 2022. We repurchased an additional $148.6 million of our outstanding senior notes due 2026 (the “Notes”) for $144.9 million during the three months ended September 30, 2022, bringing our total Notes repurchased during 2022 to $292.6 million. Between September 30, 2022 and October 25, 2022, we repurchased an additional $7.4 million of Notes for $7.2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recent accounting pronouncements that are expected to have a material impact on our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522,266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853,953</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335,819</w:t>
            </w:r>
          </w:p>
        </w:tc>
      </w:tr>
      <w:tr>
        <w:trPr>
          <w:trHeight w:val="223"/>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1,189,772</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55,774</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54,198</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(125,943)</w:t>
            </w:r>
          </w:p>
        </w:tc>
      </w:tr>
      <w:tr>
        <w:trPr>
          <w:trHeight w:val="229"/>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(77,178)</w:t>
            </w:r>
          </w:p>
        </w:tc>
      </w:tr>
      <w:tr>
        <w:trPr>
          <w:trHeight w:val="223"/>
        </w:trPr>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1,096,623</w:t>
            </w:r>
          </w:p>
        </w:tc>
      </w:tr>
      <w:tr>
        <w:trPr>
          <w:trHeight w:val="229"/>
        </w:trPr>
        <w:tc>
          <w:tcPr>
            <w:tcW w:w="6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r>
      <w:tr>
        <w:trPr>
          <w:trHeight w:val="230"/>
        </w:trPr>
        <w:tc>
          <w:tcPr>
            <w:tcW w:w="63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638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r>
      <w:tr>
        <w:trPr>
          <w:trHeight w:val="229"/>
        </w:trPr>
        <w:tc>
          <w:tcPr>
            <w:tcW w:w="638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85,801</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280" w:hanging="332"/>
        <w:spacing w:after="0" w:line="30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as Compared to Three Months Ended September 30, 2021</w:t>
      </w:r>
    </w:p>
    <w:p>
      <w:pPr>
        <w:spacing w:after="0" w:line="11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$290.0 million, or 63%, to $751.4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as compared to $461.5 million for the three months ended September 30, 2021. Our oil revenues increased $196.7 million, or 60%, to $522.3 million for the three months ended September 30, 2022, as compared to $325.6 million for the three months ended September 30, 2021. This increase in oil revenues resulted from a 35% increase in the weighted average oil price realized for the three months ended September 30, 2022 to $94.36 per Bbl,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compared to $69.73 per Bbl for the three months ended September 30, 2021, and from a 19% increase in our oil production to 5.5 million Bbl for the three months ended September 30, 2022, as compared to 4.7 million Bbl for the three months ended September 30, 2021. Our natural gas revenues increased $93.3 million, or 69%, to $229.2 million for the three months ended September 30, 2022, as compared to $135.9 million for the three months ended September 30, 2021. The increase in natural gas revenues resulted from a 47% increase in the weighted average natural gas price realized for the three months ended September 30, 2022 to $9.22 per Mcf, as compared to a weighted average natural gas price of $6.27 per Mcf realized for the three months ended September 30, 2021, and from a 15% increase in our natural gas production to 24.9 Bcf for the three months ended September 30, 2022, as compared to 21.7 Bcf for the three months ended September 30, 2021.</w:t>
      </w:r>
    </w:p>
    <w:p>
      <w:pPr>
        <w:spacing w:after="0" w:line="7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which include third-party midstream revenues from Pronto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Pronto Acquisition, increased $4.2 million, or 21%, to $24.7 million for the three months ended September 30, 2022, as compared to $20.5 million for the three months ended September 30, 2021. Third-party midstream services revenues are those revenues from midstream operations related to third parties, including working interest owners in our operated wells. This increase was primarily attributable to an increase in our third-party produced water disposal revenues to $9.5 million for the three months ended September 30, 2022, as compared to $6.8 million for the three months ended September 30, 2021, and an increase in our third-party natural gas gathering and processing revenues partially associated with our Pronto midstream assets, which were purchased on June 30, 2022, to $12.6 million for the three months ended September 30, 2022, as compared to $10.5 million for the three months ended September 30, 2021.</w:t>
      </w:r>
    </w:p>
    <w:p>
      <w:pPr>
        <w:spacing w:after="0" w:line="77"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$39.2 million, or 101%, to $77.9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as compared to $38.8 million for the three months ended September 30, 2021. This increase was the result of both an increase in purchased natural gas volumes sold and the natural gas price realized during the three months ended September 30, 2022.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75" w:lineRule="exact"/>
        <w:rPr>
          <w:sz w:val="20"/>
          <w:szCs w:val="20"/>
          <w:color w:val="auto"/>
        </w:rPr>
      </w:pPr>
    </w:p>
    <w:p>
      <w:pPr>
        <w:ind w:right="20" w:firstLine="44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Realized loss on derivatives. </w:t>
      </w:r>
      <w:r>
        <w:rPr>
          <w:rFonts w:ascii="Times New Roman" w:cs="Times New Roman" w:eastAsia="Times New Roman" w:hAnsi="Times New Roman"/>
          <w:sz w:val="17"/>
          <w:szCs w:val="17"/>
          <w:color w:val="auto"/>
        </w:rPr>
        <w:t>Our realized net loss on derivatives was $56.3 million for the three months ended September 30, 2022, as compared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realized net loss of $57.4 million for the three months ended September 30, 2021. We realized a net loss of $14.8 million related to our oil costless collar and oil basis swap contracts for the three months ended September 30, 2022, resulting primarily from oil prices that were above the ceiling prices of certain of our oil costless collar contracts and above the strike prices of certain of our oil basis swap contracts. We realized a net loss of $41.5 million related to our natural gas costless collar contracts for the three months ended September 30, 2022, resulting primarily from natural gas prices that were above the ceiling prices of certain of our natural gas costless collar contracts. We realized an average loss on our oil derivatives of approximately $2.67 per Bbl produced during the three months ended September 30, 2022, as compared to an average loss of approximately $11.30 per Bbl produced during the three months ended September 30, 2021. We realized an average loss on our natural gas derivatives of approximately $1.67 per Mcf produced during the three months ended September 30, 2022, as compared to an average loss of approximately $0.22 per Mcf produced during the three months ended September 30, 2021.</w:t>
      </w:r>
    </w:p>
    <w:p>
      <w:pPr>
        <w:spacing w:after="0" w:line="6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derivatives. </w:t>
      </w:r>
      <w:r>
        <w:rPr>
          <w:rFonts w:ascii="Times New Roman" w:cs="Times New Roman" w:eastAsia="Times New Roman" w:hAnsi="Times New Roman"/>
          <w:sz w:val="18"/>
          <w:szCs w:val="18"/>
          <w:color w:val="auto"/>
        </w:rPr>
        <w:t>During the three months ended September 30, 2022, the aggregate net fair value of our open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contracts changed to a net liability of $16.4 million from a net liability of $59.5 million at June 30, 2022, resulting in an unrealized gain on derivatives of $43.1 million for the three months ended September 30, 2022. During the three months ended September 30, 2021, the aggregate net fair value of our open oil and natural gas derivative contracts changed to a net liability of $113.1 million from a net liability of $122.1 million at June 30, 2021, resulting in an unrealized gain on derivatives of $9.0 million for the three months ended September 30,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as Compared to Nine Months Ended September 30, 2021</w:t>
      </w:r>
    </w:p>
    <w:p>
      <w:pPr>
        <w:spacing w:after="0" w:line="117"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$1.08 billion, or 91%, to $2.27 billion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as compared to $1.19 billion for the nine months ended September 30, 2021. Our oil revenues increased $778.7 million, or 91%, to $1.63 billion for the nine months ended September 30, 2022, as compared to $854.0 million for the nine months ended September 30, 2021. This increase in oil revenues resulted from a 56% increase in the weighted average oil price realized for the nine months ended September 30, 2022 to $100.71 per Bbl, as compared to $64.39 per Bbl for the nine months ended September 30, 2021, and from a 22% increase in our oil production to 16.2 million Bbl for the nine months ended September 30, 2022, as compared to 13.3 million Bbl for the nine months ended September 30, 2021. Our natural gas revenues increased by $302.3 million, or 90%, to $638.1 million for the nine months ended September 30, 2022, as compared to $335.8 million for the nine months ended September 30, 2021. The increase in natural gas revenues resulted from a 61% increase in the weighted average natural gas price realized for the nine months ended September 30, 2022 to $8.86 per Mcf, as compared to a weighted average natural gas price of $5.51 per Mcf for the nine months ended September 30, 2021, and from a 18% increase in our natural gas production to 72.1 Bcf for the nine months ended September 30, 2022, as compared to 61.0 Bcf for the nine months ended September 30, 2021.</w:t>
      </w:r>
    </w:p>
    <w:p>
      <w:pPr>
        <w:spacing w:after="0" w:line="8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which include third-party midstream revenues from Pronto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Pronto Acquisition, increased $8.1 million, or 15%, to $63.9 million for the nine months ended September 30, 2022, as compared to $55.8 million for the nine months ended September 30, 2021. This increase was primarily attributable to an increase in our third-party produced water disposal revenues to $25.7 million for the nine months ended September 30, 2022, as compared to $20.3 million for the nine months ended September 30, 2021, and an increase in our third-party natural gas gathering and processing revenues partially associated with our Pronto midstream assets, which were purchased on June 30, 2022, to $31.1 million for the nine months ended September 30, 2022, as compared to $27.6 million for the nine months ended September 30, 2021.</w:t>
      </w:r>
    </w:p>
    <w:p>
      <w:pPr>
        <w:spacing w:after="0" w:line="75" w:lineRule="exact"/>
        <w:rPr>
          <w:sz w:val="20"/>
          <w:szCs w:val="20"/>
          <w:color w:val="auto"/>
        </w:rPr>
      </w:pPr>
    </w:p>
    <w:p>
      <w:pPr>
        <w:jc w:val="both"/>
        <w:ind w:right="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$103.1 million, almost three-fold, to $157.3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as compared to $54.2 million for the nine months ended September 30, 2021. This increase was the result of both an increase in natural gas volumes sold and the natural gas price realized during the nine months ended September 30, 2022.</w:t>
      </w:r>
    </w:p>
    <w:p>
      <w:pPr>
        <w:spacing w:after="0" w:line="6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Realized loss on derivatives. </w:t>
      </w:r>
      <w:r>
        <w:rPr>
          <w:rFonts w:ascii="Times New Roman" w:cs="Times New Roman" w:eastAsia="Times New Roman" w:hAnsi="Times New Roman"/>
          <w:sz w:val="18"/>
          <w:szCs w:val="18"/>
          <w:color w:val="auto"/>
        </w:rPr>
        <w:t>Our realized net loss on derivatives was $139.9 million for the nine months ended September 30, 2022,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net loss of $125.9 million for the nine months ended September 30, 2021. We realized a net loss of $67.2 million related to our oil costless collar and oil basis swap contracts for the nine months ended September 30, 2022, resulting primarily from oil prices that were above the ceiling prices of certain of our oil costless collar contracts and above the strike prices of certain of our oil basis swap contracts. We realized a net loss of $72.7 million related to our natural gas costless collar contracts for the nine months ended September 30, 2022, resulting primarily from natural gas prices that were above the ceiling prices of certain of our natural gas costless collar contracts. We realized an average loss on our oil derivatives of approximately $4.14 per Bbl produced during the nine months ended September 30, 2022, as compared to an average loss of $9.16 per Bbl produced during the nine months ended September 30, 2021. We realized an average loss on our natural gas derivatives of approximately $1.01 per Mcf produced during the nine months ended September 30, 2022, as compared to an average loss of $0.08 per Mcf during the nine months ended September 30, 2021.</w:t>
      </w:r>
    </w:p>
    <w:p>
      <w:pPr>
        <w:spacing w:after="0" w:line="8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derivatives. </w:t>
      </w:r>
      <w:r>
        <w:rPr>
          <w:rFonts w:ascii="Times New Roman" w:cs="Times New Roman" w:eastAsia="Times New Roman" w:hAnsi="Times New Roman"/>
          <w:sz w:val="18"/>
          <w:szCs w:val="18"/>
          <w:color w:val="auto"/>
        </w:rPr>
        <w:t>During the period from December 31, 2021 through September 30, 2022, the aggregate net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oil and natural gas derivative contracts changed to a net liability of $16.4 million from a net liability of $14.9 million, resulting in an unrealized loss on derivatives of $1.5 million for the nine months ended September 30, 2022. During the period from December 31, 2020 through September 30, 2021, the aggregate net fair value of our open oil and natural gas derivative contracts changed to a net liability of $113.1 million from a net liability of $35.9 million, resulting in an unrealized loss on derivatives of $77.2 million for the nine months ended September 30,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126,913</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82,124</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44,452</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47,064</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255,368</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71,218</w:t>
            </w:r>
          </w:p>
        </w:tc>
      </w:tr>
      <w:tr>
        <w:trPr>
          <w:trHeight w:val="223"/>
        </w:trPr>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628,668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467,955</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(55,579)</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63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(57,076)</w:t>
            </w:r>
          </w:p>
        </w:tc>
      </w:tr>
      <w:tr>
        <w:trPr>
          <w:trHeight w:val="223"/>
        </w:trPr>
        <w:tc>
          <w:tcPr>
            <w:tcW w:w="6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410,879</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23"/>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409,391</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370,178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bl>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as Compared to Three Months Ended September 30, 2021</w:t>
      </w:r>
    </w:p>
    <w:p>
      <w:pPr>
        <w:spacing w:after="0" w:line="117"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$25.1 million, or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$74.0 million for the three months ended September 30, 2022, as compared to $48.9 million for the three months ended September 30, 2021. On a unit-of-production basis, our production taxes and transportation and processing expenses increased 29% to $7.64 per BOE for the three months ended September 30, 2022, as compared to $5.90 per BOE for the three months ended September 30, 2021. These increases were primarily attributable to a $23.5 million increase in production taxes to $58.3 million for the three months ended September 30, 2022, as compared to $34.8 million for the three months ended September 30, 2021, primarily due to the significant increase in oil and natural gas revenues between the two periods.</w:t>
      </w:r>
    </w:p>
    <w:p>
      <w:pPr>
        <w:spacing w:after="0" w:line="7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$14.9 million, or 54%, to $42.4 million for the three months ended September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$27.4 million for the three months ended September 30, 2021. Our lease operating expenses on a unit-of-production basis increased 32% to $4.38 per BOE for the three months ended September 30, 2022, as compared to $3.31 per BOE for the three months ended September 30, 2021. These increases were primarily attributable to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increased number of wells being operated by us and other operators (where we own a working interest) and to operating cost inflation for the three months ended September 30, 2022, as compared to the three months ended September 30, 2021.</w:t>
      </w:r>
    </w:p>
    <w:p>
      <w:pPr>
        <w:spacing w:after="0" w:line="5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which include plant and other midstream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operating expenses from Pronto following the Pronto Acquisition, increased $7.7 million, or 45%, to $24.8 million for the three months ended September 30, 2022, as compared to $17.0 million for the three months ended September 30, 2021. This increase was primarily attributable to increased throughput volumes from Matador and other San Mateo customers, which resulted in (i) increased expenses associated with our commercial produced water disposal operations of $13.2 million for the three months ended September 30, 2022, as compared to $7.9 million for the three months ended September 30, 2021, and (ii) expenses for the three months ended September 30, 2022 of $2.2 million associated with operating our Pronto midstream assets, which were purchased on June 30, 2022.</w:t>
      </w:r>
    </w:p>
    <w:p>
      <w:pPr>
        <w:spacing w:after="0" w:line="75"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$29.8 million, or 33%, to $118.9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2022, as compared to $89.1 million for the three months ended September 30, 2021, primarily as a result of the 17% increase in our total oil equivalent production for the three months ended September 30, 2022, as compared to the three months ended September 30, 2021. On a unit-of-production basis, our depletion, depreciation and amortization expenses increased 14% to $12.28 per BOE for the three months ended September 30, 2022, as compared to $10.75 per BOE for the three months ended September 30, 2021, primarily as a result of the increase in actual costs and estimated future costs to drill, complete and equip our wells between the two periods.</w:t>
      </w:r>
    </w:p>
    <w:p>
      <w:pPr>
        <w:spacing w:after="0" w:line="74" w:lineRule="exact"/>
        <w:rPr>
          <w:sz w:val="20"/>
          <w:szCs w:val="20"/>
          <w:color w:val="auto"/>
        </w:rPr>
      </w:pPr>
    </w:p>
    <w:p>
      <w:pPr>
        <w:ind w:right="20" w:firstLine="445"/>
        <w:spacing w:after="0" w:line="275"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increased $2.9 million, or 12%, to $27.5 million for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as compared to $24.6 million for the three months ended September 30, 2021, primarily due to increased compensation expenses for our existing employees as well as the addition of new employees to support the continued growth in our land, geoscience, drilling, completion, production, midstream and administration functions. While our general and administrative expenses increased 12% on an absolute basis, our general and administrative expenses decreased by 4% on a unit-of-production basis to $2.85 per BOE for the three months ended September 30, 2022, as compared to $2.97 per BOE for the three months ended September 30, 2021, which was attributable to the 17% increase in our total oil equivalent production between the two periods.</w:t>
      </w:r>
    </w:p>
    <w:p>
      <w:pPr>
        <w:spacing w:after="0" w:line="60"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September 30, 2022, we incurred total interest expense of $19.0 million. We capitalized $3.0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expense on certain qualifying projects for the three months ended September 30, 2022 and expensed the remaining $16.0 million to operations. For the three months ended September 30, 2021, we incurred total interest expense of $19.5 million. We capitalized $1.5 million of our interest expense on certain qualifying projects for the three months ended September 30, 2021 and expensed the remaining $18.0 million to operations.</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As a result of the full-cost ceiling impairments recorded during 2020, we recognized a valuation allowance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federal net deferred tax assets as of September 30, 2020. Due to a variety of factors, including our significant net income during 2021, our federal valuation allowance was reversed in the third quarter of 2021. As a result, we recorded a deferred income tax benefit of $6.7 million for the three months ended September 30, 2021. Our income tax benefit differed from amounts computed by applying the U.S. federal statutory rate to the pre-tax income due to recording the net deferred tax liability for state taxes, primarily in New Mexico, and reversing the valuation allowance against our U.S. federal net deferred tax assets. Our current income tax provision was $0.3 million and our deferred income tax provision was $113.7 million for the three months ended September 30, 2022. Our effective tax rate of 25% for the three months ended September 30, 2022 differed from the U.S. federal statutory rate due primarily to permanent differences between book and taxable income and state taxes, primarily in New Mexico.</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as Compared to Nine Months Ended September 30, 2021</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transportation and processing expenses increased $92.5 million, or 73%,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$219.4 million for the nine months ended September 30, 2022, as compared to $126.9 million for the nine months ended September 30, 2021. On a unit-of-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basis, our production taxes, transportation and processing expenses increased by 44% to $7.78 per BOE for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2022, as compared to $5.42 per BOE for the nine months ended September 30, 2021. These increases were primarily attributable to an $87.8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production taxes to $177.4 million for the nine months ended September 30, 2022, as compared to $89.6 million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primarily due to the significant increase in oil and natural gas revenues between the two periods.</w:t>
      </w:r>
    </w:p>
    <w:p>
      <w:pPr>
        <w:spacing w:after="0" w:line="15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$34.0 million, or 41%, to $116.2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$82.1 million for the nine months ended September 30, 2021. Our lease operating expenses per unit of production increased 17% to $4.12 per BOE for the nine months ended September 30, 2022, as compared to $3.51 per BOE for the nine months ended September 30, 2021. These increases were primarily attributable to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increased number of wells being operated by us and other operators (where we own a working interest) and to operating cost inflation for the nine months ended September 30, 2022, as compared to the nine months ended September 30, 2021.</w:t>
      </w:r>
    </w:p>
    <w:p>
      <w:pPr>
        <w:spacing w:after="0" w:line="5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which include plant and other midstream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operating expenses from Pronto following the Pronto Acquisition, increased $21.8 million, or 49%, to $66.3 million for the nine months ended September 30, 2022, as compared to $44.5 million for the nine months ended September 30, 2021. This increase was primarily attributable to increased throughput volumes from Matador and other San Mateo customers, which resulted in (i) increased expenses associated with our commercial produced water disposal operations of $35.0 million for the nine months ended September 30, 2022, as compared to $22.2 million for the nine months ended September 30, 2021, (ii) increased expenses associated with our pipeline operations of $18.1 million for the nine months ended September 30, 2022, as compared to $12.3 million for the nine months ended September 30, 2021, and (iii) expenses for the three months ended September 30, 2022 of $2.2 million associated with operating our Pronto midstream assets, which were purchased on June 30, 2022.</w:t>
      </w:r>
    </w:p>
    <w:p>
      <w:pPr>
        <w:spacing w:after="0" w:line="77"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$79.4 million, or 31%, to $334.7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2022, as compared to $255.4 million for the nine months ended September 30, 2021, primarily as a result of the 20% increase in our total oil equivalent production for the nine months ended September 30, 2022, as compared to the nine months ended September 30, 2021 . On a unit-of-production basis, our depletion, depreciation and amortization expenses increased to $11.86 per BOE for the nine months ended September 30, 2022, or 9%, from $10.90 per BOE for the nine months ended September 30, 2021, primarily as a result of the increase in actual costs and estimated future costs to drill, complete and equip our wells between the two periods.</w:t>
      </w:r>
    </w:p>
    <w:p>
      <w:pPr>
        <w:spacing w:after="0" w:line="128"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$10.5 million, or 15%, to $81.7 million for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as compared to $71.2 million for the nine months ended September 30, 2021, primarily due to increased compensation expenses for our existing employees as well as the addition of new employees to support the continued growth in our land, geoscience, drilling, completion, production, midstream and administration functions. While our general and administrative expenses increased 15% on an absolute basis, our general and administrative expenses decreased by 5% on a unit-of-production basis to $2.90 per BOE for the nine months ended September 30, 2022, as compared to $3.04 per BOE for the nine months ended September 30, 2021, primarily as a result of the 20% increase in our total oil equivalent production between the two periods.</w:t>
      </w:r>
    </w:p>
    <w:p>
      <w:pPr>
        <w:spacing w:after="0" w:line="11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nine months ended September 30, 2022, we incurred total interest expense of approximately $58.1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$7.4 million of our interest expense on certain qualifying projects for the nine months ended September 30, 2022 and expensed the remaining $50.7 million to operations. For the nine months ended September 30, 2021, we incurred total interest expense of approximately $59.5 million. We capitalized approximately $3.9 million of our interest expense on certain qualifying projects for the nine months ended September 30, 2021 and expensed the remaining $55.6 million to operations.</w:t>
      </w:r>
    </w:p>
    <w:p>
      <w:pPr>
        <w:spacing w:after="0" w:line="1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Income tax provision (benefit)</w:t>
      </w:r>
      <w:r>
        <w:rPr>
          <w:rFonts w:ascii="Times New Roman" w:cs="Times New Roman" w:eastAsia="Times New Roman" w:hAnsi="Times New Roman"/>
          <w:sz w:val="18"/>
          <w:szCs w:val="18"/>
          <w:color w:val="auto"/>
        </w:rPr>
        <w:t>. As a result of the full-cost ceiling impairments recorded during 2020, we recognized a valuation allowance against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net deferred tax assets as of September 30, 2020. Due to a variety of factors, including our significant net income during 2021, our federal valuation allowance was reversed in the third quarter of 2021. As a result, we recorded a deferred income tax provision of $1.5 million for the nine months ended September 30, 2021. Our income tax provision differed from amounts computed by applying the U.S. federal statutory rate to the pre-tax income due to recording the net deferred tax liability for state taxes, primarily in New Mexico, and reversing the valuation allowance against our U.S. federal net deferred tax assets. Our current income tax provision was $51.9 million and our deferred income tax provision was $266.5 million for the nine months ended September 30, 2022. Our effective tax rate of 25% for the nine months ended September 30, 2022 differed from the U.S. federal statutory rate due primarily to permanent differences between book and taxable income and state taxes, primarily in New Mexico.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2022 and for the foreseeable future, for the acquisition, exploration and development of oil and natural gas properties and for midstream investments, assets and operations. Excluding any possible significant acquisitions, we expect to fund our capital expenditures for the remainder of 2022 primarily through a combination of cash on hand, operating cash flows and performance incentives paid to us by a subsidiary of Five Point Energy LLC, our joint venture partner in San Mateo, in connection with San Mateo. If capital expenditures were to exceed our operating cash flows during the remainder of 2022, we expect to fund any such excess capital expenditures through cash on hand, borrowings under the Credit Agreement or San Mateo’s revolving credit facility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available on satisfactory terms or at all. Our future success in growing proved reserves and production will be highly dependent on our ability to generate operating cash flows and access outside sources of capital.</w:t>
      </w:r>
    </w:p>
    <w:p>
      <w:pPr>
        <w:spacing w:after="0" w:line="54"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2022, we had cash totaling $400.5 million and restricted cash totaling $41.2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February 2022, the Board declared a quarterly cash dividend of $0.05 per share of common stock, which was paid on March 14, 2022. In April 2022, the Board declared a quarterly cash dividend of $0.05 per share of common stock, which was paid on June 3, 2022. In June 2022, the Board amended our dividend policy to increase the quarterly dividend to $0.10 per share of common stock. In July 2022, the Board declared a quarterly cash dividend of $0.10 per share of common stock, which totaled $11.8 million and was paid on September 1, 2022. In October 2022, the Board declared a quarterly cash dividend of $0.10 per share of common stock payable on December 1, 2022 to shareholders of record as of November 10, 2022.</w:t>
      </w:r>
    </w:p>
    <w:p>
      <w:pPr>
        <w:spacing w:after="0" w:line="75" w:lineRule="exact"/>
        <w:rPr>
          <w:sz w:val="20"/>
          <w:szCs w:val="20"/>
          <w:color w:val="auto"/>
        </w:rPr>
      </w:pPr>
    </w:p>
    <w:p>
      <w:pPr>
        <w:ind w:right="420" w:firstLine="405"/>
        <w:spacing w:after="0" w:line="258" w:lineRule="auto"/>
        <w:rPr>
          <w:sz w:val="20"/>
          <w:szCs w:val="20"/>
          <w:color w:val="auto"/>
        </w:rPr>
      </w:pPr>
      <w:r>
        <w:rPr>
          <w:rFonts w:ascii="Times New Roman" w:cs="Times New Roman" w:eastAsia="Times New Roman" w:hAnsi="Times New Roman"/>
          <w:sz w:val="18"/>
          <w:szCs w:val="18"/>
          <w:color w:val="auto"/>
        </w:rPr>
        <w:t>At September 30, 2022, we had (i) $757.4 million of outstanding Notes, (ii) no borrowings outstanding under the Credit Agreement and (iii) approximately $45.6 million in outstanding letters of credit issued pursuant to the Credit Agreement. During the first quarter of 2022, the $7.5 million unsecured U.S. Small Business Administration loan was forgiven under the terms of the loan agreement. During the three and nine months ended September 30, 2022, the Company repurchased $148.6 million and $292.6 million of its Notes for $144.9 million and $287.4 million, respectively. Between September 30, 2022 and October 25, 2022, the Company repurchased an additional $7.4 million of its Notes for $7.2 million.</w:t>
      </w:r>
    </w:p>
    <w:p>
      <w:pPr>
        <w:spacing w:after="0" w:line="75"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In April 2022, the lenders under our Credit Agreement completed their review of our proved oil and natural gas reserves, and, as a result, the borrowing base was increased to $2.00 billion from $1.35 billion, the borrowing commitment was increased to $775.0 million from $700.0 million and the maximum facility amount remained $1.50 billion.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Borrowings under the Credit Agreement are limited to the lowest of the borrowing base, the maximum facility amount and the elected commitment (subject to compliance with the covenant noted below). The Credit Agreement matures October 31, 2026.</w:t>
      </w:r>
    </w:p>
    <w:p>
      <w:pPr>
        <w:spacing w:after="0" w:line="8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September 30, 2022.</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At September 30, 2022, San Mateo had $440.0 million in borrowings outstanding under the San Mateo Credit Facility and approximately $9.0 million in outstanding letters of credit issued pursuant to the San Mateo Credit Facility. The San Mateo Credit Facility matures December 19, 2023 and the lender commitments under that facility are $450.0 million (subject to San Mateo’s compliance with the covenants noted below). The San Mateo Credit Facility includes an accordion feature, which provides for potential increases in lender commitments to up to $700.0 million. San Mateo plans to extend the maturity date of the San Mateo Credit Facility during the fourth quarter of 2022. The San Mateo Credit Facility is guaranteed by San Mateo’s subsidiaries, secured by substantially all of San Mateo’s assets, including real property, and is non-recourse with respect to Matador and its wholly-owned subsidiaries.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September 30, 2022.</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445"/>
        <w:spacing w:after="0" w:line="272" w:lineRule="auto"/>
        <w:rPr>
          <w:sz w:val="20"/>
          <w:szCs w:val="20"/>
          <w:color w:val="auto"/>
        </w:rPr>
      </w:pPr>
      <w:r>
        <w:rPr>
          <w:rFonts w:ascii="Times New Roman" w:cs="Times New Roman" w:eastAsia="Times New Roman" w:hAnsi="Times New Roman"/>
          <w:sz w:val="17"/>
          <w:szCs w:val="17"/>
          <w:color w:val="auto"/>
        </w:rPr>
        <w:t>During the nine months ended September 30, 2022, the oil and natural gas industry experienced continued improvement in commodity prices as compared to 2021, primarily resulting from (i) improvements in oil demand as the impact from COVID-19 has subsided, (ii) actions taken by the Organization of Petroleum Exporting Countries, Russia and certain other oil-exporting countries (“OPEC+”) to moderate the worldwide supply of oil and</w:t>
      </w:r>
    </w:p>
    <w:p>
      <w:pPr>
        <w:spacing w:after="0" w:line="2" w:lineRule="exact"/>
        <w:rPr>
          <w:sz w:val="20"/>
          <w:szCs w:val="20"/>
          <w:color w:val="auto"/>
        </w:rPr>
      </w:pPr>
    </w:p>
    <w:p>
      <w:pPr>
        <w:ind w:right="80" w:firstLine="8"/>
        <w:spacing w:after="0" w:line="251"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dynamics, particularly with respect to instability in Russia and Ukraine. As a result, West Texas Intermediate (“WTI”) oil prices increased from $75.21 per barrel at December 31, 2021 to as high as $123.70 per barrel in early March 2022, before falling back to $79.49 per barrel at September 30, 2022, based upon the WTI oil futures contract price for earliest delivery date. Prices for natural gas were also much higher during the nine months ended September 30, 2022 as compared to 2021, increasing from $3.73 per MMBtu at December 31, 2021 to as high as $9.68 per MMBtu mid-August 2022, before falling back to $6.77 per MMBtu at September 30, 2022, based upon the NYMEX Henry Hub natural gas futures contract price for earliest delivery date. While oil and natural gas prices have improved significantly in 2022, the general outlook for the oil and natural gas industry for the remainder of the year and into 2023 remains unclear, and we can provide no assurances that commodity prices will remain at current levels. In fact, commodity prices may decline from their current levels. For example, certain volumes of our Delaware Basin natural gas production are exposed to the Waha-Henry Hub basis differential, which has been highly volatile in recent years. In the latter half of 2022, the Waha basis differential began to widen, and, at October 25, 2022, this natural gas price differential was approximately ($2.40) per MMBtu. The economic disruptions associated with COVID-19 and variants thereof and the conflict between Russia and Ukraine and the volatility in oil and natural gas prices have also impacted our ability to access the capital markets on reasonably similar terms as were available prior to 2020.</w:t>
      </w:r>
    </w:p>
    <w:p>
      <w:pPr>
        <w:spacing w:after="0" w:line="84"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2022. We began 2022 operating five drilling rigs in the Delaware Basin but contracted a sixth drilling rig during the first quarter to begin development of certain acquired assets in the western portion of the Ranger asset area in Lea County, New Mexico. We contracted a seventh drilling rig late in the second quarter of 2022, which we began operating in September 2022. At October 25, 2022, four of these rigs were operating in the Antelope Ridge asset area, two of these rigs were operating in the Rustler Breaks asset area and one rig was operating in the Ranger asset area. We plan to operate seven drilling rigs throughout the remainder of 2022. We have built significant optionality into our drilling program, which should generally allow us to decrease or increase the number of rigs we operate as necessary based on changing commodity prices and other factors. At October 25, 2022, our estimated D/C/E capital expenditures for 2022 remained at $765.0 to $835.0 million. At October 25, 2022, our anticipated midstream capital expenditures for 2022 remained at $50.0 to $60.0 million, which includes our proportionate share of estimated 2022 capital expenditures for San Mateo and other wholly-owned midstream projects, but excludes the Pronto Acquisition. Substantially all of these 2022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2022 Delaware Basin operated drilling program is expected to continue to focus on the continued development of our various asset areas throughout the Delaware Basin, with a continued emphasis on drilling and completing a higher percentage of longer horizontal wells in 2022, including 90% with anticipated completed lateral lengths of two miles or greater.</w:t>
      </w:r>
    </w:p>
    <w:p>
      <w:pPr>
        <w:spacing w:after="0" w:line="8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may divest portions of our non-core assets, particularly in the Eagle Ford shale in South Texas and the Haynesville shale and Cotton Valley plays in Northwest Louisiana as we have done in the first three quarters of 2022, as well as consider monetizing other assets, such as certain acreage, mineral and royalty interests and midstream assets, as value-creating opportunities arise. In addition, we intend to continue evaluating the opportunistic acquisition of acreage, mineral and royalty interests and midstream assets, principally in the Delaware Basin, during the remainder of 2022. These monetizations, divestitures and capital expenditures are opportunity-specific, and purchase price multiples and per-acre prices can vary significantly based on the asset or prospect. As a result, it is difficult to estimate these monetizations, divestitures and capital expenditures with any degree of certainty; therefore, we have not provided estimated proceeds related to monetizations or divestitures or estimated capital expenditures related to acquiring acreage, mineral and royalty interests and midstream assets for 2022.</w:t>
      </w:r>
    </w:p>
    <w:p>
      <w:pPr>
        <w:spacing w:after="0" w:line="8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2022 capital expenditures may be adjusted as business conditions warrant, and the amount, timing and allocation of such expenditures is largely discretionary and within our control. The aggregate amount of capital we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If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approvals, the availability of rigs, success or lack of success in our exploration and development activities, contractual obligations, drilling plans for properties we do not operate and other factors both within and outside our control.</w:t>
      </w:r>
    </w:p>
    <w:p>
      <w:pPr>
        <w:spacing w:after="0" w:line="5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2022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the remainder of 2022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unaudited cash flows for the nine months ended September 30, 2022 and 2021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19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718,826</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354,800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752,906</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85" w:lineRule="exact"/>
        <w:rPr>
          <w:sz w:val="20"/>
          <w:szCs w:val="20"/>
          <w:color w:val="auto"/>
        </w:rPr>
      </w:pPr>
    </w:p>
    <w:p>
      <w:pPr>
        <w:ind w:left="340" w:right="30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$813.4 million to $1.53 billion for the nine months ended September 30, 2022 from $718.8 million for the nine months ended September 30, 2021. Excluding changes in operating assets and liabilities, net cash provided by operating activities increased $877.1 million to $1.63 billion for the nine months ended September 30, 2022 from $753.3 million for the nine months ended September 30, 2021, primarily attributable to significantly higher realized oil and natural gas prices and higher oil and natural gas production for the nine months ended September 30, 2022, as compared to the nine months ended September 30, 2021. Changes in our operating assets and liabilities between the two periods resulted in a net decrease of approximately $63.7 million in net cash provided by operating activities for the nine months ended September 30, 2022, as compared to the nine months ended September 30, 2021.</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increased $377.4 million to $761.1 million for the nine months ended September 30, 2022 from $383.7 million for the nine months ended September 30, 2021. This increase in net cash used in investing activities was primarily due to (i) an increase of $228.0 million in D/C/E capital expenditures, (ii) an increase of $104.5 million in expenditures related to the acquisition of oil and natural gas properties for the nine months ended September 30, 2022, as compared to the nine months ended September 30, 2021, and (iii) the acquisition of a cryogenic natural gas processing plant, three compressor stations and approximately 45 miles of natural gas gathering pipelines as part of the Pronto Acquisition for $75.8 million. These increases were partially offset by a $42.3 million increase in proceeds from the sale of primarily non-core oil and gas assets. Cash used for D/C/E capital expenditures and for the acquisition of oil and natural gas properties for the nine months ended September 30, 2022 and 2021 was primarily attributable to our operated and non-operated drilling and completion activities in the Delaware Basin.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increased $97.6 million to $416.3 million for the nine months ended September 30, 2022 from $318.7 million for the nine months ended September 30, 2021. During the nine months ended September 30, 2022, our primary uses of cash related to financing activities were for the repurchase of Notes for $284.0 million and the net repayment of $100.0 million in borrowings under our Credit Agreement. These payments were partially offset by net borrowings under the San Mateo Credit Facility of $55.0 million. During the nine months ended September 30, 2021, our primary use of cash related to financing activities was for the net repayment of $320.0 million in borrowings under our Credit Agreement.</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Guarantor Financial Information</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Notes are jointly and severally guaranteed by certain subsidiaries of Matador (the “Guarantor Subsidiaries”) on a full and unconditional basis (except for customary release provisions). At September 30, 2022,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of the Notes.</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852,165</w:t>
            </w: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54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3,508,567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558,474</w:t>
            </w: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417,113</w:t>
            </w:r>
          </w:p>
        </w:tc>
        <w:tc>
          <w:tcPr>
            <w:tcW w:w="0" w:type="dxa"/>
            <w:vAlign w:val="bottom"/>
          </w:tcPr>
          <w:p>
            <w:pPr>
              <w:spacing w:after="0"/>
              <w:rPr>
                <w:sz w:val="1"/>
                <w:szCs w:val="1"/>
                <w:color w:val="auto"/>
              </w:rPr>
            </w:pPr>
          </w:p>
        </w:tc>
      </w:tr>
      <w:tr>
        <w:trPr>
          <w:trHeight w:val="621"/>
        </w:trPr>
        <w:tc>
          <w:tcPr>
            <w:tcW w:w="7940" w:type="dxa"/>
            <w:vAlign w:val="bottom"/>
          </w:tcPr>
          <w:p>
            <w:pPr>
              <w:spacing w:after="0"/>
              <w:rPr>
                <w:sz w:val="24"/>
                <w:szCs w:val="24"/>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80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84"/>
        </w:trPr>
        <w:tc>
          <w:tcPr>
            <w:tcW w:w="7940" w:type="dxa"/>
            <w:vAlign w:val="bottom"/>
          </w:tcPr>
          <w:p>
            <w:pPr>
              <w:spacing w:after="0"/>
              <w:rPr>
                <w:sz w:val="16"/>
                <w:szCs w:val="16"/>
                <w:color w:val="auto"/>
              </w:rPr>
            </w:pPr>
          </w:p>
        </w:tc>
        <w:tc>
          <w:tcPr>
            <w:tcW w:w="1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16"/>
                <w:szCs w:val="16"/>
                <w:color w:val="auto"/>
              </w:rPr>
            </w:pPr>
          </w:p>
        </w:tc>
        <w:tc>
          <w:tcPr>
            <w:tcW w:w="134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Borders>
              <w:bottom w:val="single" w:sz="8" w:color="auto"/>
            </w:tcBorders>
            <w:gridSpan w:val="4"/>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803,690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2,241,036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937,094</w:t>
            </w:r>
          </w:p>
        </w:tc>
        <w:tc>
          <w:tcPr>
            <w:tcW w:w="0" w:type="dxa"/>
            <w:vAlign w:val="bottom"/>
          </w:tcPr>
          <w:p>
            <w:pPr>
              <w:spacing w:after="0"/>
              <w:rPr>
                <w:sz w:val="1"/>
                <w:szCs w:val="1"/>
                <w:color w:val="auto"/>
              </w:rPr>
            </w:pPr>
          </w:p>
        </w:tc>
      </w:tr>
      <w:tr>
        <w:trPr>
          <w:trHeight w:val="22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1,303,942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(49,725)</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(113,941)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(318,429)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935,788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54"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337,572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370,178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409,391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255,368</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expense related to contingent consideration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563,052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1,736,720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806,401</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752,906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556,960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718,826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related to contingent consideration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(53,495)</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1,665,368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752,906</w:t>
            </w:r>
          </w:p>
        </w:tc>
        <w:tc>
          <w:tcPr>
            <w:tcW w:w="0" w:type="dxa"/>
            <w:vAlign w:val="bottom"/>
          </w:tcPr>
          <w:p>
            <w:pPr>
              <w:spacing w:after="0"/>
              <w:rPr>
                <w:sz w:val="1"/>
                <w:szCs w:val="1"/>
                <w:color w:val="auto"/>
              </w:rPr>
            </w:pPr>
          </w:p>
        </w:tc>
      </w:tr>
      <w:tr>
        <w:trPr>
          <w:trHeight w:val="21"/>
        </w:trPr>
        <w:tc>
          <w:tcPr>
            <w:tcW w:w="5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net income attributable to Matador shareholders increased $133.9 million to $337.6 million, as compared to net income attributable to Matador shareholders of $203.6 million for the three months ended September 30, 2021. The increase in net income attributable to Matador shareholders primarily resulted from higher oil and natural gas production and higher realized oil and natural gas prices for the three months ended September 30, 2022, as compared to the three months ended September 30, 2021, and from an unrealized gain on derivatives of $43.1 million for the three months ended September 30, 2022, as compared to an unrealized gain on derivatives of $9.0 million for the three months ended September 30, 2021. This increase was partially offset by an increase in the total income tax provision to $113.9 million for the three months ended September 30, 2022, as compared to an income tax benefit of $6.7 million for the three months ended September 30, 2021.</w:t>
      </w:r>
    </w:p>
    <w:p>
      <w:pPr>
        <w:spacing w:after="0" w:line="8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net income attributable to Matador shareholders increased $590.2 million to $960.4 million, as compared to net income attributable to Matador shareholders of $370.2 million for the nine months ended September 30, 2021. The increase in net income attributable to Matador shareholders primarily resulted from higher oil and natural gas production and higher realized oil and natural gas prices for the nine months ended September 30, 2022, as compared to the nine months ended September 30, 2021, and from an unrealized loss on derivatives of $1.5 million for the nine months ended September 30, 2022, as compared to an unrealized loss on derivatives of $77.2 million for the nine months ended September 30, 2021. This increase was partially offset by an increase in the total income tax provision to $318.4 million for the nine months ended September 30, 2022, as compared to $1.5 million for the nine months ended September 30, 2021.</w:t>
      </w:r>
    </w:p>
    <w:p>
      <w:pPr>
        <w:spacing w:after="0" w:line="81"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$245.9 million to $539.7 million for the three months ended September 30, 2022, as compared to $293.8 million for the three months ended September 30, 2021. This increase is primarily attributable to higher oil and natural gas production and higher realized oil and natural gas prices for the three months ended September 30, 2022, as compared to the three months ended September 30, 2021.</w:t>
      </w:r>
    </w:p>
    <w:p>
      <w:pPr>
        <w:spacing w:after="0" w:line="68"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$912.5 million to $1.67 billion for the nine months ended September 30, 2022, as compared to $752.9 million for the nine months ended September 30, 2021. This increase is primarily attributable to higher oil and natural gas production and higher realized oil and natural gas prices for the nine months ended September 30, 2022, as compared to the nine months ended September 30,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 of September 30, 2022,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260" w:type="dxa"/>
            <w:vAlign w:val="bottom"/>
          </w:tcPr>
          <w:p>
            <w:pPr>
              <w:spacing w:after="0"/>
              <w:rPr>
                <w:sz w:val="11"/>
                <w:szCs w:val="11"/>
                <w:color w:val="auto"/>
              </w:rPr>
            </w:pPr>
          </w:p>
        </w:tc>
        <w:tc>
          <w:tcPr>
            <w:tcW w:w="8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commitments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0" w:type="dxa"/>
            <w:vAlign w:val="bottom"/>
          </w:tcPr>
          <w:p>
            <w:pPr>
              <w:spacing w:after="0"/>
              <w:rPr>
                <w:sz w:val="1"/>
                <w:szCs w:val="1"/>
                <w:color w:val="auto"/>
              </w:rPr>
            </w:pPr>
          </w:p>
        </w:tc>
      </w:tr>
      <w:tr>
        <w:trPr>
          <w:trHeight w:val="181"/>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non-affiliates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209,697</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San Mateo</w:t>
            </w:r>
            <w:r>
              <w:rPr>
                <w:rFonts w:ascii="Times New Roman" w:cs="Times New Roman" w:eastAsia="Times New Roman" w:hAnsi="Times New Roman"/>
                <w:sz w:val="23"/>
                <w:szCs w:val="23"/>
                <w:color w:val="auto"/>
                <w:vertAlign w:val="superscript"/>
              </w:rPr>
              <w:t>(7)</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301,700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254,044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120" w:hanging="332"/>
        <w:spacing w:after="0" w:line="266"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September 30, 2022, we had no borrowings outstanding under the Credit Agreement and approximately $45.6 million in outstanding letters of credit issued pursuant to the Credit Agreement. The Credit Agreement matures October 31, 2026. At September 30, 2022, San Mateo had $440.0 million of borrowings outstanding under the San Mateo Credit Facility and approximately $9.0 million in outstanding letters of credit issued pursuant to the San Mateo Credit Facility. The San Mateo Credit Facility matures December 19, 2023. Assuming the amount outstanding and interest rate of 5.12% for the San Mateo Credit Facility at September 30, 2022, the interest expense is expected to be approximately $22.8 million each year until maturity.</w:t>
      </w:r>
    </w:p>
    <w:p>
      <w:pPr>
        <w:spacing w:after="0" w:line="79" w:lineRule="exact"/>
        <w:rPr>
          <w:rFonts w:ascii="Times New Roman" w:cs="Times New Roman" w:eastAsia="Times New Roman" w:hAnsi="Times New Roman"/>
          <w:sz w:val="14"/>
          <w:szCs w:val="14"/>
          <w:color w:val="auto"/>
        </w:rPr>
      </w:pPr>
    </w:p>
    <w:p>
      <w:pPr>
        <w:ind w:left="340" w:right="560" w:hanging="332"/>
        <w:spacing w:after="0" w:line="30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$757.4 million of outstanding Notes as of September 30, 2022 is expected to be approximately $44.5 million each year until maturity.</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we had outstanding commitments to participate in the drilling and completion of various non-operated wells.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September 30, 2022.</w:t>
      </w:r>
    </w:p>
    <w:p>
      <w:pPr>
        <w:spacing w:after="0" w:line="122" w:lineRule="exact"/>
        <w:rPr>
          <w:rFonts w:ascii="Times New Roman" w:cs="Times New Roman" w:eastAsia="Times New Roman" w:hAnsi="Times New Roman"/>
          <w:sz w:val="14"/>
          <w:szCs w:val="14"/>
          <w:color w:val="auto"/>
        </w:rPr>
      </w:pPr>
    </w:p>
    <w:p>
      <w:pPr>
        <w:ind w:left="340" w:right="120" w:hanging="332"/>
        <w:spacing w:after="0" w:line="268"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80" w:hanging="332"/>
        <w:spacing w:after="0" w:line="266"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conflict between Russia and Ukraine as well as political instability in China and the Middle East, the actions of OPEC+, the ongoing impact of COVID-19 and its variants, weather, pipeline capacity constraints, inventory storage levels, oil and natural gas price differentials and other factors.</w:t>
      </w:r>
    </w:p>
    <w:p>
      <w:pPr>
        <w:spacing w:after="0" w:line="75" w:lineRule="exact"/>
        <w:rPr>
          <w:sz w:val="20"/>
          <w:szCs w:val="20"/>
          <w:color w:val="auto"/>
        </w:rPr>
      </w:pPr>
    </w:p>
    <w:p>
      <w:pPr>
        <w:jc w:val="both"/>
        <w:ind w:right="100" w:firstLine="445"/>
        <w:spacing w:after="0" w:line="272" w:lineRule="auto"/>
        <w:rPr>
          <w:sz w:val="20"/>
          <w:szCs w:val="20"/>
          <w:color w:val="auto"/>
        </w:rPr>
      </w:pPr>
      <w:r>
        <w:rPr>
          <w:rFonts w:ascii="Times New Roman" w:cs="Times New Roman" w:eastAsia="Times New Roman" w:hAnsi="Times New Roman"/>
          <w:sz w:val="17"/>
          <w:szCs w:val="17"/>
          <w:color w:val="auto"/>
        </w:rPr>
        <w:t>The prices we receive for oil, natural gas and NGLs heavily influence our revenues,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oil prices averaged $91.43 per Bbl, ranging from a high of $108.43 per Bbl in early July to a low of $76.71 per Bbl in late September, based upon the WTI oil futures contract price for the earliest delivery date. We realized a weighted average oil price of $94.36 per Bbl ($91.69 per Bbl including realized losses from oil derivatives) for our oil production for the three months ended September 30, 2022, as compared to $69.73 per Bbl ($58.43 per Bbl including realized losses from oil derivatives) for our oil production for the three months ended September 30, 2021. At October 25, 2022, the WTI oil futures contract for the earliest delivery date had decreased from the average price for the third quarter of 2022 of $91.43 per Bbl, settling at $85.32 per Bbl, which was a slight increase as compared to $83.76 per Bbl at October 25, 2021.</w:t>
      </w:r>
    </w:p>
    <w:p>
      <w:pPr>
        <w:spacing w:after="0" w:line="79" w:lineRule="exact"/>
        <w:rPr>
          <w:sz w:val="20"/>
          <w:szCs w:val="20"/>
          <w:color w:val="auto"/>
        </w:rPr>
      </w:pPr>
    </w:p>
    <w:p>
      <w:pPr>
        <w:ind w:right="14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also higher in the third quarter of 2022, as compared to the third quarter of 2021. For the three months ended September 30, 2022, natural gas prices averaged $7.95 per MMBtu, ranging from a low of $5.51 per MMBtu in early July to a high of $9.68 per MMBtu in mid-August, based upon the NYMEX Henry Hub natural gas futures contract price for the earliest delivery date. We realized a weighted average natural gas price of $9.22 per Mcf ($7.55 per Mcf including realized losses from natural gas derivatives) for our natural gas production (including revenues attributable to NGLs) for the three months ended September 30, 2022, as compared to $6.27 per Mcf ($6.05 per Mcf including realized losses from natural gas derivatives) for our natural gas production (including revenues attributable to NGLs) for the three months ended September 30, 2021. Certain volumes of our natural gas production are sold at prices established at the beginning of each month by the various markets where we sell our natural gas production, and certain volumes of our natural gas production are sold at daily market prices. NGL prices declined in the third quarter of 2022, which further contributed to our lower third quarter weighted average realized natural gas price. At October 25, 2022, the NYMEX Henry Hub natural gas futures contract price for the earliest delivery date had decreased from the average price for the third quarter of 2022 of $7.95 per MMBtu, settling at $5.61 per MMBtu, which was a decrease as compared to $5.90 per MMBtu at October 25, 2021.</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2022, we incurred realized losses on our oil derivative contracts of approximately $67.2 million, primarily as a result of oil prices that were above the ceiling prices of certain of our oil costless collar contracts and above the strike price of certain of our oil basis swap contracts. We also incurred losses on our natural gas derivative contracts of approximately $72.7 million during the first nine months of 2022 as a result of natural gas prices that were above the ceiling prices of certain of our natural gas costless collar contracts. At October 25, 2022, we have derivative contracts in place for approximately 2.7 million Bbl of our anticipated oil production for the fourth quarter of 2022, approximately 13.2 Bcf of our anticipated natural gas production for the fourth quarter of 2022 and 2.4 Bcf of our anticipated natural gas production for the first quarter of 2023.</w:t>
      </w:r>
    </w:p>
    <w:p>
      <w:pPr>
        <w:spacing w:after="0" w:line="8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September 30, 2022, most of our oil production from the Delaware Basin was sold based on prices established in Midland, Texas, and a significant portion of our natural gas production from the Delaware Basin was sold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Houston Ship Channel pricing, while the remainder of our Delaware Basin natural gas production was sold primarily based on prices established at the Waha hub in far West Texas.</w:t>
      </w:r>
    </w:p>
    <w:p>
      <w:pPr>
        <w:spacing w:after="0" w:line="5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October 25, 2022, this oil price differential was positive at approximately +$2.00 per Bbl. At October 25, 2022, we had derivative contracts in place to mitigate our exposure to this Midland-Cushing (Oklahoma) oil price differential on a portion of our anticipated full year 2022 oil production.</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early 2022, concerns about natural gas pipeline takeaway capacity out of the Delaware Basin, particularly beginning in the latter half of 2022 and into 2023, began to increase. As a result, the Waha basis differential began to widen, and, at October 25, 2022, this natural gas price differential was approximately ($2.40) per MMBtu. A significant portion of our Delaware Basin natural gas production, however, is sold at Houston Ship Channel pricing and is not exposed to Waha pricing. During 2021 and through the third quarter of 2022,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10% of our reported natural gas production for the nine months ended September 30, 2022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6"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At October 25, 2022,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 Should we experience future periods of negative pricing for natural gas as we have in October 2022 and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w:t>
      </w:r>
    </w:p>
    <w:p>
      <w:pPr>
        <w:spacing w:after="0" w:line="81"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As a result of the recent increases in oil and natural gas prices, we have begun to experience inflation in the costs of certain oilfield services, including diesel, steel, labor, trucking, sand, personnel and completion costs, among others. Should oil and natural gas prices remain at their current levels or increase further, we expect to be subject to additional service cost inflation in future periods, which may increase our costs to drill, complete, equip and operate wells. When we revised our D/C/E capital expenditure budget as of July 25, 2022, we budgeted a 20% increase in oilfield service costs, as compared to the fourth quarter of 2021. Should we experience service cost inflation above 20% during the remainder of 2022, we may be required to further increase our 2022 estimated capital expenditure budget. In addition, during the remainder of 2022, supply chain disruptions being experienced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spacing w:after="0" w:line="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should oil and natural gas prices remain at their current levels throughout the remainder of 2022, we expect to exhaust our federal or state net operating loss carryforwards and become subject to federal and state income taxes beginning in 2022. At October 25, 2022, given our current projections, we expect to pay federal income taxes and state income taxes in New Mexico beginning in 2022, as reflected by our current income tax provision of $51.9 million for the nine months ended September 30, 2022.</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implemented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at September 30, 2022.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or the social cost of carbon litigation will require additional processes and approvals or may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 —Risks Related to Laws and Regulations” in the Annual Report.</w:t>
      </w:r>
    </w:p>
    <w:p>
      <w:pPr>
        <w:spacing w:after="0" w:line="8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8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2021, which are disclosed in Part II, Item 7A of the Annual Report and incorporated herein by reference.</w:t>
      </w:r>
    </w:p>
    <w:p>
      <w:pPr>
        <w:spacing w:after="0" w:line="52" w:lineRule="exact"/>
        <w:rPr>
          <w:sz w:val="20"/>
          <w:szCs w:val="20"/>
          <w:color w:val="auto"/>
        </w:rPr>
      </w:pPr>
    </w:p>
    <w:p>
      <w:pPr>
        <w:jc w:val="both"/>
        <w:ind w:right="2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8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September 30, 2022, The Bank of Nova Scotia, BMO Harris Financing (Bank of Montreal), PNC Bank, Royal Bank of Canada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Principal Financial Officer. Based on that evaluation, our Chief Executive Officer and our Principal Financial Officer concluded that the Company’s disclosure controls and procedures were effective as of September 30, 2022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Principal Financial Officer,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during the three months ended September 30, 2022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on our legal proceeding with the Environmental Protection Agency and the New Mexico Environment Department, see “Item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 in the Annual Report. There have been no material changes regarding such legal proceeding since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subject to various risks and uncertainties in the course of our business. For a discussion of such risks and uncertainties, please see “Item 1A.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 There have been no material changes to the risk factors we have disclosed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2022, the Company re-acquired shares of common stock from certain employees in order to satisfy the employees’ tax liability in connection with the vesting of restricted stock.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July 1, 2022 to July 31, 2022</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August 1, 2022 to August 31, 2022</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September 1, 2022 to September 30, 2022</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0" w:type="dxa"/>
            <w:vAlign w:val="bottom"/>
          </w:tcPr>
          <w:p>
            <w:pPr>
              <w:spacing w:after="0"/>
              <w:rPr>
                <w:sz w:val="1"/>
                <w:szCs w:val="1"/>
                <w:color w:val="auto"/>
              </w:rPr>
            </w:pPr>
          </w:p>
        </w:tc>
      </w:tr>
      <w:tr>
        <w:trPr>
          <w:trHeight w:val="218"/>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8"/>
                <w:szCs w:val="18"/>
                <w:color w:val="auto"/>
              </w:rPr>
            </w:pPr>
          </w:p>
        </w:tc>
        <w:tc>
          <w:tcPr>
            <w:tcW w:w="184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19"/>
                <w:szCs w:val="19"/>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-333375</wp:posOffset>
            </wp:positionV>
            <wp:extent cx="683196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-633730</wp:posOffset>
            </wp:positionV>
            <wp:extent cx="683196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15430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680" w:space="720"/>
            <w:col w:w="6820"/>
          </w:cols>
          <w:pgMar w:left="320" w:top="121" w:right="359" w:bottom="1440" w:gutter="0" w:footer="0" w:header="0"/>
          <w:type w:val="continuous"/>
        </w:sectPr>
      </w:pPr>
    </w:p>
    <w:p>
      <w:pPr>
        <w:ind w:left="340" w:right="140" w:hanging="332"/>
        <w:spacing w:after="0" w:line="30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On October 28, 2022, we entered into an employment agreement (the “Employment Agreement”) with Michael D. Frenzel, who serves as our Executive Vice President and Treasurer and as our Principal Financial Officer.</w:t>
      </w:r>
    </w:p>
    <w:p>
      <w:pPr>
        <w:spacing w:after="0" w:line="54"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term of the Employment Agreement is 18 months, with an automatic extension of one additional month at the end of each month. The Employment Agreement includes payment of an annual base salary of $450,000, or such higher amount as may be established from time to time by the Company. In addition, Mr. Frenzel is eligible to participate in our annual cash incentive plan, with any awards under such plan subject to the discretion of the Board.</w:t>
      </w:r>
    </w:p>
    <w:p>
      <w:pPr>
        <w:spacing w:after="0" w:line="72"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Employment Agreement contains a non-disclosure of confidential information provision that requires him to maintain, both during and after employment, the confidentiality of information used by Mr. Frenzel in the performance of his job duties.</w:t>
      </w:r>
    </w:p>
    <w:p>
      <w:pPr>
        <w:spacing w:after="0" w:line="5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Additionally, the Employment Agreement contains a non-competition provision, pursuant to which Mr. Frenzel has agreed that: (i) for six months following termination by us for total disability, (ii) for 18 months following termination (a) by us for just cause, or (b) by Mr. Frenzel for any reason or (iii) for 24 months in connection with a change in control, Mr. Frenzel shall not, without the prior written consent of the Board, the Chairman of the Board or the Chief Executive Officer (which consent may be withheld in his or its sole discretion), directly or indirectly: (x) invest in (other than investments in publicly-owned companies which constitute not more than 1% of the voting securities of any such company) a competing business with significant assets in the restricted area (each as defined below), or (y) participate in a competing business as a manager, employee, director, officer, consultant, independent contractor or other capacity or otherwise provide, directly or indirectly, services or assistance to a competing business in a position that involves input into or direction of such competing business’s decisions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Employment Agreement:</w:t>
      </w:r>
    </w:p>
    <w:p>
      <w:pPr>
        <w:spacing w:after="0" w:line="117" w:lineRule="exact"/>
        <w:rPr>
          <w:sz w:val="20"/>
          <w:szCs w:val="20"/>
          <w:color w:val="auto"/>
        </w:rPr>
      </w:pPr>
    </w:p>
    <w:p>
      <w:pPr>
        <w:ind w:right="40" w:firstLine="453"/>
        <w:spacing w:after="0" w:line="266"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 means any person or entity engaged in (A) oil and natural gas exploration, development and production; (B) marketing and midstream operations, including natural gas processing, oil and natural gas transportation services, oil, natural gas and salt water gathering services and salt water disposal services, and/or (C) acquisition activities related to (A) and (B);</w:t>
      </w:r>
    </w:p>
    <w:p>
      <w:pPr>
        <w:spacing w:after="0" w:line="67" w:lineRule="exact"/>
        <w:rPr>
          <w:rFonts w:ascii="Times New Roman" w:cs="Times New Roman" w:eastAsia="Times New Roman" w:hAnsi="Times New Roman"/>
          <w:sz w:val="18"/>
          <w:szCs w:val="18"/>
          <w:color w:val="auto"/>
        </w:rPr>
      </w:pPr>
    </w:p>
    <w:p>
      <w:pPr>
        <w:ind w:right="640" w:firstLine="453"/>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assets” means (A) oil and natural gas reserves in excess of 10 million barrels of oil equivalent or (B) midstream assets with an aggregate fair market value of $25 million or more; and</w:t>
      </w:r>
    </w:p>
    <w:p>
      <w:pPr>
        <w:spacing w:after="0" w:line="53" w:lineRule="exact"/>
        <w:rPr>
          <w:rFonts w:ascii="Times New Roman" w:cs="Times New Roman" w:eastAsia="Times New Roman" w:hAnsi="Times New Roman"/>
          <w:sz w:val="18"/>
          <w:szCs w:val="18"/>
          <w:color w:val="auto"/>
        </w:rPr>
      </w:pPr>
    </w:p>
    <w:p>
      <w:pPr>
        <w:ind w:firstLine="453"/>
        <w:spacing w:after="0" w:line="261"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area” means Eddy and Lea Counties, New Mexico and Loving County, Texas (collectively, the “Named Counties”), plus any county or parish where the Company has significant assets as of the date of such officer’s termination of employment; provided, however, that the restricted area shall cease to include a particular Named County following a sale of all or substantially all of the assets held by the Company, together with its Subsidiaries, in such Named County.</w:t>
      </w:r>
    </w:p>
    <w:p>
      <w:pPr>
        <w:spacing w:after="0" w:line="7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Furthermore, the Employment Agreement contains a non-solicitation provision, pursuant to which, (i) for six months following termination by us for total disability, or (ii) for 24 months following termination (a) by us for just cause, (b) by Mr. Frenzel for any reason or (c) in connection with a change in control, subject to certain exceptions, such officer shall not, without the prior written consent of the Board, the Chairman of the Board or the Chief Executive Officer (which consent may be withheld in his or its sole discretion), solicit for employment or a contracting relationship, or employ or retain any person who is or has been, within six months prior to such time, employed by or engaged as an individual independent contractor by us or our affiliates or induce or attempt to induce any such person to leave his or her employment or independent contractor relationship with us or our affiliates.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under the Employment Agreement, if a termination of employment occurs pursuant to one of the following events:</w:t>
      </w:r>
    </w:p>
    <w:p>
      <w:pPr>
        <w:spacing w:after="0" w:line="117" w:lineRule="exact"/>
        <w:rPr>
          <w:sz w:val="20"/>
          <w:szCs w:val="20"/>
          <w:color w:val="auto"/>
        </w:rPr>
      </w:pPr>
    </w:p>
    <w:p>
      <w:pPr>
        <w:ind w:left="660" w:hanging="2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dies;</w:t>
      </w:r>
    </w:p>
    <w:p>
      <w:pPr>
        <w:spacing w:after="0" w:line="117"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 is totally disabled;</w:t>
      </w:r>
    </w:p>
    <w:p>
      <w:pPr>
        <w:spacing w:after="0" w:line="117"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mutually agree to end the employment agreement;</w:t>
      </w:r>
    </w:p>
    <w:p>
      <w:pPr>
        <w:spacing w:after="0" w:line="117"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dissolve or liquidate; or</w:t>
      </w:r>
    </w:p>
    <w:p>
      <w:pPr>
        <w:spacing w:after="0" w:line="117"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employment agreement ends,</w:t>
      </w:r>
    </w:p>
    <w:p>
      <w:pPr>
        <w:spacing w:after="0" w:line="117"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we will pay Mr. Frenzel the average of all bonuses paid to the officer with respect to the prior two years, pro-rated based on the number of complete or partial months completed during the year of termination.</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Also, under the Employment Agreement, if Mr. Frenzel’s employment is terminated by us without just cause (and other than in a change of control as described below), we will pay him an amount equal to one-half his then-current base salary plus one-half of the average of all bonuses paid to Mr. Frenzel with respect to the prior two years.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under the Employment Agreement, if the Mr. Frenzel’s employment is terminated in contemplation of or following a change of control</w:t>
      </w:r>
    </w:p>
    <w:p>
      <w:pPr>
        <w:spacing w:after="0" w:line="27" w:lineRule="exact"/>
        <w:rPr>
          <w:sz w:val="20"/>
          <w:szCs w:val="20"/>
          <w:color w:val="auto"/>
        </w:rPr>
      </w:pPr>
    </w:p>
    <w:p>
      <w:pPr>
        <w:ind w:right="340" w:firstLine="8"/>
        <w:spacing w:after="0" w:line="255"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just cause or (ii) by Mr. Frenzel with good reason, we will pay him an amount equal to two times his then-current base salary plus two times the average of all bonuses paid to Mr. Frenzel with respect to the prior two years. In addition, if Mr. Frenzel is terminated or terminates his employment as set forth above in connection with a change in control, all equity awards of such officer vest immediately prior to such termination.</w:t>
      </w:r>
    </w:p>
    <w:p>
      <w:pPr>
        <w:spacing w:after="0" w:line="78"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For definitions of “change in control,” “good reason” and “just cause,” please see the form of employment agreement, which is included as Exhibit 10.1 to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gridSpan w:val="1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00" w:type="dxa"/>
            <w:vAlign w:val="bottom"/>
            <w:tcBorders>
              <w:top w:val="single" w:sz="8" w:color="auto"/>
            </w:tcBorders>
            <w:gridSpan w:val="1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to the Quarterly Report on Form 10-Q for the quarter ended June 30, 2017).</w:t>
              </w:r>
            </w:hyperlink>
          </w:p>
        </w:tc>
        <w:tc>
          <w:tcPr>
            <w:tcW w:w="3360" w:type="dxa"/>
            <w:vAlign w:val="bottom"/>
            <w:tcBorders>
              <w:top w:val="single" w:sz="8" w:color="0000FF"/>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1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30, 2017).</w:t>
              </w:r>
            </w:hyperlink>
          </w:p>
        </w:tc>
        <w:tc>
          <w:tcPr>
            <w:tcW w:w="8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1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19"/>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ended June 30, 2017).</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1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the Current Report on Form 8-K filed on February 22, 2018).</w:t>
              </w:r>
            </w:hyperlink>
          </w:p>
        </w:tc>
        <w:tc>
          <w:tcPr>
            <w:tcW w:w="43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24"/>
                <w:szCs w:val="24"/>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of Employment Agreement between Matador Resources Company and each of Michael D. Frenzel, W. Thomas</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Elsener and Brian J. Willey (filed herewith).</w:t>
            </w:r>
          </w:p>
        </w:tc>
        <w:tc>
          <w:tcPr>
            <w:tcW w:w="526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List of Subsidiary Guarantors (filed herewith)</w:t>
            </w:r>
            <w:r>
              <w:rPr>
                <w:rFonts w:ascii="Times New Roman" w:cs="Times New Roman" w:eastAsia="Times New Roman" w:hAnsi="Times New Roman"/>
                <w:sz w:val="18"/>
                <w:szCs w:val="18"/>
                <w:u w:val="single" w:color="auto"/>
                <w:color w:val="0000FF"/>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 (filed herewith).</w:t>
            </w:r>
          </w:p>
        </w:tc>
        <w:tc>
          <w:tcPr>
            <w:tcW w:w="0" w:type="dxa"/>
            <w:vAlign w:val="bottom"/>
          </w:tcPr>
          <w:p>
            <w:pPr>
              <w:spacing w:after="0"/>
              <w:rPr>
                <w:sz w:val="1"/>
                <w:szCs w:val="1"/>
                <w:color w:val="auto"/>
              </w:rPr>
            </w:pPr>
          </w:p>
        </w:tc>
      </w:tr>
      <w:tr>
        <w:trPr>
          <w:trHeight w:val="26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 (filed herewith).</w:t>
            </w:r>
          </w:p>
        </w:tc>
        <w:tc>
          <w:tcPr>
            <w:tcW w:w="40" w:type="dxa"/>
            <w:vAlign w:val="bottom"/>
            <w:tcBorders>
              <w:top w:val="single" w:sz="8" w:color="0000FF"/>
            </w:tcBorders>
          </w:tcPr>
          <w:p>
            <w:pPr>
              <w:spacing w:after="0"/>
              <w:rPr>
                <w:sz w:val="22"/>
                <w:szCs w:val="22"/>
                <w:color w:val="auto"/>
              </w:rPr>
            </w:pPr>
          </w:p>
        </w:tc>
        <w:tc>
          <w:tcPr>
            <w:tcW w:w="2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512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00" w:right="379" w:hanging="582"/>
        <w:spacing w:after="0" w:line="217"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September 30, 2022,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5" w:lineRule="exact"/>
        <w:rPr>
          <w:sz w:val="20"/>
          <w:szCs w:val="20"/>
          <w:color w:val="auto"/>
        </w:rPr>
      </w:pPr>
    </w:p>
    <w:p>
      <w:pPr>
        <w:ind w:left="900" w:hanging="582"/>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38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1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15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234"/>
        </w:trPr>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Treasurer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31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effective as of the Effective Date (as defined below) by and between Matador Resources Company, a Texas corporation (“</w:t>
      </w:r>
      <w:r>
        <w:rPr>
          <w:rFonts w:ascii="Times New Roman" w:cs="Times New Roman" w:eastAsia="Times New Roman" w:hAnsi="Times New Roman"/>
          <w:sz w:val="22"/>
          <w:szCs w:val="22"/>
          <w:u w:val="single" w:color="auto"/>
          <w:color w:val="auto"/>
        </w:rPr>
        <w:t>Matador</w:t>
      </w:r>
      <w:r>
        <w:rPr>
          <w:rFonts w:ascii="Times New Roman" w:cs="Times New Roman" w:eastAsia="Times New Roman" w:hAnsi="Times New Roman"/>
          <w:sz w:val="22"/>
          <w:szCs w:val="22"/>
          <w:color w:val="auto"/>
        </w:rPr>
        <w:t>”), which is the holding company of MRC Energy Company (“</w:t>
      </w:r>
      <w:r>
        <w:rPr>
          <w:rFonts w:ascii="Times New Roman" w:cs="Times New Roman" w:eastAsia="Times New Roman" w:hAnsi="Times New Roman"/>
          <w:sz w:val="22"/>
          <w:szCs w:val="22"/>
          <w:u w:val="single" w:color="auto"/>
          <w:color w:val="auto"/>
        </w:rPr>
        <w:t>MRC</w:t>
      </w:r>
      <w:r>
        <w:rPr>
          <w:rFonts w:ascii="Times New Roman" w:cs="Times New Roman" w:eastAsia="Times New Roman" w:hAnsi="Times New Roman"/>
          <w:sz w:val="22"/>
          <w:szCs w:val="22"/>
          <w:color w:val="auto"/>
        </w:rPr>
        <w:t>”), acting through its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Michael D. Frenzel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For purposes of this Agreement, (i)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Matador and MRC, and (ii)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 or such other date as the Board and Employee may agree.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Company and Employee are parties to that certain employment agreement dated [•]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the Company and Employee desire to enter into this Agreement to supersede and replace the Prior Agreement and to set forth the terms and conditions of Employee’s continued employment with the Company;</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the parties hereto, in consideration of the mutual covenants and promises hereinafter contained, do hereby agree as follows:</w:t>
      </w:r>
    </w:p>
    <w:p>
      <w:pPr>
        <w:spacing w:after="0" w:line="177" w:lineRule="exact"/>
        <w:rPr>
          <w:sz w:val="20"/>
          <w:szCs w:val="20"/>
          <w:color w:val="auto"/>
        </w:rPr>
      </w:pPr>
    </w:p>
    <w:p>
      <w:pPr>
        <w:jc w:val="both"/>
        <w:ind w:firstLine="656"/>
        <w:spacing w:after="0" w:line="220"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Company hereby agrees to employ Employee in the capacity of Executive Vice President and Treasurer, or in such other position or positions of the same or greater stature as the Board may direct or desire, to the extent reasonably acceptable to Employee, and Employee hereby accepts such employment, on the terms and subject to the conditions set forth herein.</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Employee’s principal duties and responsibilities shall be to (a) manage, generally, [•], subject to the supervision of the Chairman of the Board, the Chief Executive Officer or any member of the Executive Committee of the Company, (b) carry out such other duties and responsibilities as may be more fully described in Matador’s Bylaws for his position, and such other duties consistent with his position and (c) carry out such other duties that are reasonably assigned to Employee from time to time by the Board, the Chairman of the Board, the Chief Executive Officer or any member of the Executive Committee of the Company. Employee agrees to perform such services and duties and hold such offices as may be reasonably assigned to him from time to time by the Board, the Chairman of the Board, the Chief Executive Officer or any member of the Executive Committee of the Company, consistent with his position, and to devote his full business time, energies and best efforts to the performance thereof to the exclusion of all other business activities, except (i) reasonable and normal work for his personal affairs and estate and any other activities to which Matador may consent, and (ii) services to charitable, civic and/or professional organizations, to the extent such services do not materially and adversely impact Employee’s service to the Company.</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Employee’s employment under this Agreement and shall commence on the Effective Date and expire at the end of eighteen (18) months from the Effective Date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subject to earlier termination as provided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shall be extended automatically at the end of each month by one additional month unless by such date Matador or Employee gives written notice to the other that the Term shall not be further extended. Such notice must indicate that it shall have the effect of preventing any further extension of the Term.</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and Other Compensation</w:t>
      </w:r>
      <w:r>
        <w:rPr>
          <w:rFonts w:ascii="Times New Roman" w:cs="Times New Roman" w:eastAsia="Times New Roman" w:hAnsi="Times New Roman"/>
          <w:sz w:val="22"/>
          <w:szCs w:val="22"/>
          <w:color w:val="auto"/>
        </w:rPr>
        <w:t>. As compensation for the services to be rendered by Employee to the Company pursuant to this Agreement, Employee shall be paid the following compensation and other benefits:</w:t>
      </w:r>
    </w:p>
    <w:p>
      <w:pPr>
        <w:sectPr>
          <w:pgSz w:w="11900" w:h="16838" w:orient="portrait"/>
          <w:cols w:equalWidth="0" w:num="1">
            <w:col w:w="11240"/>
          </w:cols>
          <w:pgMar w:left="320" w:top="104" w:right="339" w:bottom="1440" w:gutter="0" w:footer="0" w:header="0"/>
        </w:sectPr>
      </w:pPr>
    </w:p>
    <w:bookmarkStart w:id="50" w:name="page51"/>
    <w:bookmarkEnd w:id="50"/>
    <w:p>
      <w:pPr>
        <w:jc w:val="both"/>
        <w:ind w:left="980" w:firstLine="1296"/>
        <w:spacing w:after="0" w:line="220" w:lineRule="auto"/>
        <w:tabs>
          <w:tab w:leader="none" w:pos="259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Employee shall receive an annualized salary of $[•] per year, payable in installments in accordance with the Company’s then standard payroll practices, or such higher compensation as may be established by the Company from time to time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Should Employee become “</w:t>
      </w:r>
      <w:r>
        <w:rPr>
          <w:rFonts w:ascii="Times New Roman" w:cs="Times New Roman" w:eastAsia="Times New Roman" w:hAnsi="Times New Roman"/>
          <w:sz w:val="21"/>
          <w:szCs w:val="21"/>
          <w:u w:val="single" w:color="auto"/>
          <w:color w:val="auto"/>
        </w:rPr>
        <w:t>Partially Disabled</w:t>
      </w:r>
      <w:r>
        <w:rPr>
          <w:rFonts w:ascii="Times New Roman" w:cs="Times New Roman" w:eastAsia="Times New Roman" w:hAnsi="Times New Roman"/>
          <w:sz w:val="21"/>
          <w:szCs w:val="21"/>
          <w:color w:val="auto"/>
        </w:rPr>
        <w:t>,” which for purposes hereof means the inability because of any physical or mental illness lasting no more than 90 days to perform his assigned duties under this Agreement for no less than 20 hours per week (and including any period of short term total absence due to illness or injury, including recovery from surgery, but in no event lasting more than the 90-day period of Partial Disability), and if Employee, during any period of Partial Disability, receives any periodic payments representing lost compensation under any health and accident policy or under any salary continuation insurance policy, the premiums for which have been paid by the Company, the amount of Base Salary that Employee would be entitled to receive from the Company during the period of Partial Disability shall be decreased by the amounts of such payments. Notwithstanding the foregoing, should Employee become Totally Disabled, as defined in Section 12(b), during a period of Partial Disability, the provisions in Sections 12 and 14 with respect to Total Disability shall control.</w:t>
      </w:r>
    </w:p>
    <w:p>
      <w:pPr>
        <w:spacing w:after="0" w:line="151" w:lineRule="exact"/>
        <w:rPr>
          <w:rFonts w:ascii="Times New Roman" w:cs="Times New Roman" w:eastAsia="Times New Roman" w:hAnsi="Times New Roman"/>
          <w:sz w:val="21"/>
          <w:szCs w:val="21"/>
          <w:color w:val="auto"/>
        </w:rPr>
      </w:pPr>
    </w:p>
    <w:p>
      <w:pPr>
        <w:jc w:val="both"/>
        <w:ind w:left="980" w:firstLine="1296"/>
        <w:spacing w:after="0" w:line="217" w:lineRule="auto"/>
        <w:tabs>
          <w:tab w:leader="none" w:pos="259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Incentive Compensation</w:t>
      </w:r>
      <w:r>
        <w:rPr>
          <w:rFonts w:ascii="Times New Roman" w:cs="Times New Roman" w:eastAsia="Times New Roman" w:hAnsi="Times New Roman"/>
          <w:sz w:val="22"/>
          <w:szCs w:val="22"/>
          <w:color w:val="auto"/>
        </w:rPr>
        <w:t>. Employee shall be eligible to participate in the annual incentive plan for management maintained by Matador at a level to provide Employee with annual incentive compensation commensurate with Employee’s position and responsibilities, as determined by, and based on such performance objectives as established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or the Executive Committee of the Board (the “</w:t>
      </w:r>
      <w:r>
        <w:rPr>
          <w:rFonts w:ascii="Times New Roman" w:cs="Times New Roman" w:eastAsia="Times New Roman" w:hAnsi="Times New Roman"/>
          <w:sz w:val="22"/>
          <w:szCs w:val="22"/>
          <w:u w:val="single" w:color="auto"/>
          <w:color w:val="auto"/>
        </w:rPr>
        <w:t>Executive Committee</w:t>
      </w:r>
      <w:r>
        <w:rPr>
          <w:rFonts w:ascii="Times New Roman" w:cs="Times New Roman" w:eastAsia="Times New Roman" w:hAnsi="Times New Roman"/>
          <w:sz w:val="22"/>
          <w:szCs w:val="22"/>
          <w:color w:val="auto"/>
        </w:rPr>
        <w:t>”), and the Board, in their sole discretion.</w:t>
      </w:r>
    </w:p>
    <w:p>
      <w:pPr>
        <w:spacing w:after="0" w:line="152" w:lineRule="exact"/>
        <w:rPr>
          <w:rFonts w:ascii="Times New Roman" w:cs="Times New Roman" w:eastAsia="Times New Roman" w:hAnsi="Times New Roman"/>
          <w:sz w:val="22"/>
          <w:szCs w:val="22"/>
          <w:color w:val="auto"/>
        </w:rPr>
      </w:pPr>
    </w:p>
    <w:p>
      <w:pPr>
        <w:jc w:val="both"/>
        <w:ind w:left="980" w:firstLine="1296"/>
        <w:spacing w:after="0" w:line="220" w:lineRule="auto"/>
        <w:tabs>
          <w:tab w:leader="none" w:pos="266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xml:space="preserve"> Employee shall be entitled to participate in Matador’s 2019 Long-Term Incentive Plan, as amended from time to time, and such other equity incentive plan(s) as may exist in the future, with awards under any such plan(s) to be determined by the Compensation Committee, the Executive Committee or the Board, in their discretion.</w:t>
      </w:r>
    </w:p>
    <w:p>
      <w:pPr>
        <w:spacing w:after="0" w:line="152" w:lineRule="exact"/>
        <w:rPr>
          <w:sz w:val="20"/>
          <w:szCs w:val="20"/>
          <w:color w:val="auto"/>
        </w:rPr>
      </w:pPr>
    </w:p>
    <w:p>
      <w:pPr>
        <w:jc w:val="both"/>
        <w:ind w:left="980" w:firstLine="1296"/>
        <w:spacing w:after="0" w:line="217" w:lineRule="auto"/>
        <w:tabs>
          <w:tab w:leader="none" w:pos="259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Employee shall be eligible to participate, to the extent he may be eligible pursuant to the terms of any such plan, in any profit sharing, retirement, insurance or other employee benefit plan maintained by the Company for the benefit of officers and senior management of the Company, at the officer/senior management level. The Company reserves the right to modify, suspend or discontinue any and all of the employee benefit plans maintained by the Company at any time in accordance with the terms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Life Insurance</w:t>
      </w:r>
      <w:r>
        <w:rPr>
          <w:rFonts w:ascii="Times New Roman" w:cs="Times New Roman" w:eastAsia="Times New Roman" w:hAnsi="Times New Roman"/>
          <w:sz w:val="22"/>
          <w:szCs w:val="22"/>
          <w:color w:val="auto"/>
        </w:rPr>
        <w:t>. The Company, in its discretion, may apply for and procure in its own name and for its own benefit, life insurance on the life of Employee in any amount or amounts considered advisable by the Company, and Employee shall submit to any medical or other examination and execute and deliver any application or other instrument in writing, reasonably necessary to effectuate such insurance.</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or reimburse Employee, for the reasonable and necessary business expenses of Employee, to the extent incurred in accordance with all applicable expense reimbursement policies of the Company.</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 and Leave</w:t>
      </w:r>
      <w:r>
        <w:rPr>
          <w:rFonts w:ascii="Times New Roman" w:cs="Times New Roman" w:eastAsia="Times New Roman" w:hAnsi="Times New Roman"/>
          <w:sz w:val="22"/>
          <w:szCs w:val="22"/>
          <w:color w:val="auto"/>
        </w:rPr>
        <w:t>. Employee shall be entitled to four (4) weeks paid vacation per year, to be accrued and used in accordance with the Company’s vacation policy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51" w:name="page52"/>
    <w:bookmarkEnd w:id="51"/>
    <w:p>
      <w:pPr>
        <w:jc w:val="both"/>
        <w:ind w:firstLine="656"/>
        <w:spacing w:after="0" w:line="215" w:lineRule="auto"/>
        <w:tabs>
          <w:tab w:leader="none" w:pos="129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of Confidential Information</w:t>
      </w:r>
      <w:r>
        <w:rPr>
          <w:rFonts w:ascii="Times New Roman" w:cs="Times New Roman" w:eastAsia="Times New Roman" w:hAnsi="Times New Roman"/>
          <w:sz w:val="21"/>
          <w:szCs w:val="21"/>
          <w:color w:val="auto"/>
        </w:rPr>
        <w:t>. The Company shall provide Employee Confidential Information, which Employee may use in the performance of his job duties with the Company.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whether electronic, oral or in written form, includes without limitation: all geological and geophysical reports and related data such as maps, charts, logs, seismographs, seismic records and other reports and related data, calculations, summaries, memoranda and opinions relating to the foregoing, production records, electric logs, core data, pressure data, lease files, well files and records, land files, abstracts, title opinions, title or curative matters, contract files, notes, records, drawings, manuals, correspondence, financial and accounting information, customer lists, statistical data and compilations, patents, copyrights, trademarks, trade names, inventions, formulae, methods, processes, agreements, contracts, manuals or any documents relating to the business of the Company and information or data regarding the Company’s systems, operations, business, finances, prospects, properties or prospective properties;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Confidential Information shall not include any information that is or becomes publicly available, or is otherwise generally known in the Company’s industry, other than as a result of any disclosure by Employee that is inconsistent with his duties pursuant to this Agreement. As a material inducement to the Company to enter into this Agreement and to pay to Employee the compensation stated in Section 4, Employee covenants and agrees that he shall not, at any time during or following the Term, directly or indirectly divulge or disclose for any purpose whatsoever, other than as may be required by law, any Confidential Information that has been obtained by, or disclosed to, him as a result of his employment by the Company, or use such Confidential Information for any reason other than to perform his duties pursuant to this Agreement. Notwithstanding any other provision in this Agreement, Employee will not be held criminally or civilly liable under any federal or state trade secret law for any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7" w:lineRule="exact"/>
        <w:rPr>
          <w:rFonts w:ascii="Times New Roman" w:cs="Times New Roman" w:eastAsia="Times New Roman" w:hAnsi="Times New Roman"/>
          <w:sz w:val="21"/>
          <w:szCs w:val="21"/>
          <w:color w:val="auto"/>
        </w:rPr>
      </w:pPr>
    </w:p>
    <w:p>
      <w:pPr>
        <w:jc w:val="both"/>
        <w:ind w:firstLine="8"/>
        <w:spacing w:after="0" w:line="214" w:lineRule="auto"/>
        <w:tabs>
          <w:tab w:leader="none" w:pos="31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that is filed under seal in a lawsuit or other proceeding. If Employee files a lawsuit for retaliation by the Company for reporting a suspected violation of law, Employee may disclose the Company’s trade secrets to Employee’s attorney and use the trade secret information in the court proceeding if Employee files any document containing the trade secret under seal and does not disclose the trade secret, except pursuant to court order.</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9" w:lineRule="auto"/>
        <w:tabs>
          <w:tab w:leader="none" w:pos="2286"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and agrees that the Confidential Information the Company has previously provided and will continue to provide to Employee will enable Employee to injure the Company if Employee should compete with the Company. Therefore, Employee hereby agrees that during Employee’s employment with the Company and (i) if the Company terminates Employee’s employment for Total Disability, then for a period of six (6) months thereafter, (ii) if the Company terminates Employee’s employment for Just Cause or Employee terminates his employment during the Term for any reason, then for a period of eighteen (18) months thereafter, or (iii) Employee is entitled to severance pay pursuant to Section 14(b) or Section 14(c), then for a period of twenty-four (24) months thereafter, Employee shall not, without the prior written consent of the Board, the Chairman of the Board or the Chief Executive Officer (which consent may be withheld in his or its sole discretion), directly or indirectly: (a) invest in (other than investments in publicly-owned companies which constitute not more than 1% of the voting securities of any such company) a Competing Business with Significant Assets in the Restricted Area (each as defined below), or (b) participate, directly or indirectly, in the operations of a Competing Business in the Restricted Area as a manager, employee, director, officer, consultant, independent contractor, or in any other capacity or otherwise provide, directly or indirectly, services or assistance to a Competing Business in a position that involves input into or direction of the Competing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52" w:name="page53"/>
    <w:bookmarkEnd w:id="52"/>
    <w:p>
      <w:pPr>
        <w:jc w:val="both"/>
        <w:ind w:left="4"/>
        <w:spacing w:after="0" w:line="220" w:lineRule="auto"/>
        <w:rPr>
          <w:sz w:val="20"/>
          <w:szCs w:val="20"/>
          <w:color w:val="auto"/>
        </w:rPr>
      </w:pPr>
      <w:r>
        <w:rPr>
          <w:rFonts w:ascii="Times New Roman" w:cs="Times New Roman" w:eastAsia="Times New Roman" w:hAnsi="Times New Roman"/>
          <w:sz w:val="21"/>
          <w:szCs w:val="21"/>
          <w:color w:val="auto"/>
        </w:rPr>
        <w:t>Business’s decisions within the Restricted Area. “</w:t>
      </w:r>
      <w:r>
        <w:rPr>
          <w:rFonts w:ascii="Times New Roman" w:cs="Times New Roman" w:eastAsia="Times New Roman" w:hAnsi="Times New Roman"/>
          <w:sz w:val="21"/>
          <w:szCs w:val="21"/>
          <w:u w:val="single" w:color="auto"/>
          <w:color w:val="auto"/>
        </w:rPr>
        <w:t>Competing Business</w:t>
      </w:r>
      <w:r>
        <w:rPr>
          <w:rFonts w:ascii="Times New Roman" w:cs="Times New Roman" w:eastAsia="Times New Roman" w:hAnsi="Times New Roman"/>
          <w:sz w:val="21"/>
          <w:szCs w:val="21"/>
          <w:color w:val="auto"/>
        </w:rPr>
        <w:t>” means any person or entity engaged in (x) oil and natural gas exploration, development, production and acquisition activities; (y) marketing and midstream operations, including natural gas processing, oil and natural gas transportation services, oil, natural gas and salt water gathering services and salt water disposal services, and/or (z) acquisition activities related (x) and (y). “</w:t>
      </w:r>
      <w:r>
        <w:rPr>
          <w:rFonts w:ascii="Times New Roman" w:cs="Times New Roman" w:eastAsia="Times New Roman" w:hAnsi="Times New Roman"/>
          <w:sz w:val="21"/>
          <w:szCs w:val="21"/>
          <w:u w:val="single" w:color="auto"/>
          <w:color w:val="auto"/>
        </w:rPr>
        <w:t>Significant Assets</w:t>
      </w:r>
      <w:r>
        <w:rPr>
          <w:rFonts w:ascii="Times New Roman" w:cs="Times New Roman" w:eastAsia="Times New Roman" w:hAnsi="Times New Roman"/>
          <w:sz w:val="21"/>
          <w:szCs w:val="21"/>
          <w:color w:val="auto"/>
        </w:rPr>
        <w:t>” means</w:t>
      </w:r>
    </w:p>
    <w:p>
      <w:pPr>
        <w:spacing w:after="0" w:line="3" w:lineRule="exact"/>
        <w:rPr>
          <w:sz w:val="20"/>
          <w:szCs w:val="20"/>
          <w:color w:val="auto"/>
        </w:rPr>
      </w:pPr>
    </w:p>
    <w:p>
      <w:pPr>
        <w:jc w:val="both"/>
        <w:ind w:left="4" w:hanging="4"/>
        <w:spacing w:after="0" w:line="211" w:lineRule="auto"/>
        <w:tabs>
          <w:tab w:leader="none" w:pos="2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oil and natural gas reserves in excess of 10 million barrels of oil equivalent or (ii) midstream assets with an aggregate fair market value of $25 million or more. “</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means Eddy and Lea Counties, New Mexico and Loving County, Texas (collectively, the “</w:t>
      </w:r>
      <w:r>
        <w:rPr>
          <w:rFonts w:ascii="Times New Roman" w:cs="Times New Roman" w:eastAsia="Times New Roman" w:hAnsi="Times New Roman"/>
          <w:sz w:val="22"/>
          <w:szCs w:val="22"/>
          <w:u w:val="single" w:color="auto"/>
          <w:color w:val="auto"/>
        </w:rPr>
        <w:t>Named Counties</w:t>
      </w:r>
      <w:r>
        <w:rPr>
          <w:rFonts w:ascii="Times New Roman" w:cs="Times New Roman" w:eastAsia="Times New Roman" w:hAnsi="Times New Roman"/>
          <w:sz w:val="22"/>
          <w:szCs w:val="22"/>
          <w:color w:val="auto"/>
        </w:rPr>
        <w:t>”), plus any county or parish where the Company, together with its subsidiaries, has Significant Assets as of the date of Employee’s termination of service pursuant to this Agreement; provided, however, that the Restricted Area shall cease to include a particular Named County following a sale of all or substantially all of the assets held by the Company, together with its subsidiaries, in such Named County.</w:t>
      </w:r>
    </w:p>
    <w:p>
      <w:pPr>
        <w:spacing w:after="0" w:line="180"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88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Employee’s employment, and (i) if the Company terminates Employee’s employment for Total Disability, then for a period of six (6) months thereafter, or (ii) if the Company terminates Employee’s employment for Just Cause, Employee terminates his employment during the Term for any reason or Employee is entitled to severance pay pursuant to Section 14(b) or Section 14(c), then for a period of twenty-four (24) months thereafter, Employee agrees on his own behalf and on behalf of his affiliates that, without the prior written consent of the Board, the Chairman of the Board or the Chief Executive Officer (which consent may be withheld in his or its sole discretion), he shall not, directly or indirectly, (i) solicit for employment or a contracting relationship, or employ or retain any person who is or has been, within six months prior to such time, employed by or engaged as an individual independent contractor to the Company or its affiliates or (ii) induce or attempt to induce any such person to leave his or her employment or independent contractor relationship with the Company or its affiliates. The Company agrees that the foregoing restriction is not intended to apply generally to companies providing services to the Company, such as rig and oilfield services providers, or lenders.</w:t>
      </w:r>
    </w:p>
    <w:p>
      <w:pPr>
        <w:spacing w:after="0" w:line="184" w:lineRule="exact"/>
        <w:rPr>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w:t>
      </w:r>
    </w:p>
    <w:p>
      <w:pPr>
        <w:spacing w:after="0" w:line="179" w:lineRule="exact"/>
        <w:rPr>
          <w:rFonts w:ascii="Times New Roman" w:cs="Times New Roman" w:eastAsia="Times New Roman" w:hAnsi="Times New Roman"/>
          <w:sz w:val="22"/>
          <w:szCs w:val="22"/>
          <w:color w:val="auto"/>
        </w:rPr>
      </w:pPr>
    </w:p>
    <w:p>
      <w:pPr>
        <w:jc w:val="both"/>
        <w:ind w:left="324" w:firstLine="1296"/>
        <w:spacing w:after="0" w:line="220"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carefully read and considered the provisions of Sections 8 and 9, and, having done so, agrees that the restrictions set forth in those Sections are fair and reasonable and are reasonably required for the protection of the interests of the Company and its parent or subsidiary corporations, officers, directors, and shareholders.</w:t>
      </w:r>
    </w:p>
    <w:p>
      <w:pPr>
        <w:spacing w:after="0" w:line="152" w:lineRule="exact"/>
        <w:rPr>
          <w:rFonts w:ascii="Times New Roman" w:cs="Times New Roman" w:eastAsia="Times New Roman" w:hAnsi="Times New Roman"/>
          <w:sz w:val="22"/>
          <w:szCs w:val="22"/>
          <w:color w:val="auto"/>
        </w:rPr>
      </w:pPr>
    </w:p>
    <w:p>
      <w:pPr>
        <w:jc w:val="both"/>
        <w:ind w:left="324" w:firstLine="1296"/>
        <w:spacing w:after="0" w:line="213"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notwithstanding the foregoing, any of the provisions of Sections 8 or 9 shall be held to be invalid or unenforceable, the remaining provisions thereof shall nevertheless continue to be valid and enforceable as though the invalid or unenforceable parts had not been included therein. In the event that any provision of Sections 8 or 9 shall be declared by a court of competent jurisdiction to exceed the maximum restrictiveness such court deems reasonable and enforceable, the time period, the areas of restriction and/or related aspects deemed reasonable and enforceable by the court shall become and thereafter be the maximum restriction in such regard, and the restriction shall remain enforceable to the fullest extent deemed reasonable by such court.</w:t>
      </w:r>
    </w:p>
    <w:p>
      <w:pPr>
        <w:spacing w:after="0" w:line="156" w:lineRule="exact"/>
        <w:rPr>
          <w:rFonts w:ascii="Times New Roman" w:cs="Times New Roman" w:eastAsia="Times New Roman" w:hAnsi="Times New Roman"/>
          <w:sz w:val="22"/>
          <w:szCs w:val="22"/>
          <w:color w:val="auto"/>
        </w:rPr>
      </w:pPr>
    </w:p>
    <w:p>
      <w:pPr>
        <w:ind w:left="324" w:firstLine="1296"/>
        <w:spacing w:after="0" w:line="236"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8 and 9 shall survive the termination of this Agreement. If Employee is found by a court of competent jurisdiction or arbitrator to have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976" w:top="1395" w:right="339" w:bottom="1440" w:gutter="0" w:footer="0" w:header="0"/>
        </w:sectPr>
      </w:pPr>
    </w:p>
    <w:bookmarkStart w:id="53" w:name="page54"/>
    <w:bookmarkEnd w:id="53"/>
    <w:p>
      <w:pPr>
        <w:ind w:left="980"/>
        <w:spacing w:after="0" w:line="255" w:lineRule="auto"/>
        <w:rPr>
          <w:sz w:val="20"/>
          <w:szCs w:val="20"/>
          <w:color w:val="auto"/>
        </w:rPr>
      </w:pPr>
      <w:r>
        <w:rPr>
          <w:rFonts w:ascii="Times New Roman" w:cs="Times New Roman" w:eastAsia="Times New Roman" w:hAnsi="Times New Roman"/>
          <w:sz w:val="21"/>
          <w:szCs w:val="21"/>
          <w:color w:val="auto"/>
        </w:rPr>
        <w:t>materially violated any of the restrictions contained in Section 9, the restrictive period will be suspended and will not run in favor of Employee during such period that Employee shall have been found to be in material violation thereof.</w:t>
      </w:r>
    </w:p>
    <w:p>
      <w:pPr>
        <w:spacing w:after="0" w:line="135" w:lineRule="exact"/>
        <w:rPr>
          <w:sz w:val="20"/>
          <w:szCs w:val="20"/>
          <w:color w:val="auto"/>
        </w:rPr>
      </w:pPr>
    </w:p>
    <w:p>
      <w:pPr>
        <w:jc w:val="both"/>
        <w:ind w:right="20" w:firstLine="656"/>
        <w:spacing w:after="0" w:line="220" w:lineRule="auto"/>
        <w:tabs>
          <w:tab w:leader="none" w:pos="12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 of Employee’s Covenants of Non-Disclosure, Non-Competition and Non-Solicitation</w:t>
      </w:r>
      <w:r>
        <w:rPr>
          <w:rFonts w:ascii="Times New Roman" w:cs="Times New Roman" w:eastAsia="Times New Roman" w:hAnsi="Times New Roman"/>
          <w:sz w:val="22"/>
          <w:szCs w:val="22"/>
          <w:color w:val="auto"/>
        </w:rPr>
        <w:t>. In the event of a breach or threatened breach of any of the covenants in Sections 8 or 9, then the Company shall be entitled to seek a temporary restraining order and injunctive relief restraining Employee from the commission or continued commission of any breach.</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Employment of Employee under this Agreement may be terminated:</w:t>
      </w:r>
    </w:p>
    <w:p>
      <w:pPr>
        <w:spacing w:after="0" w:line="17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Employee’s death.</w:t>
      </w:r>
    </w:p>
    <w:p>
      <w:pPr>
        <w:spacing w:after="0" w:line="179" w:lineRule="exact"/>
        <w:rPr>
          <w:rFonts w:ascii="Times New Roman" w:cs="Times New Roman" w:eastAsia="Times New Roman" w:hAnsi="Times New Roman"/>
          <w:sz w:val="22"/>
          <w:szCs w:val="22"/>
          <w:color w:val="auto"/>
        </w:rPr>
      </w:pPr>
    </w:p>
    <w:p>
      <w:pPr>
        <w:jc w:val="both"/>
        <w:ind w:left="980" w:firstLine="1296"/>
        <w:spacing w:after="0" w:line="220" w:lineRule="auto"/>
        <w:tabs>
          <w:tab w:leader="none" w:pos="259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is Totally Disabled. For the purposes of this Agreement, Employee is totally disabled if he is “</w:t>
      </w:r>
      <w:r>
        <w:rPr>
          <w:rFonts w:ascii="Times New Roman" w:cs="Times New Roman" w:eastAsia="Times New Roman" w:hAnsi="Times New Roman"/>
          <w:sz w:val="22"/>
          <w:szCs w:val="22"/>
          <w:u w:val="single" w:color="auto"/>
          <w:color w:val="auto"/>
        </w:rPr>
        <w:t>Totally Disabled</w:t>
      </w:r>
      <w:r>
        <w:rPr>
          <w:rFonts w:ascii="Times New Roman" w:cs="Times New Roman" w:eastAsia="Times New Roman" w:hAnsi="Times New Roman"/>
          <w:sz w:val="22"/>
          <w:szCs w:val="22"/>
          <w:color w:val="auto"/>
        </w:rPr>
        <w:t>” as defined in and for the period necessary to qualify for benefits under any disability income insurance policy and any replacement policy or policies covering Employee and Employee has been declared to be Totally Disabled by the insurer.</w:t>
      </w:r>
    </w:p>
    <w:p>
      <w:pPr>
        <w:spacing w:after="0" w:line="152"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agreement of Employee and the Company.</w:t>
      </w:r>
    </w:p>
    <w:p>
      <w:pPr>
        <w:spacing w:after="0" w:line="179" w:lineRule="exact"/>
        <w:rPr>
          <w:rFonts w:ascii="Times New Roman" w:cs="Times New Roman" w:eastAsia="Times New Roman" w:hAnsi="Times New Roman"/>
          <w:sz w:val="22"/>
          <w:szCs w:val="22"/>
          <w:color w:val="auto"/>
        </w:rPr>
      </w:pPr>
    </w:p>
    <w:p>
      <w:pPr>
        <w:jc w:val="both"/>
        <w:ind w:left="980" w:firstLine="1296"/>
        <w:spacing w:after="0" w:line="255" w:lineRule="auto"/>
        <w:tabs>
          <w:tab w:leader="none" w:pos="259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dissolution and liquidation of Matador (other than as part of a reorganization, merger, consolidation or sale of all or substantially all of the assets of Matador whereby the business of Matador is continued).</w:t>
      </w:r>
    </w:p>
    <w:p>
      <w:pPr>
        <w:spacing w:after="0" w:line="134" w:lineRule="exact"/>
        <w:rPr>
          <w:rFonts w:ascii="Times New Roman" w:cs="Times New Roman" w:eastAsia="Times New Roman" w:hAnsi="Times New Roman"/>
          <w:sz w:val="21"/>
          <w:szCs w:val="21"/>
          <w:color w:val="auto"/>
        </w:rPr>
      </w:pPr>
    </w:p>
    <w:p>
      <w:pPr>
        <w:jc w:val="both"/>
        <w:ind w:left="980" w:firstLine="1296"/>
        <w:spacing w:after="0" w:line="218" w:lineRule="auto"/>
        <w:tabs>
          <w:tab w:leader="none" w:pos="259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Company for Just Cause at any time in accordance with Section 13. For purposes of this Agreement, “</w:t>
      </w:r>
      <w:r>
        <w:rPr>
          <w:rFonts w:ascii="Times New Roman" w:cs="Times New Roman" w:eastAsia="Times New Roman" w:hAnsi="Times New Roman"/>
          <w:sz w:val="21"/>
          <w:szCs w:val="21"/>
          <w:u w:val="single" w:color="auto"/>
          <w:color w:val="auto"/>
        </w:rPr>
        <w:t>Just Cause</w:t>
      </w:r>
      <w:r>
        <w:rPr>
          <w:rFonts w:ascii="Times New Roman" w:cs="Times New Roman" w:eastAsia="Times New Roman" w:hAnsi="Times New Roman"/>
          <w:sz w:val="21"/>
          <w:szCs w:val="21"/>
          <w:color w:val="auto"/>
        </w:rPr>
        <w:t xml:space="preserve">” shall mean only the following: (i) Employee’s continued and material failure to perform the duties of his employment consistent with Employee’s position, except as a result of being Partially Disabled (during any period of Partial Disability) or Totally Disabled, (ii) Employee’s failure to perform his material obligations under this Agreement, except as a result of being Partially Disabled (during any period of Partial Disability) or Totally Disabled, or a material breach by the Employee of the Company’s written policies concerning discrimination, harassment, conflicts of interest or securities trading, (iii) Employee’s insubordination, lack of cooperation, conduct detrimental to the Company or refusal or failure to follow lawful directives of the Board, the Chairman of the Board and/or Chief Executive Officer, except as a result of being Partially Disabled (during any period of Partial Disability) or Totally Disabled, (iv) Employee’s commission of an act of fraud, theft, embezzlement or violation of an applicable regulation or law involving financial impropriety, (v) Employee’s indictment for or conviction of a felony or other crime involving moral turpitude, or (vi) Employee’s breach of fiduciary duty;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Employee shall have thirty (30) days after written notice from the Board (or Compensation Committee or Executive Committee) to remedy any actions alleged under subsections (i) or (ii) in the manner reasonably specified by the Board (or Compensation Committee or Executive Committee), unless the Board (or Compensation Committee or Executive Committee), in its sole and reasonable discretion, determines that such alleged actions cannot be remedied within such thirty (30) day period. For the avoidance of doubt, the parties acknowledge and agree that a termination by the Company for Just Cause shall have priority over the other provisions of this Section 12, and the Company shall have the right, to the extent raised by the Company within twelve (12) months following Employee’s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54" w:name="page55"/>
    <w:bookmarkEnd w:id="54"/>
    <w:p>
      <w:pPr>
        <w:jc w:val="both"/>
        <w:ind w:left="980"/>
        <w:spacing w:after="0" w:line="217" w:lineRule="auto"/>
        <w:rPr>
          <w:sz w:val="20"/>
          <w:szCs w:val="20"/>
          <w:color w:val="auto"/>
        </w:rPr>
      </w:pPr>
      <w:r>
        <w:rPr>
          <w:rFonts w:ascii="Times New Roman" w:cs="Times New Roman" w:eastAsia="Times New Roman" w:hAnsi="Times New Roman"/>
          <w:sz w:val="22"/>
          <w:szCs w:val="22"/>
          <w:color w:val="auto"/>
        </w:rPr>
        <w:t xml:space="preserve">termination, to “claw back” any benefits paid to Employee based on a termination pursuant to any other provision of this Section 12, in the event that the Company subsequently discovers the existence of facts or circumstances that would have been grounds for Employee’s termination for Just Cause;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modify in any way Employee’s rights to dispute any termination for Just Cause, or to have any such dispute resolved by mediation or arbitration, as provided herein.</w:t>
      </w:r>
    </w:p>
    <w:p>
      <w:pPr>
        <w:spacing w:after="0" w:line="152" w:lineRule="exact"/>
        <w:rPr>
          <w:sz w:val="20"/>
          <w:szCs w:val="20"/>
          <w:color w:val="auto"/>
        </w:rPr>
      </w:pPr>
    </w:p>
    <w:p>
      <w:pPr>
        <w:ind w:left="2600" w:hanging="324"/>
        <w:spacing w:after="0"/>
        <w:tabs>
          <w:tab w:leader="none" w:pos="26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Term.</w:t>
      </w:r>
    </w:p>
    <w:p>
      <w:pPr>
        <w:spacing w:after="0" w:line="17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980" w:firstLine="1296"/>
        <w:spacing w:after="0" w:line="236" w:lineRule="auto"/>
        <w:tabs>
          <w:tab w:leader="none" w:pos="259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Employee for any reason. This Agreement and Employee’s employment with the Company may be terminated at any time, at the election of Employee.</w:t>
      </w:r>
    </w:p>
    <w:p>
      <w:pPr>
        <w:spacing w:after="0" w:line="150" w:lineRule="exact"/>
        <w:rPr>
          <w:rFonts w:ascii="Times New Roman" w:cs="Times New Roman" w:eastAsia="Times New Roman" w:hAnsi="Times New Roman"/>
          <w:sz w:val="22"/>
          <w:szCs w:val="22"/>
          <w:color w:val="auto"/>
        </w:rPr>
      </w:pPr>
    </w:p>
    <w:p>
      <w:pPr>
        <w:jc w:val="both"/>
        <w:ind w:left="980" w:firstLine="1296"/>
        <w:spacing w:after="0" w:line="226" w:lineRule="auto"/>
        <w:tabs>
          <w:tab w:leader="none" w:pos="2588"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 Change in Control, provided (i) Employee is terminated by the Company without Just Cause, or (ii) Employee terminates his employment with Good Reason, in either case within 30 days prior to or twelve (12) months following the Change in Control. As used in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following a Change of Control, (i) the assignment to Employee of duties inconsistent with the title of Executive Vice President and Treasurer or his then-current office, or a material diminution in Employee’s then current authority, duties or responsibilities; (ii) a diminution of Employee’s then current Base Salary or other action or inaction that constitutes a material breach of this Agreement by the Company; or (iii) the relocation of Matador’s principal executive offices to a location more than thirty (30) miles from Matador’s current principal executive offices or the transfer of Employee to a place other than Matador’s principal executive offices (excepting required travel on the Company’s business). Within thirty (30) days from the date Employee knows of the actions constituting Good Reason as defined in this Section 12(g), Employee shall give the Company written notice thereof, and provide the Company with a reasonable period of time, in no event exceeding thirty (30) days, after receipt of such notice to remedy the alleged actions constituting Good Reason;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not be entitled to notice of, and the opportunity to remedy, the recurrence of any alleged actions (or substantially similar actions) constituting Good Reason in the event that Employee has previously provided notice of such prior alleged actions (or substantially similar actions) to the Company and provided the Company an opportunity to cure such prior actions (or substantially similar actions). In the event the Company does not cure the alleged actions, if Employee does not terminate this Agreement and his employment within sixty (60) days following the last day of the Company’s cure period, Employee shall not be entitled to terminate his employment for Good Reason based upon the occurrence of such 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recurrence of such actions (or substantially similar actions) may constitute Good Reason. Any corrective measures undertaken by the Company are solely within its discretion and do not concede or indicate agreement that the actions described in Employee’s written notice constitute Good Reason within the meaning of this Section 12(g). As used in this Section 12(i) and Section 14, the term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has the meaning assigned to such term in the Company’s 2019 Long-Term Incentive Plan or any successor plan.</w:t>
      </w:r>
    </w:p>
    <w:p>
      <w:pPr>
        <w:spacing w:after="0" w:line="169"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Termination/Date of Termination</w:t>
      </w:r>
      <w:r>
        <w:rPr>
          <w:rFonts w:ascii="Times New Roman" w:cs="Times New Roman" w:eastAsia="Times New Roman" w:hAnsi="Times New Roman"/>
          <w:sz w:val="22"/>
          <w:szCs w:val="22"/>
          <w:color w:val="auto"/>
        </w:rPr>
        <w:t>. The termination of Employee’s employment by the Company for Just Cause or by Employee for any reason shall be accompanied by written notice of the reason for such termination. Such notice shall indicate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20" w:lineRule="auto"/>
        <w:rPr>
          <w:sz w:val="20"/>
          <w:szCs w:val="20"/>
          <w:color w:val="auto"/>
        </w:rPr>
      </w:pPr>
      <w:r>
        <w:rPr>
          <w:rFonts w:ascii="Times New Roman" w:cs="Times New Roman" w:eastAsia="Times New Roman" w:hAnsi="Times New Roman"/>
          <w:sz w:val="22"/>
          <w:szCs w:val="22"/>
          <w:color w:val="auto"/>
        </w:rPr>
        <w:t>specific termination provision in this Agreement which is relied upon, describe the basis for such termination, if any, and the Date of Termination. If Employee’s employment is terminated by Employee for any reason, the Date of Termination shall be not less than thirty (30) days following such written notice. As used in this Agreement,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as defined in Section 16 hereof.</w:t>
      </w:r>
    </w:p>
    <w:p>
      <w:pPr>
        <w:spacing w:after="0" w:line="152" w:lineRule="exact"/>
        <w:rPr>
          <w:sz w:val="20"/>
          <w:szCs w:val="20"/>
          <w:color w:val="auto"/>
        </w:rPr>
      </w:pPr>
    </w:p>
    <w:p>
      <w:pPr>
        <w:ind w:firstLine="656"/>
        <w:spacing w:after="0" w:line="236"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With Respect to Termination; Vesting of Equity Incentive Awards</w:t>
      </w:r>
      <w:r>
        <w:rPr>
          <w:rFonts w:ascii="Times New Roman" w:cs="Times New Roman" w:eastAsia="Times New Roman" w:hAnsi="Times New Roman"/>
          <w:sz w:val="22"/>
          <w:szCs w:val="22"/>
          <w:color w:val="auto"/>
        </w:rPr>
        <w:t>. Payments to Employee upon termination shall be limited to the following:</w:t>
      </w:r>
    </w:p>
    <w:p>
      <w:pPr>
        <w:spacing w:after="0" w:line="150" w:lineRule="exact"/>
        <w:rPr>
          <w:rFonts w:ascii="Times New Roman" w:cs="Times New Roman" w:eastAsia="Times New Roman" w:hAnsi="Times New Roman"/>
          <w:sz w:val="22"/>
          <w:szCs w:val="22"/>
          <w:color w:val="auto"/>
        </w:rPr>
      </w:pPr>
    </w:p>
    <w:p>
      <w:pPr>
        <w:jc w:val="both"/>
        <w:ind w:left="980" w:firstLine="1296"/>
        <w:spacing w:after="0" w:line="205" w:lineRule="auto"/>
        <w:tabs>
          <w:tab w:leader="none" w:pos="259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is terminated by the Company upon death pursuant to Section 12(a), Total Disability pursuant to Section 12(b), mutual agreement pursuant to Section 12(c), dissolution and liquidation pursuant to Section 12(d), for Just Cause pursuant to Section 12(e), at the end of the Term pursuant to Section 12(e), or by Employee for any reason pursuant to Section 12(h), Employee shall be entitled to all arrearages of Base Salary, accrued but unused vacation and unreimbursed expenses as of the Date of Termination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payable in accordance with the Company’s customary payroll practices, plus (unless Employee’s employment is terminated by the Company for Just Cause or by Employee for any reason) an amount equal to the average annual amount of all bonuses paid to Employee with respect to the prior two (2) calendar years, pro-rated based on the number of complete or partial months of Employee’s employment during the calendar year in which his employment terminates payable in a lump sum, subject to Section 16(b),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 but shall not be entitled to further compensation.</w:t>
      </w:r>
    </w:p>
    <w:p>
      <w:pPr>
        <w:spacing w:after="0" w:line="156" w:lineRule="exact"/>
        <w:rPr>
          <w:rFonts w:ascii="Times New Roman" w:cs="Times New Roman" w:eastAsia="Times New Roman" w:hAnsi="Times New Roman"/>
          <w:sz w:val="22"/>
          <w:szCs w:val="22"/>
          <w:color w:val="auto"/>
        </w:rPr>
      </w:pPr>
    </w:p>
    <w:p>
      <w:pPr>
        <w:jc w:val="both"/>
        <w:ind w:left="980" w:firstLine="1296"/>
        <w:spacing w:after="0" w:line="205" w:lineRule="auto"/>
        <w:tabs>
          <w:tab w:leader="none" w:pos="26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Employee’s employment is terminated by the Company without Just Cause and other than as described in Section 14(c),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one-half of his then-current Base Salary as of the Date of Termination, plus an amount equal to one-half of the average annual amount of all bonuses paid to Employee with respect to the prior two (2) calendar years, in a lump sum, subject to Section 16(b),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 Employee shall have no obligation to seek other employment, and any income so earned shall not reduce the foregoing amounts.</w:t>
      </w:r>
    </w:p>
    <w:p>
      <w:pPr>
        <w:spacing w:after="0" w:line="156" w:lineRule="exact"/>
        <w:rPr>
          <w:rFonts w:ascii="Times New Roman" w:cs="Times New Roman" w:eastAsia="Times New Roman" w:hAnsi="Times New Roman"/>
          <w:sz w:val="22"/>
          <w:szCs w:val="22"/>
          <w:color w:val="auto"/>
        </w:rPr>
      </w:pPr>
    </w:p>
    <w:p>
      <w:pPr>
        <w:jc w:val="both"/>
        <w:ind w:left="980" w:firstLine="1296"/>
        <w:spacing w:after="0" w:line="205" w:lineRule="auto"/>
        <w:tabs>
          <w:tab w:leader="none" w:pos="259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contemplation of or following a Change in Control pursuant to Section 12(i), Employee’s employment is terminated by the Company without Just Cause or is terminated by Employee with Good Reason,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two (2) times the then-current Base Salary as of the Date of Termination, plus two (2) times an amount equal to the average annual amount of all bonuses paid to Employee with respect to the prior two (2) calendar years, in a lump sum, subject to Section 16(b),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 Immediately prior to such termination of employment, all unvested equity incentive awards held by Employee shall vest (with performance-based awards vesting based on actual performance through the date of such termination), and the forfeiture provisions with respect to any such awards that are subject to forfeiture will terminate. Employee shall have no obligation to seek other employment and any income so earned shall not reduce the foregoing amounts.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95" w:right="339" w:bottom="1440" w:gutter="0" w:footer="0" w:header="0"/>
        </w:sectPr>
      </w:pPr>
    </w:p>
    <w:bookmarkStart w:id="56" w:name="page57"/>
    <w:bookmarkEnd w:id="56"/>
    <w:p>
      <w:pPr>
        <w:jc w:val="both"/>
        <w:ind w:left="324" w:firstLine="1296"/>
        <w:spacing w:after="0" w:line="220" w:lineRule="auto"/>
        <w:tabs>
          <w:tab w:leader="none" w:pos="1939"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Accrued Obligations, which shall be paid in accordance with Section 14, as a condition to receiving any other payment under Section 14, and to the extent that Employee is then living and not prevented from executing a release of claims due to any disability, Employee shall execute (and not revoke) a release of claims in a form reasonably satisfactory to the Company (which release shall be provided to Employee within five</w:t>
      </w:r>
    </w:p>
    <w:p>
      <w:pPr>
        <w:spacing w:after="0" w:line="2" w:lineRule="exact"/>
        <w:rPr>
          <w:rFonts w:ascii="Times New Roman" w:cs="Times New Roman" w:eastAsia="Times New Roman" w:hAnsi="Times New Roman"/>
          <w:sz w:val="21"/>
          <w:szCs w:val="21"/>
          <w:color w:val="auto"/>
        </w:rPr>
      </w:pPr>
    </w:p>
    <w:p>
      <w:pPr>
        <w:jc w:val="both"/>
        <w:ind w:left="324"/>
        <w:spacing w:after="0" w:line="211" w:lineRule="auto"/>
        <w:tabs>
          <w:tab w:leader="none" w:pos="6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the Date of Termination and must be returned to the Company (and not revoked) within forty-five (45) days following the Date of Termination). If Employee fails or otherwise refuses to execute and not revoke a release of claims within forty-five (45) days following the Date of Termination, and in all events prior to the date on which such other payment is to be first paid to him, Employee shall not be entitled to any such other payment, except as required by applicable wage payment laws, until Employee executes and does not revoke for forty-five (45) days, a release of claims.</w:t>
      </w:r>
    </w:p>
    <w:p>
      <w:pPr>
        <w:spacing w:after="0" w:line="15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 Provisions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324" w:firstLine="1296"/>
        <w:spacing w:after="0" w:line="215" w:lineRule="auto"/>
        <w:tabs>
          <w:tab w:leader="none" w:pos="1932"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Notwithstanding anything to the contrary in this Agreement, with respect to any amounts payable to Employee under this Agreement that are treated as “</w:t>
      </w:r>
      <w:r>
        <w:rPr>
          <w:rFonts w:ascii="Times New Roman" w:cs="Times New Roman" w:eastAsia="Times New Roman" w:hAnsi="Times New Roman"/>
          <w:sz w:val="22"/>
          <w:szCs w:val="22"/>
          <w:u w:val="single" w:color="auto"/>
          <w:color w:val="auto"/>
        </w:rPr>
        <w:t>non-qualified deferred compensation</w:t>
      </w:r>
      <w:r>
        <w:rPr>
          <w:rFonts w:ascii="Times New Roman" w:cs="Times New Roman" w:eastAsia="Times New Roman" w:hAnsi="Times New Roman"/>
          <w:sz w:val="22"/>
          <w:szCs w:val="22"/>
          <w:color w:val="auto"/>
        </w:rPr>
        <w:t>” subject to Section 409A of the Code in connection with a termination of Employee’s employment, in no event shall a termination of employment occur under this Agreement unless such termination constitutes a Separation from Service.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Employee’s “separation from service” with the Company as such term is defined in Treasury Regulation Section 1.409A-1(h) and any successor provision thereto.</w:t>
      </w:r>
    </w:p>
    <w:p>
      <w:pPr>
        <w:spacing w:after="0" w:line="152" w:lineRule="exact"/>
        <w:rPr>
          <w:rFonts w:ascii="Times New Roman" w:cs="Times New Roman" w:eastAsia="Times New Roman" w:hAnsi="Times New Roman"/>
          <w:sz w:val="22"/>
          <w:szCs w:val="22"/>
          <w:color w:val="auto"/>
        </w:rPr>
      </w:pPr>
    </w:p>
    <w:p>
      <w:pPr>
        <w:jc w:val="both"/>
        <w:ind w:left="324" w:firstLine="1296"/>
        <w:spacing w:after="0" w:line="209" w:lineRule="auto"/>
        <w:tabs>
          <w:tab w:leader="none" w:pos="1939"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Notwithstanding anything contained in this Agreement to the contrary, to the maximum extent permitted by applicable law, amounts payable to Employee pursuant to Section 14 shall be made in reliance upon Treasury Regulation Section 1.409A-1(b)(9) (Separation Pay Plans) or Treasury Regulation Section 1.409A-1(b)(4) (Short-Term Deferrals). However, to the extent any such payments are treated as non-qualified deferred compensation subject to Section 409A of the Code, then if Employee is deemed at the time of his Separation from Service to be a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for purposes of Section 409A(a)(2)(B)(i) of the Code, then to the extent delayed commencement of any portion of the benefits to which Employee is entitled under this Agreement is required in order to avoid a prohibited distribution under Section 409A(a)(2)(B)(i) of the Code, such portion of Employee’s termination benefits shall not be provided to Employee prior to the earlier of (i) the expiration of the six-month period measured from the date of Employee’s Separation from Service or (ii) the date of Employee’s death. Upon the earlier of such dates, all payments deferred pursuant to this Section 16(b) shall be paid in a lump sum to Employee. The determination of whether Employee is a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for purposes of Section 409A(a)(2)(B)(i) of the Code as of the time of his Separation from Service shall made by the Company in accordance with the terms of Section 409A of the Code and applicable guidance thereunder (including without limitation Treasury Regulation Section 1.409A-1(i) and any successor provision thereto).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395" w:right="339" w:bottom="1440" w:gutter="0" w:footer="0" w:header="0"/>
        </w:sectPr>
      </w:pPr>
    </w:p>
    <w:bookmarkStart w:id="57" w:name="page58"/>
    <w:bookmarkEnd w:id="57"/>
    <w:p>
      <w:pPr>
        <w:ind w:left="1460" w:hanging="304"/>
        <w:spacing w:after="0"/>
        <w:tabs>
          <w:tab w:leader="none" w:pos="14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Treatment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40" w:firstLine="312"/>
        <w:spacing w:after="0" w:line="217" w:lineRule="auto"/>
        <w:tabs>
          <w:tab w:leader="none" w:pos="168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the event it is determined that any payment, distribution or benefits of any type by the Company to or for the benefit of Employee, whether paid or payable or distributed or distributable pursuant to the terms of this Agreement or otherwise (the “</w:t>
      </w:r>
      <w:r>
        <w:rPr>
          <w:rFonts w:ascii="Times New Roman" w:cs="Times New Roman" w:eastAsia="Times New Roman" w:hAnsi="Times New Roman"/>
          <w:sz w:val="21"/>
          <w:szCs w:val="21"/>
          <w:u w:val="single" w:color="auto"/>
          <w:color w:val="auto"/>
        </w:rPr>
        <w:t>Change in Control Payments</w:t>
      </w:r>
      <w:r>
        <w:rPr>
          <w:rFonts w:ascii="Times New Roman" w:cs="Times New Roman" w:eastAsia="Times New Roman" w:hAnsi="Times New Roman"/>
          <w:sz w:val="21"/>
          <w:szCs w:val="21"/>
          <w:color w:val="auto"/>
        </w:rPr>
        <w:t>”), constitute “</w:t>
      </w:r>
      <w:r>
        <w:rPr>
          <w:rFonts w:ascii="Times New Roman" w:cs="Times New Roman" w:eastAsia="Times New Roman" w:hAnsi="Times New Roman"/>
          <w:sz w:val="21"/>
          <w:szCs w:val="21"/>
          <w:u w:val="single" w:color="auto"/>
          <w:color w:val="auto"/>
        </w:rPr>
        <w:t>parachute payments</w:t>
      </w:r>
      <w:r>
        <w:rPr>
          <w:rFonts w:ascii="Times New Roman" w:cs="Times New Roman" w:eastAsia="Times New Roman" w:hAnsi="Times New Roman"/>
          <w:sz w:val="21"/>
          <w:szCs w:val="21"/>
          <w:color w:val="auto"/>
        </w:rPr>
        <w:t>” within the meaning of Section 280G(b)(2) of the Code, the Company will provide Employee with a computation of (1) the maximum amount of the Change in Control Payments that could be made, without the imposition of the excise tax imposed by Section 4999 of the Code (said maximum amount being referred to as the “</w:t>
      </w:r>
      <w:r>
        <w:rPr>
          <w:rFonts w:ascii="Times New Roman" w:cs="Times New Roman" w:eastAsia="Times New Roman" w:hAnsi="Times New Roman"/>
          <w:sz w:val="21"/>
          <w:szCs w:val="21"/>
          <w:u w:val="single" w:color="auto"/>
          <w:color w:val="auto"/>
        </w:rPr>
        <w:t>Capped Amount</w:t>
      </w:r>
      <w:r>
        <w:rPr>
          <w:rFonts w:ascii="Times New Roman" w:cs="Times New Roman" w:eastAsia="Times New Roman" w:hAnsi="Times New Roman"/>
          <w:sz w:val="21"/>
          <w:szCs w:val="21"/>
          <w:color w:val="auto"/>
        </w:rPr>
        <w:t>”); (2) the value of the Change in Control Payments that could be made (all said payments, distributions and benefits being referred to as the “</w:t>
      </w:r>
      <w:r>
        <w:rPr>
          <w:rFonts w:ascii="Times New Roman" w:cs="Times New Roman" w:eastAsia="Times New Roman" w:hAnsi="Times New Roman"/>
          <w:sz w:val="21"/>
          <w:szCs w:val="21"/>
          <w:u w:val="single" w:color="auto"/>
          <w:color w:val="auto"/>
        </w:rPr>
        <w:t>Uncapped Amount</w:t>
      </w:r>
      <w:r>
        <w:rPr>
          <w:rFonts w:ascii="Times New Roman" w:cs="Times New Roman" w:eastAsia="Times New Roman" w:hAnsi="Times New Roman"/>
          <w:sz w:val="21"/>
          <w:szCs w:val="21"/>
          <w:color w:val="auto"/>
        </w:rPr>
        <w:t>”);</w:t>
      </w:r>
    </w:p>
    <w:p>
      <w:pPr>
        <w:spacing w:after="0" w:line="5" w:lineRule="exact"/>
        <w:rPr>
          <w:rFonts w:ascii="Times New Roman" w:cs="Times New Roman" w:eastAsia="Times New Roman" w:hAnsi="Times New Roman"/>
          <w:sz w:val="21"/>
          <w:szCs w:val="21"/>
          <w:color w:val="auto"/>
        </w:rPr>
      </w:pPr>
    </w:p>
    <w:p>
      <w:pPr>
        <w:jc w:val="both"/>
        <w:ind w:left="840" w:hanging="8"/>
        <w:spacing w:after="0" w:line="210" w:lineRule="auto"/>
        <w:tabs>
          <w:tab w:leader="none" w:pos="12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dollar amount of the excise tax (if any) including any interest or penalties with respect to such excise tax which Employee would become obligated to pay pursuant to Section 4999 of the Code as a result of receipt of the Uncapped Amount (the “</w:t>
      </w:r>
      <w:r>
        <w:rPr>
          <w:rFonts w:ascii="Times New Roman" w:cs="Times New Roman" w:eastAsia="Times New Roman" w:hAnsi="Times New Roman"/>
          <w:sz w:val="22"/>
          <w:szCs w:val="22"/>
          <w:u w:val="single" w:color="auto"/>
          <w:color w:val="auto"/>
        </w:rPr>
        <w:t>Excise Tax Amount</w:t>
      </w:r>
      <w:r>
        <w:rPr>
          <w:rFonts w:ascii="Times New Roman" w:cs="Times New Roman" w:eastAsia="Times New Roman" w:hAnsi="Times New Roman"/>
          <w:sz w:val="22"/>
          <w:szCs w:val="22"/>
          <w:color w:val="auto"/>
        </w:rPr>
        <w:t>”); and (iv) the net value of the Uncapped Amount after reduction by the Excise Tax Amount and the estimated income taxes payable by Employee on the difference between the Uncapped Amount and the Capped Amount, assuming that Employee is paying the highest marginal tax rate for state, local and federal income taxes (the “</w:t>
      </w:r>
      <w:r>
        <w:rPr>
          <w:rFonts w:ascii="Times New Roman" w:cs="Times New Roman" w:eastAsia="Times New Roman" w:hAnsi="Times New Roman"/>
          <w:sz w:val="22"/>
          <w:szCs w:val="22"/>
          <w:u w:val="single" w:color="auto"/>
          <w:color w:val="auto"/>
        </w:rPr>
        <w:t>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Uncapped Amount</w:t>
      </w:r>
      <w:r>
        <w:rPr>
          <w:rFonts w:ascii="Times New Roman" w:cs="Times New Roman" w:eastAsia="Times New Roman" w:hAnsi="Times New Roman"/>
          <w:sz w:val="22"/>
          <w:szCs w:val="22"/>
          <w:color w:val="auto"/>
        </w:rPr>
        <w:t>”).</w:t>
      </w:r>
    </w:p>
    <w:p>
      <w:pPr>
        <w:spacing w:after="0" w:line="33" w:lineRule="exact"/>
        <w:rPr>
          <w:rFonts w:ascii="Times New Roman" w:cs="Times New Roman" w:eastAsia="Times New Roman" w:hAnsi="Times New Roman"/>
          <w:sz w:val="22"/>
          <w:szCs w:val="22"/>
          <w:color w:val="auto"/>
        </w:rPr>
      </w:pPr>
    </w:p>
    <w:p>
      <w:pPr>
        <w:jc w:val="both"/>
        <w:ind w:left="840" w:firstLine="1288"/>
        <w:spacing w:after="0" w:line="213" w:lineRule="auto"/>
        <w:tabs>
          <w:tab w:leader="none" w:pos="2684" w:val="left"/>
        </w:tabs>
        <w:numPr>
          <w:ilvl w:val="4"/>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Capped Amount is greater than the Net Uncapped Amount, Employee shall be entitled to receive or commence to receive payments equal to the Capped Amount; or if the Net Uncapped Amount is greater than the Capped Amount, Employee shall be entitled to receive or commence to receive payments equal to the Uncapped Amount. If Employee receives the Uncapped Amount, then Employee shall be solely responsible for the payment of all income and excise taxes due from Employee and attributable to such Uncapped Amount, with no right of additional payment from the Company as reimbursement for any taxes.</w:t>
      </w:r>
    </w:p>
    <w:p>
      <w:pPr>
        <w:spacing w:after="0" w:line="183" w:lineRule="exact"/>
        <w:rPr>
          <w:rFonts w:ascii="Times New Roman" w:cs="Times New Roman" w:eastAsia="Times New Roman" w:hAnsi="Times New Roman"/>
          <w:sz w:val="22"/>
          <w:szCs w:val="22"/>
          <w:color w:val="auto"/>
        </w:rPr>
      </w:pPr>
    </w:p>
    <w:p>
      <w:pPr>
        <w:jc w:val="both"/>
        <w:ind w:left="180" w:firstLine="1300"/>
        <w:spacing w:after="0" w:line="210" w:lineRule="auto"/>
        <w:tabs>
          <w:tab w:leader="none" w:pos="1968"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required to be made under Section 16(c)(i)(A) shall be made in writing by the independent accounting firm agreed to by the Company and Employee on the date of the Change in Control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whose determination shall be conclusive and binding upon Employee and the Company for all purposes. For purposes of making the calculations required by Section 16(c)(i)(A), the Accounting Firm may make reasonable assumptions and approximations concerning applicable taxes and may rely on reasonable, good faith interpretations concerning the application of Sections 280G and 4999 of the Code. The Company and Employee shall furnish to the Accounting Firm such information and documents as it reasonably may request in order to make determinations under Section 16(c)(i)(A). If the Accounting Firm determines that no Excise Tax Amount is payable by Employee, it shall furnish Employee with an opinion that he has substantial authority not to report any excise tax pursuant to Section 4999 of the Code on his federal income tax return. The Company shall bear all costs the Accounting Firm may reasonably incur in connection with any calculations contemplated by Section 16(c)(i)(A).</w:t>
      </w:r>
    </w:p>
    <w:p>
      <w:pPr>
        <w:spacing w:after="0" w:line="179" w:lineRule="exact"/>
        <w:rPr>
          <w:sz w:val="20"/>
          <w:szCs w:val="20"/>
          <w:color w:val="auto"/>
        </w:rPr>
      </w:pPr>
    </w:p>
    <w:p>
      <w:pPr>
        <w:ind w:left="840" w:firstLine="294"/>
        <w:spacing w:after="0" w:line="236" w:lineRule="auto"/>
        <w:tabs>
          <w:tab w:leader="none" w:pos="176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 computations and valuations required to be provided by the Company to Employee pursuant to Section 16(c)(i)(A) are on audit challenged by the Internal Revenue Service as having been</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0"/>
          </w:cols>
          <w:pgMar w:left="1440" w:top="1395" w:right="339" w:bottom="1440" w:gutter="0" w:footer="0" w:header="0"/>
        </w:sectPr>
      </w:pPr>
    </w:p>
    <w:bookmarkStart w:id="58" w:name="page59"/>
    <w:bookmarkEnd w:id="58"/>
    <w:p>
      <w:pPr>
        <w:jc w:val="both"/>
        <w:ind w:left="980"/>
        <w:spacing w:after="0" w:line="209" w:lineRule="auto"/>
        <w:rPr>
          <w:sz w:val="20"/>
          <w:szCs w:val="20"/>
          <w:color w:val="auto"/>
        </w:rPr>
      </w:pPr>
      <w:r>
        <w:rPr>
          <w:rFonts w:ascii="Times New Roman" w:cs="Times New Roman" w:eastAsia="Times New Roman" w:hAnsi="Times New Roman"/>
          <w:sz w:val="22"/>
          <w:szCs w:val="22"/>
          <w:color w:val="auto"/>
        </w:rPr>
        <w:t>performed in a manner inconsistent with the requirements of Sections 280G and 4999 of the Code or if Section 409A of the Code is determined to apply to all or any part of the payments to which Employee or his survivors may be entitled under this Agreement and as a result of such audit or determination, (1) the amount of cash and the benefits provided for in Section 16(c)(i) remaining to Employee after completion of such audit or determination is less than (2) the amount of cash and the benefits which were paid or provided to Employee on the basis of the calculations provided for in Section 16(c)(i)(A) (the difference between (1) and (2) being referred to as the “</w:t>
      </w:r>
      <w:r>
        <w:rPr>
          <w:rFonts w:ascii="Times New Roman" w:cs="Times New Roman" w:eastAsia="Times New Roman" w:hAnsi="Times New Roman"/>
          <w:sz w:val="22"/>
          <w:szCs w:val="22"/>
          <w:u w:val="single" w:color="auto"/>
          <w:color w:val="auto"/>
        </w:rPr>
        <w:t>Shortfall Amount</w:t>
      </w:r>
      <w:r>
        <w:rPr>
          <w:rFonts w:ascii="Times New Roman" w:cs="Times New Roman" w:eastAsia="Times New Roman" w:hAnsi="Times New Roman"/>
          <w:sz w:val="22"/>
          <w:szCs w:val="22"/>
          <w:color w:val="auto"/>
        </w:rPr>
        <w:t>”), then Employee shall be entitled to receive an additional payment (an “</w:t>
      </w:r>
      <w:r>
        <w:rPr>
          <w:rFonts w:ascii="Times New Roman" w:cs="Times New Roman" w:eastAsia="Times New Roman" w:hAnsi="Times New Roman"/>
          <w:sz w:val="22"/>
          <w:szCs w:val="22"/>
          <w:u w:val="single" w:color="auto"/>
          <w:color w:val="auto"/>
        </w:rPr>
        <w:t>Indemnification Payment</w:t>
      </w:r>
      <w:r>
        <w:rPr>
          <w:rFonts w:ascii="Times New Roman" w:cs="Times New Roman" w:eastAsia="Times New Roman" w:hAnsi="Times New Roman"/>
          <w:sz w:val="22"/>
          <w:szCs w:val="22"/>
          <w:color w:val="auto"/>
        </w:rPr>
        <w:t>”) in an amount such that, after payment by Employee of all taxes (including additional excise taxes under said Section 4999 of the Code and any interest and penalties imposed with respect to any taxes) imposed upon the Indemnification Payment and all reasonable attorneys’ and accountants’ fees incurred by Employee in connection with such audit or determination, Employee retains an amount of the Indemnification Payment equal to the Shortfall Amount. The Company shall pay the Indemnification Payment to Employee in a lump sum cash payment within thirty (30) days of the completion of such audit or determination.</w:t>
      </w:r>
    </w:p>
    <w:p>
      <w:pPr>
        <w:spacing w:after="0" w:line="183" w:lineRule="exact"/>
        <w:rPr>
          <w:sz w:val="20"/>
          <w:szCs w:val="20"/>
          <w:color w:val="auto"/>
        </w:rPr>
      </w:pPr>
    </w:p>
    <w:p>
      <w:pPr>
        <w:jc w:val="both"/>
        <w:ind w:left="980" w:firstLine="940"/>
        <w:spacing w:after="0" w:line="217" w:lineRule="auto"/>
        <w:tabs>
          <w:tab w:leader="none" w:pos="2291"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computations and valuations required to be provided by the Company to Employee pursuant to Section 16(c)(i)(A) are on audit challenged by the Internal Revenue Service as having been performed in a manner inconsistent with the requirements of Sections 280G and 4999 of the Code and as a result of such audit or determination, (1) the amount of cash and the benefits which were paid or provided to Employee on the basis of the calculations provided for in Section 16(c)(i)(A) is greater than (2) the amount of cash and the benefits provided for in Section 16(c)(i) payable to Employee after completion of such audit or determination (the difference between (1) and (2) being referred to as the “</w:t>
      </w:r>
      <w:r>
        <w:rPr>
          <w:rFonts w:ascii="Times New Roman" w:cs="Times New Roman" w:eastAsia="Times New Roman" w:hAnsi="Times New Roman"/>
          <w:sz w:val="21"/>
          <w:szCs w:val="21"/>
          <w:u w:val="single" w:color="auto"/>
          <w:color w:val="auto"/>
        </w:rPr>
        <w:t>Excess Amount</w:t>
      </w:r>
      <w:r>
        <w:rPr>
          <w:rFonts w:ascii="Times New Roman" w:cs="Times New Roman" w:eastAsia="Times New Roman" w:hAnsi="Times New Roman"/>
          <w:sz w:val="21"/>
          <w:szCs w:val="21"/>
          <w:color w:val="auto"/>
        </w:rPr>
        <w:t>”), then Employee shall repay to the Company the Excess Amount in a lump sum cash payment within thirty</w:t>
      </w:r>
    </w:p>
    <w:p>
      <w:pPr>
        <w:spacing w:after="0" w:line="5" w:lineRule="exact"/>
        <w:rPr>
          <w:rFonts w:ascii="Times New Roman" w:cs="Times New Roman" w:eastAsia="Times New Roman" w:hAnsi="Times New Roman"/>
          <w:sz w:val="21"/>
          <w:szCs w:val="21"/>
          <w:color w:val="auto"/>
        </w:rPr>
      </w:pPr>
    </w:p>
    <w:p>
      <w:pPr>
        <w:ind w:left="1380" w:hanging="408"/>
        <w:spacing w:after="0"/>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completion of such audit or determination.</w:t>
      </w:r>
    </w:p>
    <w:p>
      <w:pPr>
        <w:spacing w:after="0" w:line="182" w:lineRule="exact"/>
        <w:rPr>
          <w:rFonts w:ascii="Times New Roman" w:cs="Times New Roman" w:eastAsia="Times New Roman" w:hAnsi="Times New Roman"/>
          <w:sz w:val="22"/>
          <w:szCs w:val="22"/>
          <w:color w:val="auto"/>
        </w:rPr>
      </w:pPr>
    </w:p>
    <w:p>
      <w:pPr>
        <w:jc w:val="both"/>
        <w:ind w:left="980" w:firstLine="1288"/>
        <w:spacing w:after="0" w:line="211" w:lineRule="auto"/>
        <w:tabs>
          <w:tab w:leader="none" w:pos="2842"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16(c)(iii), (1) any payment made to or on behalf of Employee which relates to taxes imposed on Employee shall be made not later than the end of the calendar year next following the calendar year in which such taxes are remitted by or on behalf of Employee, and (2) any payment made to or on behalf of Employee which relates to reimbursement of expenses incurred due to a tax audit or litigation addressing the existence or amount of a tax liability shall be made by the end of the calendar year following the calendar year in which the taxes that are the subject of the audit or litigation are remitted to the taxing authority, or where as a result of such audit or litigation no taxes are remitted, the end of the calendar year following the calendar year in which the audit is completed or there is a final and non-appealable settlement or other resolution of the litigation, whichever is the last event to occur.</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Termination by Employee</w:t>
      </w:r>
      <w:r>
        <w:rPr>
          <w:rFonts w:ascii="Times New Roman" w:cs="Times New Roman" w:eastAsia="Times New Roman" w:hAnsi="Times New Roman"/>
          <w:sz w:val="22"/>
          <w:szCs w:val="22"/>
          <w:color w:val="auto"/>
        </w:rPr>
        <w:t>. If at any time Employee terminates his employment for any reason, Employee shall have no further obligation to the Company other than the provisions of Sections 8, 9, 14(d), 16(c)(iii) (B) and 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60"/>
          </w:cols>
          <w:pgMar w:left="1300" w:top="1395" w:right="339" w:bottom="1440" w:gutter="0" w:footer="0" w:header="0"/>
        </w:sectPr>
      </w:pPr>
    </w:p>
    <w:bookmarkStart w:id="59" w:name="page60"/>
    <w:bookmarkEnd w:id="59"/>
    <w:p>
      <w:pPr>
        <w:jc w:val="both"/>
        <w:ind w:firstLine="656"/>
        <w:spacing w:after="0" w:line="211"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In-Kind Benefits and Reimbursements</w:t>
      </w:r>
      <w:r>
        <w:rPr>
          <w:rFonts w:ascii="Times New Roman" w:cs="Times New Roman" w:eastAsia="Times New Roman" w:hAnsi="Times New Roman"/>
          <w:sz w:val="22"/>
          <w:szCs w:val="22"/>
          <w:color w:val="auto"/>
        </w:rPr>
        <w:t>. Notwithstanding anything to the contrary in this Agreement, in-kind benefits and reimbursements provided under this Agreement during any tax year of Employee shall not affect in-kind benefits or reimbursements to be provided in any other tax year of Employee and are not subject to liquidation or exchange for another benefit. Notwithstanding anything to the contrary in this Agreement, reimbursement requests must be timely submitted by Employee and, if timely submitted, reimbursement payments shall be made to Employee as soon as administratively practicable following such submission, but in no event later than the last day of Employee’s taxable year following the taxable year in which the expense was incurred. In no event shall Employee be entitled to any reimbursement payments after the last day of Employee’s taxable year following the taxable year in which the expense was incurred. This paragraph shall only apply to in-kind benefits and reimbursements that would result in taxable compensation income to Employee.</w:t>
      </w:r>
    </w:p>
    <w:p>
      <w:pPr>
        <w:spacing w:after="0" w:line="158"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Separate Payments</w:t>
      </w:r>
      <w:r>
        <w:rPr>
          <w:rFonts w:ascii="Times New Roman" w:cs="Times New Roman" w:eastAsia="Times New Roman" w:hAnsi="Times New Roman"/>
          <w:sz w:val="21"/>
          <w:szCs w:val="21"/>
          <w:color w:val="auto"/>
        </w:rPr>
        <w:t>. This Agreement is intended to be written, administered, interpreted and construed in a manner such that no payment or benefits provided under the Agreement become subject to (a) the gross income inclusion set forth within Code Section 409A(a)(1)(A) or (b) the interest and additional tax set forth within Code Section 409A(a)</w:t>
      </w:r>
    </w:p>
    <w:p>
      <w:pPr>
        <w:spacing w:after="0" w:line="1" w:lineRule="exact"/>
        <w:rPr>
          <w:rFonts w:ascii="Times New Roman" w:cs="Times New Roman" w:eastAsia="Times New Roman" w:hAnsi="Times New Roman"/>
          <w:sz w:val="21"/>
          <w:szCs w:val="21"/>
          <w:color w:val="auto"/>
        </w:rPr>
      </w:pPr>
    </w:p>
    <w:p>
      <w:pPr>
        <w:jc w:val="both"/>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(1)(B) (together, referred to herein as the “</w:t>
      </w:r>
      <w:r>
        <w:rPr>
          <w:rFonts w:ascii="Times New Roman" w:cs="Times New Roman" w:eastAsia="Times New Roman" w:hAnsi="Times New Roman"/>
          <w:sz w:val="22"/>
          <w:szCs w:val="22"/>
          <w:u w:val="single" w:color="auto"/>
          <w:color w:val="auto"/>
        </w:rPr>
        <w:t>Section 409A Penalties</w:t>
      </w:r>
      <w:r>
        <w:rPr>
          <w:rFonts w:ascii="Times New Roman" w:cs="Times New Roman" w:eastAsia="Times New Roman" w:hAnsi="Times New Roman"/>
          <w:sz w:val="22"/>
          <w:szCs w:val="22"/>
          <w:color w:val="auto"/>
        </w:rPr>
        <w:t>”), including, where appropriate, the construction of defined terms to have meanings that would not cause the imposition of Section 409A Penalties. In no event shall the Company be required to provide a tax gross-up payment to Employee or otherwise reimburse Employee with respect to Section 409A Penalties. For purposes of Section 409A of the Code (including, without limitation, for purposes of Treasury Regulation Section 1.409A-2(b)(2)(iii)), each payment that Employee may be eligible to receive under this Agreement shall be treated as a separate and distinct payment.</w:t>
      </w:r>
    </w:p>
    <w:p>
      <w:pPr>
        <w:spacing w:after="0" w:line="153"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Matador shall indemnify Employee to the extent permitted pursuant to the Certificate of Formation of Matador, the Bylaws of Matador and any indemnification agreement between Matador and Employee that may be in effect from time to time during the Term, the terms of which are incorporated herein by reference.</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Upon Termination</w:t>
      </w:r>
      <w:r>
        <w:rPr>
          <w:rFonts w:ascii="Times New Roman" w:cs="Times New Roman" w:eastAsia="Times New Roman" w:hAnsi="Times New Roman"/>
          <w:sz w:val="21"/>
          <w:szCs w:val="21"/>
          <w:color w:val="auto"/>
        </w:rPr>
        <w:t>. In the event of termination of Employee’s employment for any reason, Employee hereby shall be deemed upon such termination to have immediately resigned from all positions held in the Company, including without limitations any position as a director, officer, agent, trustee or consultant of the Company or any affiliate of the Company and shall execute all documents reasonably necessary to further effectuate or document such resignation from such positions.</w:t>
      </w:r>
    </w:p>
    <w:p>
      <w:pPr>
        <w:spacing w:after="0" w:line="150"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During and after Employee’s employment with the Company, Employee shall cooperate fully with the Company in the defense or prosecution of all claims or actions now in existence or which may be brought in the future against or on behalf of the Company or its affiliates. Employee’s full cooperation in connection with such claims or actions shall include, but shall not be limited to, being available to meet with counsel to the Company and/or its affiliates to prepare for discovery, trial or alternative dispute resolution proceedings, and to act as a witness on behalf of the Company and its affiliates. During and after Employee’s employment, Employee shall cooperate with the Company and its affiliates in connection with any investigation or review by any federal, state or local regulatory authority. In addition, during and after Employee’s employment with the Company, Employee shall assist the Company in all reasonably requested transition efforts in connection with Employee’s separation from the Company or the transfer of duties or responsibilities from Employee, including but not limited to execution and delivery of all documents that the Company reasonably requests to be signed by Employee. The Company shall (a) pay Employee an amount equal to his Base Salary in effect immediately prior to his termination of employment, but in any case not to exceed $1,500 per day, pro rated based on the number of days (and further pro rated for any partial day) that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5" w:right="339" w:bottom="1440" w:gutter="0" w:footer="0" w:header="0"/>
        </w:sectPr>
      </w:pPr>
    </w:p>
    <w:bookmarkStart w:id="60" w:name="page61"/>
    <w:bookmarkEnd w:id="60"/>
    <w:p>
      <w:pPr>
        <w:spacing w:after="0" w:line="236" w:lineRule="auto"/>
        <w:rPr>
          <w:sz w:val="20"/>
          <w:szCs w:val="20"/>
          <w:color w:val="auto"/>
        </w:rPr>
      </w:pPr>
      <w:r>
        <w:rPr>
          <w:rFonts w:ascii="Times New Roman" w:cs="Times New Roman" w:eastAsia="Times New Roman" w:hAnsi="Times New Roman"/>
          <w:sz w:val="22"/>
          <w:szCs w:val="22"/>
          <w:color w:val="auto"/>
        </w:rPr>
        <w:t>Employee is required to perform the foregoing obligations, and (b) reimburse Employee for any reasonable out-of-pocket expenses incurred by Employee in connection therewith.</w:t>
      </w:r>
    </w:p>
    <w:p>
      <w:pPr>
        <w:spacing w:after="0" w:line="150" w:lineRule="exact"/>
        <w:rPr>
          <w:sz w:val="20"/>
          <w:szCs w:val="20"/>
          <w:color w:val="auto"/>
        </w:rPr>
      </w:pPr>
    </w:p>
    <w:p>
      <w:pPr>
        <w:jc w:val="both"/>
        <w:ind w:firstLine="656"/>
        <w:spacing w:after="0" w:line="225"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 party’s failure to insist on compliance or enforcement of any provision of this Agreement, shall not affect the validity or enforceability or constitute a waiver of future enforcement of that provision or of any other provision of this Agreement by that party or any other party.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Arbitration</w:t>
      </w:r>
      <w:r>
        <w:rPr>
          <w:rFonts w:ascii="Times New Roman" w:cs="Times New Roman" w:eastAsia="Times New Roman" w:hAnsi="Times New Roman"/>
          <w:sz w:val="22"/>
          <w:szCs w:val="22"/>
          <w:color w:val="auto"/>
        </w:rPr>
        <w:t>. This Agreement shall in all respects be subject to, and governed by, the laws of the State of Texas.</w:t>
      </w:r>
    </w:p>
    <w:p>
      <w:pPr>
        <w:spacing w:after="0" w:line="150" w:lineRule="exact"/>
        <w:rPr>
          <w:rFonts w:ascii="Times New Roman" w:cs="Times New Roman" w:eastAsia="Times New Roman" w:hAnsi="Times New Roman"/>
          <w:sz w:val="22"/>
          <w:szCs w:val="22"/>
          <w:color w:val="auto"/>
        </w:rPr>
      </w:pPr>
    </w:p>
    <w:p>
      <w:pPr>
        <w:jc w:val="both"/>
        <w:ind w:left="660" w:firstLine="869"/>
        <w:spacing w:after="0" w:line="212" w:lineRule="auto"/>
        <w:tabs>
          <w:tab w:leader="none" w:pos="202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Injunctive Relief. The Company and Employee agree and consent to the personal jurisdiction of the state and local courts of Dallas County, Texas and/or the United States District Court for the Northern District of Texas in the event that the Company or Employee seeks injunctive relief with respect to any provision hereof, and that those courts, and only those courts, shall have jurisdiction with respect thereto. The Company and Employee also agree that those courts are convenient forums for the parties and for any potential witnesses and that process issued out of any such court or in accordance with the rules of practice of that court may be served by mail or other forms of substituted service to the Company at the address of its principal executive offices and to Employee at his last known address as reflected in the Company’s records.</w:t>
      </w:r>
    </w:p>
    <w:p>
      <w:pPr>
        <w:spacing w:after="0" w:line="48"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80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Disputes. In the event of any dispute, claim, question or disagreement relating to this Agreement, other than one for which the Company or Employee seeks injunctive relief, the parties shall use their best efforts to settle the dispute, claim, question or disagreement. To this effect, they shall consult and negotiate with each other in good faith and, recognizing their mutual interests, attempt to reach a just and equitable solution satisfactory to both parties. If such a dispute cannot be settled through negotiation, the parties agree first to try in good faith to settle the dispute by mediation administered by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under its Commercial Mediation Rules before resorting to arbitration or some other dispute resolution procedure. If the parties do not reach such solution through negotiation or mediation within a period of sixty (60) days after a claim is first made by a party, then, upon notice by either party to the other, all disputes, claims, questions or disagreements shall be finally settled by arbitration administered by the AAA in accordance with the provisions of its Commercial Arbitration Rules. The arbitrator shall be selected by agreement of the parties or, if they do not agree on an arbitrator within thirty (30) days after either party has notified the other of his or its desire to have the question settled by arbitration, then the arbitrator shall be selected pursuant to the procedures of the AAA, with such arbitration taking place in Dallas, Texas. The determination reached in such arbitration shall be final and binding on all parties. Enforcement of the determination by such arbitrator may be sought in any court of competent jurisdiction.</w:t>
      </w:r>
    </w:p>
    <w:p>
      <w:pPr>
        <w:spacing w:after="0" w:line="43"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Substantially Prevailing Party</w:t>
      </w:r>
      <w:r>
        <w:rPr>
          <w:rFonts w:ascii="Times New Roman" w:cs="Times New Roman" w:eastAsia="Times New Roman" w:hAnsi="Times New Roman"/>
          <w:sz w:val="22"/>
          <w:szCs w:val="22"/>
          <w:color w:val="auto"/>
        </w:rPr>
        <w:t xml:space="preserve">. The substantially prevailing party in any legal proceeding, including mediation and arbitration, based upon this Agreement shall be entitled to reasonable attorneys’ fees and costs, in addition to any other damages and relief allowed by law, from the substantially non-prevailing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maximum amount of fees and costs of all parties for which Employee shall be liable shall be $100,000.</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in the Agreement shall not in any way affect the validity or enforceability of any other provision and this Agreement shall be construed in all respects as if such invalid or unenforceable provision had never been in the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5" w:right="339" w:bottom="1440" w:gutter="0" w:footer="0" w:header="0"/>
        </w:sectPr>
      </w:pPr>
    </w:p>
    <w:bookmarkStart w:id="61" w:name="page62"/>
    <w:bookmarkEnd w:id="61"/>
    <w:p>
      <w:pPr>
        <w:jc w:val="both"/>
        <w:ind w:firstLine="656"/>
        <w:spacing w:after="0" w:line="220"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and all notices required or permitted herein shall be deemed delivered if delivered personally or if mailed by registered or certified mail to the Company at its principal place of business and to Employee at the address hereinafter set forth following Employee’s signature, or at such other address or addresses as either party may hereafter designate in writing to the other.</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36" w:lineRule="auto"/>
        <w:tabs>
          <w:tab w:leader="none" w:pos="129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together with any amendments hereto, shall be binding upon and shall inure to the benefit of the parties hereto and their respective successors, assigns, heirs and personal representatives, except that the rights and benefits of either of the parties under this Agreement may not be assigned without the prior written consent of the other party.</w:t>
      </w:r>
    </w:p>
    <w:p>
      <w:pPr>
        <w:spacing w:after="0" w:line="151" w:lineRule="exact"/>
        <w:rPr>
          <w:rFonts w:ascii="Times New Roman" w:cs="Times New Roman" w:eastAsia="Times New Roman" w:hAnsi="Times New Roman"/>
          <w:sz w:val="21"/>
          <w:szCs w:val="21"/>
          <w:color w:val="auto"/>
        </w:rPr>
      </w:pPr>
    </w:p>
    <w:p>
      <w:pPr>
        <w:ind w:firstLine="656"/>
        <w:spacing w:after="0" w:line="236"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at any time by mutual consent of the parties hereto, with any such amendment to be invalid unless in writing, signed by Matador and Employee.</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along with the Company’s employee handbook, as it may be amended from time to time, to the extent it does not specifically conflict with any provision of this Agreement, contains the entire agreement and understanding by and between Employee and the Company with respect to the employment of Employee, and no representations, promises, agreements, or understandings, written or oral, relating to the employment of Employee by the Company not contained herein, including without limitation the Prior Agreement, shall be of any force or effect .</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Burden and Benefit</w:t>
      </w:r>
      <w:r>
        <w:rPr>
          <w:rFonts w:ascii="Times New Roman" w:cs="Times New Roman" w:eastAsia="Times New Roman" w:hAnsi="Times New Roman"/>
          <w:sz w:val="22"/>
          <w:szCs w:val="22"/>
          <w:color w:val="auto"/>
        </w:rPr>
        <w:t>. This Agreement shall be binding upon, and shall inure to the benefit of, the Company and Employee, and their respective heirs, personal and legal representatives, successors, and assigns.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Gender and Number Terms</w:t>
      </w:r>
      <w:r>
        <w:rPr>
          <w:rFonts w:ascii="Times New Roman" w:cs="Times New Roman" w:eastAsia="Times New Roman" w:hAnsi="Times New Roman"/>
          <w:sz w:val="22"/>
          <w:szCs w:val="22"/>
          <w:color w:val="auto"/>
        </w:rPr>
        <w:t>. In construing this Agreement, feminine or number pronouns shall be substituted for those masculine in form and vice versa, and plural terms shall be substituted for singular and singular for plural in any place where the context so requires.</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various headings in this Agreement are inserted for convenience only and are not part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5" w:right="339" w:bottom="1440" w:gutter="0" w:footer="0" w:header="0"/>
        </w:sectPr>
      </w:pPr>
    </w:p>
    <w:bookmarkStart w:id="62" w:name="page63"/>
    <w:bookmarkEnd w:id="62"/>
    <w:p>
      <w:pPr>
        <w:spacing w:after="0" w:line="19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and Employee have duly executed this Agreement to be effective as of the Effective Date.</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MATADOR RESOURCES COMPANY</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960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Joseph Wm. Foran</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Chairman of the Board and Chief Executive Officer</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Address for Notice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One Lincoln Centre</w:t>
      </w:r>
    </w:p>
    <w:p>
      <w:pPr>
        <w:ind w:left="3900"/>
        <w:spacing w:after="0" w:line="204" w:lineRule="auto"/>
        <w:rPr>
          <w:sz w:val="20"/>
          <w:szCs w:val="20"/>
          <w:color w:val="auto"/>
        </w:rPr>
      </w:pPr>
      <w:r>
        <w:rPr>
          <w:rFonts w:ascii="Times New Roman" w:cs="Times New Roman" w:eastAsia="Times New Roman" w:hAnsi="Times New Roman"/>
          <w:sz w:val="22"/>
          <w:szCs w:val="22"/>
          <w:color w:val="auto"/>
        </w:rPr>
        <w:t>5400 LBJ Freeway, Suite 1500</w:t>
      </w:r>
    </w:p>
    <w:p>
      <w:pPr>
        <w:ind w:left="3900"/>
        <w:spacing w:after="0" w:line="205" w:lineRule="auto"/>
        <w:rPr>
          <w:sz w:val="20"/>
          <w:szCs w:val="20"/>
          <w:color w:val="auto"/>
        </w:rPr>
      </w:pPr>
      <w:r>
        <w:rPr>
          <w:rFonts w:ascii="Times New Roman" w:cs="Times New Roman" w:eastAsia="Times New Roman" w:hAnsi="Times New Roman"/>
          <w:sz w:val="22"/>
          <w:szCs w:val="22"/>
          <w:color w:val="auto"/>
        </w:rPr>
        <w:t>Dallas, TX 75240</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-151130</wp:posOffset>
            </wp:positionV>
            <wp:extent cx="9601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Address for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w:t>
      </w: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101" w:lineRule="exact"/>
        <w:rPr>
          <w:sz w:val="20"/>
          <w:szCs w:val="20"/>
          <w:color w:val="auto"/>
        </w:rPr>
      </w:pPr>
    </w:p>
    <w:p>
      <w:pPr>
        <w:jc w:val="both"/>
        <w:ind w:firstLine="441"/>
        <w:spacing w:after="0" w:line="220" w:lineRule="auto"/>
        <w:rPr>
          <w:sz w:val="20"/>
          <w:szCs w:val="20"/>
          <w:color w:val="auto"/>
        </w:rPr>
      </w:pPr>
      <w:r>
        <w:rPr>
          <w:rFonts w:ascii="Times New Roman" w:cs="Times New Roman" w:eastAsia="Times New Roman" w:hAnsi="Times New Roman"/>
          <w:sz w:val="22"/>
          <w:szCs w:val="22"/>
          <w:color w:val="auto"/>
        </w:rPr>
        <w:t>This Separation Agreement and Release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Matador Resources Company, a Texas corporation (“</w:t>
      </w:r>
      <w:r>
        <w:rPr>
          <w:rFonts w:ascii="Times New Roman" w:cs="Times New Roman" w:eastAsia="Times New Roman" w:hAnsi="Times New Roman"/>
          <w:sz w:val="22"/>
          <w:szCs w:val="22"/>
          <w:u w:val="single" w:color="auto"/>
          <w:color w:val="auto"/>
        </w:rPr>
        <w:t>Matador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as of (the “</w:t>
      </w:r>
      <w:r>
        <w:rPr>
          <w:rFonts w:ascii="Times New Roman" w:cs="Times New Roman" w:eastAsia="Times New Roman" w:hAnsi="Times New Roman"/>
          <w:sz w:val="22"/>
          <w:szCs w:val="22"/>
          <w:u w:val="single" w:color="auto"/>
          <w:color w:val="auto"/>
        </w:rPr>
        <w:t>Agreement Date</w:t>
      </w:r>
      <w:r>
        <w:rPr>
          <w:rFonts w:ascii="Times New Roman" w:cs="Times New Roman" w:eastAsia="Times New Roman" w:hAnsi="Times New Roman"/>
          <w:sz w:val="22"/>
          <w:szCs w:val="22"/>
          <w:color w:val="auto"/>
        </w:rPr>
        <w:t>”). Matador and Employee are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This Agreement cancels and supersedes all prior agreements relating to Employee’s employment with Matador except as provided in this Agreement.</w:t>
      </w:r>
    </w:p>
    <w:p>
      <w:pPr>
        <w:spacing w:after="0" w:line="98" w:lineRule="exact"/>
        <w:rPr>
          <w:sz w:val="20"/>
          <w:szCs w:val="20"/>
          <w:color w:val="auto"/>
        </w:rPr>
      </w:pPr>
    </w:p>
    <w:p>
      <w:pPr>
        <w:jc w:val="both"/>
        <w:ind w:firstLine="441"/>
        <w:spacing w:after="0" w:line="236" w:lineRule="auto"/>
        <w:rPr>
          <w:sz w:val="20"/>
          <w:szCs w:val="20"/>
          <w:color w:val="auto"/>
        </w:rPr>
      </w:pPr>
      <w:r>
        <w:rPr>
          <w:rFonts w:ascii="Times New Roman" w:cs="Times New Roman" w:eastAsia="Times New Roman" w:hAnsi="Times New Roman"/>
          <w:sz w:val="22"/>
          <w:szCs w:val="22"/>
          <w:color w:val="auto"/>
        </w:rPr>
        <w:t>WHEREAS, Matador and Employee entered into an Employment Agreement as of [•], 2022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Agreement is entered into by and between Employee and Matador pursuant to the Employment Agreement;</w:t>
      </w:r>
    </w:p>
    <w:p>
      <w:pPr>
        <w:spacing w:after="0" w:line="96" w:lineRule="exact"/>
        <w:rPr>
          <w:sz w:val="20"/>
          <w:szCs w:val="20"/>
          <w:color w:val="auto"/>
        </w:rPr>
      </w:pPr>
    </w:p>
    <w:p>
      <w:pPr>
        <w:jc w:val="both"/>
        <w:ind w:firstLine="441"/>
        <w:spacing w:after="0" w:line="225" w:lineRule="auto"/>
        <w:rPr>
          <w:sz w:val="20"/>
          <w:szCs w:val="20"/>
          <w:color w:val="auto"/>
        </w:rPr>
      </w:pPr>
      <w:r>
        <w:rPr>
          <w:rFonts w:ascii="Times New Roman" w:cs="Times New Roman" w:eastAsia="Times New Roman" w:hAnsi="Times New Roman"/>
          <w:sz w:val="22"/>
          <w:szCs w:val="22"/>
          <w:color w:val="auto"/>
        </w:rPr>
        <w:t>WHEREAS, because of Employee’s employment as an employee of Matador, Employee has obtained intimate and unique knowledge of all aspects of Matador’s business operations, current and future plans, financial plans and other confidential and proprietary information;</w:t>
      </w:r>
    </w:p>
    <w:p>
      <w:pPr>
        <w:spacing w:after="0" w:line="98" w:lineRule="exact"/>
        <w:rPr>
          <w:sz w:val="20"/>
          <w:szCs w:val="20"/>
          <w:color w:val="auto"/>
        </w:rPr>
      </w:pPr>
    </w:p>
    <w:p>
      <w:pPr>
        <w:jc w:val="both"/>
        <w:ind w:firstLine="441"/>
        <w:spacing w:after="0" w:line="236" w:lineRule="auto"/>
        <w:rPr>
          <w:sz w:val="20"/>
          <w:szCs w:val="20"/>
          <w:color w:val="auto"/>
        </w:rPr>
      </w:pPr>
      <w:r>
        <w:rPr>
          <w:rFonts w:ascii="Times New Roman" w:cs="Times New Roman" w:eastAsia="Times New Roman" w:hAnsi="Times New Roman"/>
          <w:sz w:val="22"/>
          <w:szCs w:val="22"/>
          <w:color w:val="auto"/>
        </w:rPr>
        <w:t>WHEREAS, Employee’s employment with Matador and all other positions, if any, held by Employee in Matador or any of its subsidiaries or affiliates, including officer positions, terminated effective as of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w:t>
      </w:r>
    </w:p>
    <w:p>
      <w:pPr>
        <w:spacing w:after="0" w:line="96" w:lineRule="exact"/>
        <w:rPr>
          <w:sz w:val="20"/>
          <w:szCs w:val="20"/>
          <w:color w:val="auto"/>
        </w:rPr>
      </w:pPr>
    </w:p>
    <w:p>
      <w:pPr>
        <w:jc w:val="both"/>
        <w:ind w:firstLine="441"/>
        <w:spacing w:after="0" w:line="217" w:lineRule="auto"/>
        <w:rPr>
          <w:sz w:val="20"/>
          <w:szCs w:val="20"/>
          <w:color w:val="auto"/>
        </w:rPr>
      </w:pPr>
      <w:r>
        <w:rPr>
          <w:rFonts w:ascii="Times New Roman" w:cs="Times New Roman" w:eastAsia="Times New Roman" w:hAnsi="Times New Roman"/>
          <w:sz w:val="22"/>
          <w:szCs w:val="22"/>
          <w:color w:val="auto"/>
        </w:rPr>
        <w:t>WHEREAS, except as otherwise provided herein, the Parties desire to finally, fully and completely resolve all disputes that now or may exist between them, including, but not limited to those concerning the Employment Agreement (except for the post-termination obligations contained in the Employment Agreement), Employee’s job performance and activities while employed by Matador and Employee’s hiring, employment and separation from Matador, and all disputes over benefits and compensation connected with such employment;</w:t>
      </w:r>
    </w:p>
    <w:p>
      <w:pPr>
        <w:spacing w:after="0" w:line="98" w:lineRule="exact"/>
        <w:rPr>
          <w:sz w:val="20"/>
          <w:szCs w:val="20"/>
          <w:color w:val="auto"/>
        </w:rPr>
      </w:pPr>
    </w:p>
    <w:p>
      <w:pPr>
        <w:jc w:val="both"/>
        <w:ind w:firstLine="441"/>
        <w:spacing w:after="0" w:line="212"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and agreements hereinafter set forth, and for other good and valuable consideration, the receipt and sufficiency of which are hereby acknowledged, the Parties hereto agree as follows:</w:t>
      </w:r>
    </w:p>
    <w:p>
      <w:pPr>
        <w:spacing w:after="0" w:line="2"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End of Employee’s Employment</w:t>
      </w:r>
      <w:r>
        <w:rPr>
          <w:rFonts w:ascii="Times New Roman" w:cs="Times New Roman" w:eastAsia="Times New Roman" w:hAnsi="Times New Roman"/>
          <w:sz w:val="22"/>
          <w:szCs w:val="22"/>
          <w:color w:val="auto"/>
        </w:rPr>
        <w:t>. Employee’s employment with Matador terminated on the Separation Date.</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Payments and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980" w:firstLine="1296"/>
        <w:spacing w:after="0" w:line="225" w:lineRule="auto"/>
        <w:tabs>
          <w:tab w:leader="none" w:pos="259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In accordance with Matador’s customary payroll practices, Matador shall pay Employee for all unpaid salary, unreimbursed business expenses, and any accrued but unused vacation through the Separation Date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980" w:firstLine="1296"/>
        <w:spacing w:after="0" w:line="213" w:lineRule="auto"/>
        <w:tabs>
          <w:tab w:leader="none" w:pos="25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Payments</w:t>
      </w:r>
      <w:r>
        <w:rPr>
          <w:rFonts w:ascii="Times New Roman" w:cs="Times New Roman" w:eastAsia="Times New Roman" w:hAnsi="Times New Roman"/>
          <w:sz w:val="22"/>
          <w:szCs w:val="22"/>
          <w:color w:val="auto"/>
        </w:rPr>
        <w:t>. Subject to Employee’s consent to and fulfillment of Employee’s obligations in this Agreement and, if applicable pursuant to Section 14(b) or (c) of the Employment Agreement, Employee’s post-termination obligations in Sections 8 and 9 of the Employment Agreement, and provided that Employee does not revoke this Agreement pursuant to Section 12 hereof, Matador shall pay Employee the amount of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 minus normal payroll withholdings and taxes (“</w:t>
      </w:r>
      <w:r>
        <w:rPr>
          <w:rFonts w:ascii="Times New Roman" w:cs="Times New Roman" w:eastAsia="Times New Roman" w:hAnsi="Times New Roman"/>
          <w:sz w:val="22"/>
          <w:szCs w:val="22"/>
          <w:u w:val="single" w:color="auto"/>
          <w:color w:val="auto"/>
        </w:rPr>
        <w:t>Separation Payment</w:t>
      </w:r>
      <w:r>
        <w:rPr>
          <w:rFonts w:ascii="Times New Roman" w:cs="Times New Roman" w:eastAsia="Times New Roman" w:hAnsi="Times New Roman"/>
          <w:sz w:val="22"/>
          <w:szCs w:val="22"/>
          <w:color w:val="auto"/>
        </w:rPr>
        <w:t>”), payable as provided in the Employment Agreement. The Separation Payment will not be treated as compensation under Matador’s 401(k) Plan or any other retirement plan.</w:t>
      </w:r>
    </w:p>
    <w:p>
      <w:pPr>
        <w:spacing w:after="0" w:line="156" w:lineRule="exact"/>
        <w:rPr>
          <w:rFonts w:ascii="Times New Roman" w:cs="Times New Roman" w:eastAsia="Times New Roman" w:hAnsi="Times New Roman"/>
          <w:sz w:val="22"/>
          <w:szCs w:val="22"/>
          <w:color w:val="auto"/>
        </w:rPr>
      </w:pPr>
    </w:p>
    <w:p>
      <w:pPr>
        <w:ind w:left="980" w:right="20" w:firstLine="1296"/>
        <w:spacing w:after="0" w:line="236" w:lineRule="auto"/>
        <w:tabs>
          <w:tab w:leader="none" w:pos="259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Additional Compensation or Benefits</w:t>
      </w:r>
      <w:r>
        <w:rPr>
          <w:rFonts w:ascii="Times New Roman" w:cs="Times New Roman" w:eastAsia="Times New Roman" w:hAnsi="Times New Roman"/>
          <w:sz w:val="22"/>
          <w:szCs w:val="22"/>
          <w:color w:val="auto"/>
        </w:rPr>
        <w:t>. Other than the compensation and payments provided for in this Agreement and the post-termination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4" w:name="page65"/>
    <w:bookmarkEnd w:id="64"/>
    <w:p>
      <w:pPr>
        <w:jc w:val="both"/>
        <w:ind w:left="980"/>
        <w:spacing w:after="0" w:line="213" w:lineRule="auto"/>
        <w:rPr>
          <w:sz w:val="20"/>
          <w:szCs w:val="20"/>
          <w:color w:val="auto"/>
        </w:rPr>
      </w:pPr>
      <w:r>
        <w:rPr>
          <w:rFonts w:ascii="Times New Roman" w:cs="Times New Roman" w:eastAsia="Times New Roman" w:hAnsi="Times New Roman"/>
          <w:sz w:val="22"/>
          <w:szCs w:val="22"/>
          <w:color w:val="auto"/>
        </w:rPr>
        <w:t xml:space="preserve">benefits provided for in the Employment Agreement, Employee shall not be entitled to any additional compensation, benefits, payments or grants under any agreement, benefit plan, severance plan or bonus or incentive program established by Matador or any of Matador’s affiliates, other than any vested retirement plan benefits, any vested equity grants or COBRA continuation coverage benefits. </w:t>
      </w:r>
      <w:r>
        <w:rPr>
          <w:rFonts w:ascii="Times New Roman" w:cs="Times New Roman" w:eastAsia="Times New Roman" w:hAnsi="Times New Roman"/>
          <w:sz w:val="22"/>
          <w:szCs w:val="22"/>
          <w:b w:val="1"/>
          <w:bCs w:val="1"/>
          <w:color w:val="auto"/>
        </w:rPr>
        <w:t>[TO BE MODIFIED, IF APPLICABLE, FOR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Employee agrees that the release in Section 3 covers any claims Employee might have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compensation, bonuses, stock options or grants and any other benefits Employee may or may not have received during Employee’s employment with Matador.</w:t>
      </w:r>
    </w:p>
    <w:p>
      <w:pPr>
        <w:spacing w:after="0" w:line="156" w:lineRule="exact"/>
        <w:rPr>
          <w:sz w:val="20"/>
          <w:szCs w:val="20"/>
          <w:color w:val="auto"/>
        </w:rPr>
      </w:pPr>
    </w:p>
    <w:p>
      <w:pPr>
        <w:jc w:val="both"/>
        <w:ind w:firstLine="656"/>
        <w:spacing w:after="0" w:line="223" w:lineRule="auto"/>
        <w:tabs>
          <w:tab w:leader="none" w:pos="129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and Waiver</w:t>
      </w:r>
      <w:r>
        <w:rPr>
          <w:rFonts w:ascii="Times New Roman" w:cs="Times New Roman" w:eastAsia="Times New Roman" w:hAnsi="Times New Roman"/>
          <w:sz w:val="21"/>
          <w:szCs w:val="21"/>
          <w:color w:val="auto"/>
        </w:rPr>
        <w:t>. In consideration of the payments and other consideration provided for in this Agreement, that being good and valuable consideration, the receipt, adequacy and sufficiency of which are acknowledged by Employee, Employee, on Employee’s own behalf and on behalf of Employee’s agents, administrators, representatives, executors, successors, heirs, devisees and assigns (collectively, the “</w:t>
      </w:r>
      <w:r>
        <w:rPr>
          <w:rFonts w:ascii="Times New Roman" w:cs="Times New Roman" w:eastAsia="Times New Roman" w:hAnsi="Times New Roman"/>
          <w:sz w:val="21"/>
          <w:szCs w:val="21"/>
          <w:u w:val="single" w:color="auto"/>
          <w:color w:val="auto"/>
        </w:rPr>
        <w:t>Releasing Parties</w:t>
      </w:r>
      <w:r>
        <w:rPr>
          <w:rFonts w:ascii="Times New Roman" w:cs="Times New Roman" w:eastAsia="Times New Roman" w:hAnsi="Times New Roman"/>
          <w:sz w:val="21"/>
          <w:szCs w:val="21"/>
          <w:color w:val="auto"/>
        </w:rPr>
        <w:t>”) hereby fully releases, remises, acquits and forever discharges Matador and all of its affiliates, and each of their respective past, present and future officers, directors, shareholders, equity holders, members, partners, agents, employees, consultants, independent contractors, attorneys, advisers, successors and assigns (collectively,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jointly and severally, from any and all claims, rights, demands, debts, obligations, losses, causes of action, suits, controversies, setoffs, affirmative defenses, counterclaims, third party actions, damages, penalties, costs, expenses, attorneys’ fees, liabilities and indemnities of any kind or nature whatsoever (collectively, the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whether known or unknown, suspected or unsuspected, accrued or unaccrued, whether at law, equity, administrative, statutory or otherwise, and whether for injunctive relief, back pay, fringe benefits, reinstatement, reemployment, or compensatory, punitive or any other kind of damages, which any of the Releasing Parties ever have had in the past or presently have against the Released Parties, and each of them, arising from or relating to Employee’s employment with Matador or its affiliates or the termination of that employment or any circumstances related thereto, or (except as otherwise provided below) any other matter, cause or thing whatsoever, including without limitation all claims arising under or relating to employment, employment contracts, employee benefits or purported employment discrimination or violations of civil rights of whatever kind or nature, including without limitation all claims arising under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the Americans with Disabilities Act, as amended, the Family and Medical Leave Act of 1993, the Equal Pay Act of 1963, the Rehabilitation Act of 1973, Title VII of the United States Civil Rights Act of 1964, 42 U.S.C. § 1981, the Fair Labor Standards Act, the Employee Retirement Income Security Act, the Civil Rights Act of 1991, the Civil Rights Acts of 1866 and/or 1871, the Sarbanes-Oxley Act, the Genetic Information Nondiscrimination Act, the Lily Ledbetter Act, the Texas Commission on Human Rights Act, the Texas Payday Law, the Texas Labor Code or any other applicable federal, state or local employment statute, law or ordinance, including, without limitation, any disability claims under any such laws, claims for wrongful discharge, claims arising under state law, contract claims including breach of express or implied contract, alleged tortious conduct, claims relating to alleged fraud, breach of fiduciary duty or reliance, breach of implied covenant of good faith and fair dealing, and any other claims arising under state or federal law, as well as any expenses, costs or attorneys’ fees. Employee further agrees that Employee will not file or permit to be filed on Employee’s behalf any such claim. Notwithstanding the preceding sentence or any other provision of this Agreement, this release is not intended to interfere with Employee’s right to file a charge with the Equal Employment Opportunity Commission (the “</w:t>
      </w:r>
      <w:r>
        <w:rPr>
          <w:rFonts w:ascii="Times New Roman" w:cs="Times New Roman" w:eastAsia="Times New Roman" w:hAnsi="Times New Roman"/>
          <w:sz w:val="21"/>
          <w:szCs w:val="21"/>
          <w:u w:val="single" w:color="auto"/>
          <w:color w:val="auto"/>
        </w:rPr>
        <w:t>EEOC</w:t>
      </w:r>
      <w:r>
        <w:rPr>
          <w:rFonts w:ascii="Times New Roman" w:cs="Times New Roman" w:eastAsia="Times New Roman" w:hAnsi="Times New Roman"/>
          <w:sz w:val="21"/>
          <w:szCs w:val="21"/>
          <w:color w:val="auto"/>
        </w:rPr>
        <w:t>”), or other comparable agency, in connection with any claim Employee believes Employee may have against Matador or its affiliates. However, by executing this Agreement, Employee hereby waives the right to recover in any proceeding Employee may bring before the EEOC or any state human rights commission or in any proceeding brought by the EEOC or any state human rights commission on Employee’s behalf. This release shall not apply to any of Matador’s obligations under this Agreement or post-termination obligations under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Employment Agreement, any vested retirement plan benefits, any vested equity grants or COBRA continuation coverage benefits. </w:t>
      </w:r>
      <w:r>
        <w:rPr>
          <w:rFonts w:ascii="Times New Roman" w:cs="Times New Roman" w:eastAsia="Times New Roman" w:hAnsi="Times New Roman"/>
          <w:sz w:val="22"/>
          <w:szCs w:val="22"/>
          <w:b w:val="1"/>
          <w:bCs w:val="1"/>
          <w:color w:val="auto"/>
        </w:rPr>
        <w:t>[TO BE MODIFIED, IF APPLICABLE, FOR OTHER SURVIVING ARRANGEMENTS.]</w:t>
      </w:r>
      <w:r>
        <w:rPr>
          <w:rFonts w:ascii="Times New Roman" w:cs="Times New Roman" w:eastAsia="Times New Roman" w:hAnsi="Times New Roman"/>
          <w:sz w:val="22"/>
          <w:szCs w:val="22"/>
          <w:color w:val="auto"/>
        </w:rPr>
        <w:t xml:space="preserve"> Employee acknowledges that certain of the payments and benefits provided for in Section 2 of this Agreement constitute good and valuable consideration for the release contained in this Section 3.</w:t>
      </w:r>
    </w:p>
    <w:p>
      <w:pPr>
        <w:spacing w:after="0" w:line="152" w:lineRule="exact"/>
        <w:rPr>
          <w:sz w:val="20"/>
          <w:szCs w:val="20"/>
          <w:color w:val="auto"/>
        </w:rPr>
      </w:pPr>
    </w:p>
    <w:p>
      <w:pPr>
        <w:jc w:val="both"/>
        <w:ind w:firstLine="656"/>
        <w:spacing w:after="0" w:line="21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Matador Property</w:t>
      </w:r>
      <w:r>
        <w:rPr>
          <w:rFonts w:ascii="Times New Roman" w:cs="Times New Roman" w:eastAsia="Times New Roman" w:hAnsi="Times New Roman"/>
          <w:sz w:val="22"/>
          <w:szCs w:val="22"/>
          <w:color w:val="auto"/>
        </w:rPr>
        <w:t>. Within 7 days of the Agreement Date, Employee shall, to the extent not previously returned or delivered: (a) return all equipment, records, files, programs or other materials and property in Employee’s possession which belongs to Matador or any of its affiliates, including, without limitation, all computers, printers, laptops, personal data assistants, cell phones, credit cards, keys and access cards; and (b) deliver all original and copies of Confidential Information (as defined in the Employment Agreement) in Employee’s possession and notes, materials, records, plans, technical data or other documents, files or programs (whether stored in paper form, computer form, digital form, electronically or otherwise) in Employee’s possession that contain Confidential Information. By signing this Agreement, Employee represents and warrants that Employee has not retained and has or will timely return and deliver all the items described or referenced in subsections (a) or (b) above; and, that should Employee later discover additional items described or referenced in subsections (a) or (b) above, Employee will promptly notify Matador and return/deliver such items to Matador.</w:t>
      </w:r>
    </w:p>
    <w:p>
      <w:pPr>
        <w:spacing w:after="0" w:line="151"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agrees that Employee will not, directly or indirectly, disclose, communicate, or publish any disparaging information concerning Matador or the Released Parties, or cause others to disclose, communicate, or publish any disparaging information concerning the same. Matador, on its own behalf and on behalf of its officers and directors, agrees that they will not, directly or indirectly, disclose, communicate or publish any disparaging information concerning Employee, or cause others to disclose, communicate, or publish any disparaging information concerning Employee. Notwithstanding the foregoing, the provisions of this Section shall not apply with respect to any charge filed by Employee with the EEOC or other comparable agency or in connection with any proceeding with respect to any claim not released by this Agreement.</w:t>
      </w:r>
    </w:p>
    <w:p>
      <w:pPr>
        <w:spacing w:after="0" w:line="399"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Admission of Wrongdoing</w:t>
      </w:r>
      <w:r>
        <w:rPr>
          <w:rFonts w:ascii="Times New Roman" w:cs="Times New Roman" w:eastAsia="Times New Roman" w:hAnsi="Times New Roman"/>
          <w:sz w:val="22"/>
          <w:szCs w:val="22"/>
          <w:color w:val="auto"/>
        </w:rPr>
        <w:t>. This Agreement shall not in any way be construed as an admission by either Party of any acts of wrongdoing, violation of any statute, law or legal or contractual right.</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the Agreement</w:t>
      </w:r>
      <w:r>
        <w:rPr>
          <w:rFonts w:ascii="Times New Roman" w:cs="Times New Roman" w:eastAsia="Times New Roman" w:hAnsi="Times New Roman"/>
          <w:sz w:val="22"/>
          <w:szCs w:val="22"/>
          <w:color w:val="auto"/>
        </w:rPr>
        <w:t>. Employee and Matador represent and agree that they have had an opportunity to review all aspects of this Agreement, and that they fully understand all the provisions of the Agreement and are voluntarily entering into this Agreement. Employee further represents that Employee has not transferred or assigned to any person or entity any claim involving Matador or any portion thereof or interest therein.</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Ongoing Obligations</w:t>
      </w:r>
      <w:r>
        <w:rPr>
          <w:rFonts w:ascii="Times New Roman" w:cs="Times New Roman" w:eastAsia="Times New Roman" w:hAnsi="Times New Roman"/>
          <w:sz w:val="22"/>
          <w:szCs w:val="22"/>
          <w:color w:val="auto"/>
        </w:rPr>
        <w:t>. Employee reaffirms and understands Employee’s ongoing obligations in the Employment Agreement, including Sections 8, 9, 10, 11 and 21.</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Matador and upon Employee and Employee’s heirs, administrators, representatives, executors, successors and assigns and Matador’s representatives, successors and assigns. In the event of Employee’s death, this Agreement shall operate in favor of Employee’s estate and all payments, obligations and consideration will continue to be performed in favor of Employee’s estate.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Agreement be declared or determined to be illegal or invalid by any government agency or court of competent jurisdiction, the validity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5" w:right="339" w:bottom="1440" w:gutter="0" w:footer="0" w:header="0"/>
        </w:sectPr>
      </w:pPr>
    </w:p>
    <w:bookmarkStart w:id="66" w:name="page67"/>
    <w:bookmarkEnd w:id="66"/>
    <w:p>
      <w:pPr>
        <w:ind w:right="20"/>
        <w:spacing w:after="0" w:line="236" w:lineRule="auto"/>
        <w:rPr>
          <w:sz w:val="20"/>
          <w:szCs w:val="20"/>
          <w:color w:val="auto"/>
        </w:rPr>
      </w:pPr>
      <w:r>
        <w:rPr>
          <w:rFonts w:ascii="Times New Roman" w:cs="Times New Roman" w:eastAsia="Times New Roman" w:hAnsi="Times New Roman"/>
          <w:sz w:val="22"/>
          <w:szCs w:val="22"/>
          <w:color w:val="auto"/>
        </w:rPr>
        <w:t>of the remaining parts, terms or provisions of this Agreement shall not be affected and such provisions shall remain in full force and effect.</w:t>
      </w:r>
    </w:p>
    <w:p>
      <w:pPr>
        <w:spacing w:after="0" w:line="150" w:lineRule="exact"/>
        <w:rPr>
          <w:sz w:val="20"/>
          <w:szCs w:val="20"/>
          <w:color w:val="auto"/>
        </w:rPr>
      </w:pPr>
    </w:p>
    <w:p>
      <w:pPr>
        <w:jc w:val="both"/>
        <w:ind w:firstLine="656"/>
        <w:spacing w:after="0" w:line="211" w:lineRule="auto"/>
        <w:tabs>
          <w:tab w:leader="none" w:pos="1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Except for the post-termination obligations in the Employment Agreement, any vested retirement plan benefits, any equity grant agreements and COBRA continuation coverage benefits </w:t>
      </w:r>
      <w:r>
        <w:rPr>
          <w:rFonts w:ascii="Times New Roman" w:cs="Times New Roman" w:eastAsia="Times New Roman" w:hAnsi="Times New Roman"/>
          <w:sz w:val="22"/>
          <w:szCs w:val="22"/>
          <w:b w:val="1"/>
          <w:bCs w:val="1"/>
          <w:color w:val="auto"/>
        </w:rPr>
        <w:t>[TO BE MODIFIED,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APPLICABLE, FOR OTHER SURVIVING ARRANGEMENTS.]</w:t>
      </w:r>
      <w:r>
        <w:rPr>
          <w:rFonts w:ascii="Times New Roman" w:cs="Times New Roman" w:eastAsia="Times New Roman" w:hAnsi="Times New Roman"/>
          <w:sz w:val="22"/>
          <w:szCs w:val="22"/>
          <w:color w:val="auto"/>
        </w:rPr>
        <w:t>, this Agreement sets forth the entire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and fully supersedes any and all prior agreements, understandings, or representations between the Parties pertaining to Employee’s employment with Matador, the subject matter of this Agreement or any other term or condition of the employment relationship between Matador and Employee. Employee represents and acknowledges that in executing this Agreement, Employee does not rely, and has not relied, upon any representation(s) by Matador or its agents except as expressly contained in this Agreement or the Employment Agreement. Employee and Matador agree that they have each used their own judgment in entering into this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Knowing and Voluntary Waiver</w:t>
      </w:r>
      <w:r>
        <w:rPr>
          <w:rFonts w:ascii="Times New Roman" w:cs="Times New Roman" w:eastAsia="Times New Roman" w:hAnsi="Times New Roman"/>
          <w:sz w:val="21"/>
          <w:szCs w:val="21"/>
          <w:color w:val="auto"/>
        </w:rPr>
        <w:t>. Employee, by Employee’s free and voluntary act of signing below, (i) acknowledges that Employee has been given a period of twenty-one (21) days to consider whether to agree to the terms contained herein, (ii) acknowledges that Employee has been advised to consult with an attorney prior to executing this Agreement, (iii) acknowledges that Employee understands that this Agreement specifically releases and waives all rights and claims Employee may have under the ADEA, prior to the date on which Employee signs this Agreement, and (iv) agrees to all of the terms of this Agreement and intends to be legally bound thereby. The Parties acknowledge and agree that each Party has reviewed and negotiated the terms and provisions of this Agreement and has contributed to its preparation (with advice of counsel). Accordingly, the rule of construction to the effect that ambiguities are resolved against the drafting party shall not be employed in the interpretation of this Agreement. Rather, the terms of this Agreement shall be construed fairly as to both Parties and not in favor of or against either Party, regardless of which Party generally was responsible for the preparation of this Agreement.</w:t>
      </w:r>
    </w:p>
    <w:p>
      <w:pPr>
        <w:spacing w:after="0" w:line="152" w:lineRule="exact"/>
        <w:rPr>
          <w:sz w:val="20"/>
          <w:szCs w:val="20"/>
          <w:color w:val="auto"/>
        </w:rPr>
      </w:pPr>
    </w:p>
    <w:p>
      <w:pPr>
        <w:ind w:right="120" w:firstLine="441"/>
        <w:spacing w:after="0" w:line="218" w:lineRule="auto"/>
        <w:rPr>
          <w:sz w:val="20"/>
          <w:szCs w:val="20"/>
          <w:color w:val="auto"/>
        </w:rPr>
      </w:pPr>
      <w:r>
        <w:rPr>
          <w:rFonts w:ascii="Times New Roman" w:cs="Times New Roman" w:eastAsia="Times New Roman" w:hAnsi="Times New Roman"/>
          <w:sz w:val="21"/>
          <w:szCs w:val="21"/>
          <w:color w:val="auto"/>
        </w:rPr>
        <w:t>This Agreement will become effective, enforceable and irrevocable on the eighth day after the date on which it is executed by Employee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During the seven-day period prior to the Effective Date, Employee may revoke Employee’s agreement to accept the terms hereof by giving notice to Matador of Employee’s intention to revoke. If Employee exercises Employee’s right to revoke hereunder, Employee shall not be entitled, except as required by applicable wage payment laws, including but not limited to the Accrued Obligations, to any payment hereunder until Employee executes and does not revoke a comparable release of claims, and to the extent such payments or benefits have already been made, Employee agrees that Employee will immediately reimburse Matador for the amounts of such payments and benefits to which he is not entitled.</w:t>
      </w:r>
    </w:p>
    <w:p>
      <w:pPr>
        <w:spacing w:after="0" w:line="1" w:lineRule="exact"/>
        <w:rPr>
          <w:sz w:val="20"/>
          <w:szCs w:val="20"/>
          <w:color w:val="auto"/>
        </w:rPr>
      </w:pPr>
    </w:p>
    <w:p>
      <w:pPr>
        <w:jc w:val="both"/>
        <w:ind w:firstLine="656"/>
        <w:spacing w:after="0" w:line="218"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will be in writing. Any notice or other communication hereunder shall be deemed duly given if it is delivered personally or sent by registered or certified mail, return receipt requested, postage prepaid, and addressed to the intended recipient as set forth:</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Employee:</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[EMPLOYEE]</w:t>
      </w:r>
    </w:p>
    <w:p>
      <w:pPr>
        <w:ind w:left="880"/>
        <w:spacing w:after="0"/>
        <w:rPr>
          <w:sz w:val="20"/>
          <w:szCs w:val="20"/>
          <w:color w:val="auto"/>
        </w:rPr>
      </w:pPr>
      <w:r>
        <w:rPr>
          <w:rFonts w:ascii="Times New Roman" w:cs="Times New Roman" w:eastAsia="Times New Roman" w:hAnsi="Times New Roman"/>
          <w:sz w:val="22"/>
          <w:szCs w:val="22"/>
          <w:color w:val="auto"/>
        </w:rPr>
        <w:t>[EMPLOYEE ADDRESS]</w:t>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Matador:</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Matador Resources Company</w:t>
      </w:r>
    </w:p>
    <w:p>
      <w:pPr>
        <w:ind w:left="880"/>
        <w:spacing w:after="0"/>
        <w:rPr>
          <w:sz w:val="20"/>
          <w:szCs w:val="20"/>
          <w:color w:val="auto"/>
        </w:rPr>
      </w:pPr>
      <w:r>
        <w:rPr>
          <w:rFonts w:ascii="Times New Roman" w:cs="Times New Roman" w:eastAsia="Times New Roman" w:hAnsi="Times New Roman"/>
          <w:sz w:val="22"/>
          <w:szCs w:val="22"/>
          <w:color w:val="auto"/>
        </w:rPr>
        <w:t>One Lincoln Centre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67" w:name="page68"/>
    <w:bookmarkEnd w:id="67"/>
    <w:p>
      <w:pPr>
        <w:ind w:left="880"/>
        <w:spacing w:after="0"/>
        <w:rPr>
          <w:sz w:val="20"/>
          <w:szCs w:val="20"/>
          <w:color w:val="auto"/>
        </w:rPr>
      </w:pPr>
      <w:r>
        <w:rPr>
          <w:rFonts w:ascii="Times New Roman" w:cs="Times New Roman" w:eastAsia="Times New Roman" w:hAnsi="Times New Roman"/>
          <w:sz w:val="22"/>
          <w:szCs w:val="22"/>
          <w:color w:val="auto"/>
        </w:rPr>
        <w:t>5400 LBJ Freeway, Suite 1500</w:t>
      </w:r>
    </w:p>
    <w:p>
      <w:pPr>
        <w:ind w:left="880"/>
        <w:spacing w:after="0" w:line="204" w:lineRule="auto"/>
        <w:rPr>
          <w:sz w:val="20"/>
          <w:szCs w:val="20"/>
          <w:color w:val="auto"/>
        </w:rPr>
      </w:pPr>
      <w:r>
        <w:rPr>
          <w:rFonts w:ascii="Times New Roman" w:cs="Times New Roman" w:eastAsia="Times New Roman" w:hAnsi="Times New Roman"/>
          <w:sz w:val="22"/>
          <w:szCs w:val="22"/>
          <w:color w:val="auto"/>
        </w:rPr>
        <w:t>Dallas, TX 75240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101" w:lineRule="exact"/>
        <w:rPr>
          <w:sz w:val="20"/>
          <w:szCs w:val="20"/>
          <w:color w:val="auto"/>
        </w:rPr>
      </w:pPr>
    </w:p>
    <w:p>
      <w:pPr>
        <w:ind w:right="560"/>
        <w:spacing w:after="0" w:line="216" w:lineRule="auto"/>
        <w:rPr>
          <w:sz w:val="20"/>
          <w:szCs w:val="20"/>
          <w:color w:val="auto"/>
        </w:rPr>
      </w:pPr>
      <w:r>
        <w:rPr>
          <w:rFonts w:ascii="Times New Roman" w:cs="Times New Roman" w:eastAsia="Times New Roman" w:hAnsi="Times New Roman"/>
          <w:sz w:val="22"/>
          <w:szCs w:val="22"/>
          <w:color w:val="auto"/>
        </w:rPr>
        <w:t>Any Party may change the address to which notices and other communications are to be delivered by giving the other Party notice.</w:t>
      </w:r>
    </w:p>
    <w:p>
      <w:pPr>
        <w:spacing w:after="0" w:line="1" w:lineRule="exact"/>
        <w:rPr>
          <w:sz w:val="20"/>
          <w:szCs w:val="20"/>
          <w:color w:val="auto"/>
        </w:rPr>
      </w:pPr>
    </w:p>
    <w:p>
      <w:pPr>
        <w:ind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Arbitration</w:t>
      </w:r>
      <w:r>
        <w:rPr>
          <w:rFonts w:ascii="Times New Roman" w:cs="Times New Roman" w:eastAsia="Times New Roman" w:hAnsi="Times New Roman"/>
          <w:sz w:val="22"/>
          <w:szCs w:val="22"/>
          <w:color w:val="auto"/>
        </w:rPr>
        <w:t>. This section of the Agreement shall be governed by Section 23 of the Employment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when executed and delivered (which deliveries may be by facsimile or other electronic method of delivery) shall be deemed an original and all of which together shall constitute one and the same instrument.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of Claims</w:t>
      </w:r>
      <w:r>
        <w:rPr>
          <w:rFonts w:ascii="Times New Roman" w:cs="Times New Roman" w:eastAsia="Times New Roman" w:hAnsi="Times New Roman"/>
          <w:sz w:val="22"/>
          <w:szCs w:val="22"/>
          <w:color w:val="auto"/>
        </w:rPr>
        <w:t>. Employee represents and agrees that Employee has not transferred or assigned, to any person or entity, any claim involving Matador, or any portion thereof or interest therein.</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This Agreement may not be waived, modified, amended, supplemented, canceled or discharged, except by written agreement of the Parties. Failure to exercise and/or delay in exercising any right, power or privilege in this Agreement shall not operate as a waiver. No waiver of any breach of any provision shall be deemed to be a waiver of any preceding or succeeding breach of the same or any other provision, nor shall any waiver be implied from any course of dealing between or among the Parties.</w:t>
      </w:r>
    </w:p>
    <w:p>
      <w:pPr>
        <w:spacing w:after="0" w:line="175" w:lineRule="exact"/>
        <w:rPr>
          <w:sz w:val="20"/>
          <w:szCs w:val="20"/>
          <w:color w:val="auto"/>
        </w:rPr>
      </w:pPr>
    </w:p>
    <w:p>
      <w:pPr>
        <w:jc w:val="center"/>
        <w:ind w:left="340" w:right="40"/>
        <w:spacing w:after="0" w:line="227" w:lineRule="auto"/>
        <w:rPr>
          <w:sz w:val="20"/>
          <w:szCs w:val="20"/>
          <w:color w:val="auto"/>
        </w:rPr>
      </w:pPr>
      <w:r>
        <w:rPr>
          <w:rFonts w:ascii="Times New Roman" w:cs="Times New Roman" w:eastAsia="Times New Roman" w:hAnsi="Times New Roman"/>
          <w:sz w:val="22"/>
          <w:szCs w:val="22"/>
          <w:b w:val="1"/>
          <w:bCs w:val="1"/>
          <w:color w:val="auto"/>
        </w:rPr>
        <w:t>I ACKNOWLEDGE THAT I HAVE CAREFULLY READ THE FOREGOING AGREEMENT, THAT I UNDERSTAND ALL OF ITS TERMS AND THAT I AM RELEASING CLAIMS AND THAT I AM ENTERING INTO IT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TO BY:</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22"/>
          <w:szCs w:val="22"/>
          <w:color w:val="auto"/>
        </w:rPr>
        <w:t>[EMPLOYEE]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2" w:right="339" w:bottom="1440" w:gutter="0" w:footer="0" w:header="0"/>
        </w:sectPr>
      </w:pPr>
    </w:p>
    <w:bookmarkStart w:id="68" w:name="page69"/>
    <w:bookmarkEnd w:id="68"/>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STATE OF TEXAS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COUNTY OF</w:t>
      </w:r>
    </w:p>
    <w:p>
      <w:pPr>
        <w:spacing w:after="0" w:line="247"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22"/>
          <w:szCs w:val="22"/>
          <w:color w:val="auto"/>
        </w:rPr>
        <w:t>Before me, a Notary Public, on this day personally appeared, known to me to be the person whose name is subscribed to the foregoing instrument, and acknowledges to me that he has executed this Agreement on behalf of himself and his heirs, for the purposes and consideration therein expressed.</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Given under my hand and seal of office this day of ___________, 20_____ .</w:t>
      </w:r>
    </w:p>
    <w:p>
      <w:pPr>
        <w:spacing w:after="0" w:line="200" w:lineRule="exact"/>
        <w:rPr>
          <w:sz w:val="20"/>
          <w:szCs w:val="20"/>
          <w:color w:val="auto"/>
        </w:rPr>
      </w:pPr>
    </w:p>
    <w:p>
      <w:pPr>
        <w:spacing w:after="0" w:line="3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Notary Public in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-151765</wp:posOffset>
            </wp:positionV>
            <wp:extent cx="1568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State of Texas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(PERSONALIZED SEAL)</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MATADOR RESOURCES COMPANY</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12065</wp:posOffset>
            </wp:positionV>
            <wp:extent cx="23742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3742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-158750</wp:posOffset>
            </wp:positionV>
            <wp:extent cx="2374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19685</wp:posOffset>
            </wp:positionV>
            <wp:extent cx="23742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STATE OF TEXAS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19685</wp:posOffset>
            </wp:positionV>
            <wp:extent cx="20313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40" w:lineRule="exact"/>
        <w:rPr>
          <w:sz w:val="20"/>
          <w:szCs w:val="20"/>
          <w:color w:val="auto"/>
        </w:rPr>
      </w:pPr>
    </w:p>
    <w:p>
      <w:pPr>
        <w:ind w:right="80" w:firstLine="441"/>
        <w:spacing w:after="0" w:line="225" w:lineRule="auto"/>
        <w:rPr>
          <w:sz w:val="20"/>
          <w:szCs w:val="20"/>
          <w:color w:val="auto"/>
        </w:rPr>
      </w:pPr>
      <w:r>
        <w:rPr>
          <w:rFonts w:ascii="Times New Roman" w:cs="Times New Roman" w:eastAsia="Times New Roman" w:hAnsi="Times New Roman"/>
          <w:sz w:val="22"/>
          <w:szCs w:val="22"/>
          <w:color w:val="auto"/>
        </w:rPr>
        <w:t>Before me, a Notary Public, on this day personally appeared, known to me to be the person and officer whose name is subscribed to the foregoing instrument and acknowledged to me that the same was the act of , and that he has executed the same on behalf of said corporation for the purposes and consideration therein expressed, and in the capacity therein stated.</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Given under my hand and seal of office this day of ___________, 20__ .</w:t>
      </w:r>
    </w:p>
    <w:p>
      <w:pPr>
        <w:spacing w:after="0" w:line="200" w:lineRule="exact"/>
        <w:rPr>
          <w:sz w:val="20"/>
          <w:szCs w:val="20"/>
          <w:color w:val="auto"/>
        </w:rPr>
      </w:pPr>
    </w:p>
    <w:p>
      <w:pPr>
        <w:spacing w:after="0" w:line="3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Notary Public in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-151765</wp:posOffset>
            </wp:positionV>
            <wp:extent cx="1568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22"/>
          <w:szCs w:val="22"/>
          <w:color w:val="auto"/>
        </w:rPr>
        <w:t>State of Texas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(PERSONALIZED SEAL)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440" w:right="4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135"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As of September 30, 2022, the following subsidiaries of Matador Resources Company (the “Company”) were guarantors of the Company’s 5.875% Senior Notes due 2026.</w:t>
      </w: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8"/>
                <w:szCs w:val="18"/>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32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 Water Management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GP, Inc.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Gathering and Disposal Systems, LP</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Delaware,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Holdings,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Southeast,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 Midstream South Texas,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Matador Production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Delaware Resources,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Southeast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Energy South Texas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Permian LKE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MRC Rockies Company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 Water Management Company,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 Permian, LLC</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3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2022</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Frenzel, certify that:</w:t>
      </w:r>
    </w:p>
    <w:p>
      <w:pPr>
        <w:spacing w:after="0" w:line="171" w:lineRule="exact"/>
        <w:rPr>
          <w:sz w:val="20"/>
          <w:szCs w:val="20"/>
          <w:color w:val="auto"/>
        </w:rPr>
      </w:pPr>
    </w:p>
    <w:p>
      <w:pPr>
        <w:ind w:left="640" w:hanging="187"/>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October 28, 2022</w:t>
      </w:r>
      <w:r>
        <w:rPr>
          <w:sz w:val="20"/>
          <w:szCs w:val="20"/>
          <w:color w:val="auto"/>
        </w:rPr>
        <w:tab/>
      </w:r>
      <w:r>
        <w:rPr>
          <w:rFonts w:ascii="Times New Roman" w:cs="Times New Roman" w:eastAsia="Times New Roman" w:hAnsi="Times New Roman"/>
          <w:sz w:val="17"/>
          <w:szCs w:val="17"/>
          <w:color w:val="auto"/>
        </w:rPr>
        <w:t>/s/ Michael D. Frenzel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2503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D. Frenzel</w:t>
      </w:r>
    </w:p>
    <w:p>
      <w:pPr>
        <w:ind w:left="5740"/>
        <w:spacing w:after="0" w:line="219" w:lineRule="auto"/>
        <w:rPr>
          <w:sz w:val="20"/>
          <w:szCs w:val="20"/>
          <w:color w:val="auto"/>
        </w:rPr>
      </w:pPr>
      <w:r>
        <w:rPr>
          <w:rFonts w:ascii="Times New Roman" w:cs="Times New Roman" w:eastAsia="Times New Roman" w:hAnsi="Times New Roman"/>
          <w:sz w:val="18"/>
          <w:szCs w:val="18"/>
          <w:color w:val="auto"/>
        </w:rPr>
        <w:t>Executive Vice President and Treasurer</w:t>
      </w: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September 30, 2022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2022</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September 30, 2022 as filed with the Securities and Exchange Commission on the date hereof (the “Form 10-Q”), I, Michael D. Frenzel, hereby certify in my capacity as Executive Vice President and Treasurer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2022</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49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180"/>
        </w:trPr>
        <w:tc>
          <w:tcPr>
            <w:tcW w:w="4920" w:type="dxa"/>
            <w:vAlign w:val="bottom"/>
          </w:tcPr>
          <w:p>
            <w:pPr>
              <w:spacing w:after="0"/>
              <w:rPr>
                <w:sz w:val="15"/>
                <w:szCs w:val="15"/>
                <w:color w:val="auto"/>
              </w:rPr>
            </w:pPr>
          </w:p>
        </w:tc>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Treasurer</w:t>
            </w:r>
          </w:p>
        </w:tc>
      </w:tr>
      <w:tr>
        <w:trPr>
          <w:trHeight w:val="234"/>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lowerRoman"/>
      <w:start w:val="3"/>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Roman"/>
      <w:start w:val="1"/>
    </w:lvl>
  </w:abstractNum>
  <w:abstractNum w:abstractNumId="17">
    <w:nsid w:val="440BADFC"/>
    <w:multiLevelType w:val="hybridMultilevel"/>
    <w:lvl w:ilvl="0">
      <w:lvlJc w:val="left"/>
      <w:lvlText w:val="%1"/>
      <w:numFmt w:val="decimal"/>
      <w:start w:val="101"/>
    </w:lvl>
  </w:abstractNum>
  <w:abstractNum w:abstractNumId="18">
    <w:nsid w:val="5072367"/>
    <w:multiLevelType w:val="hybridMultilevel"/>
    <w:lvl w:ilvl="0">
      <w:lvlJc w:val="left"/>
      <w:lvlText w:val="%1"/>
      <w:numFmt w:val="decimal"/>
      <w:start w:val="104"/>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decimal"/>
      <w:start w:val="1"/>
    </w:lvl>
    <w:lvl w:ilvl="1">
      <w:lvlJc w:val="left"/>
      <w:lvlText w:val="(%2)"/>
      <w:numFmt w:val="lowerLetter"/>
      <w:start w:val="1"/>
    </w:lvl>
  </w:abstractNum>
  <w:abstractNum w:abstractNumId="22">
    <w:nsid w:val="5C482A97"/>
    <w:multiLevelType w:val="hybridMultilevel"/>
    <w:lvl w:ilvl="0">
      <w:lvlJc w:val="left"/>
      <w:lvlText w:val="%1."/>
      <w:numFmt w:val="decimal"/>
      <w:start w:val="5"/>
    </w:lvl>
    <w:lvl w:ilvl="1">
      <w:lvlJc w:val="left"/>
      <w:lvlText w:val="%2"/>
      <w:numFmt w:val="lowerLetter"/>
      <w:start w:val="1"/>
    </w:lvl>
  </w:abstractNum>
  <w:abstractNum w:abstractNumId="23">
    <w:nsid w:val="2463B9E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4">
    <w:nsid w:val="5E884ADC"/>
    <w:multiLevelType w:val="hybridMultilevel"/>
    <w:lvl w:ilvl="0">
      <w:lvlJc w:val="left"/>
      <w:lvlText w:val="(%1)"/>
      <w:numFmt w:val="lowerLetter"/>
      <w:start w:val="2"/>
    </w:lvl>
    <w:lvl w:ilvl="1">
      <w:lvlJc w:val="left"/>
      <w:lvlText w:val="%2."/>
      <w:numFmt w:val="decimal"/>
      <w:start w:val="9"/>
    </w:lvl>
    <w:lvl w:ilvl="2">
      <w:lvlJc w:val="left"/>
      <w:lvlText w:val="(%3)"/>
      <w:numFmt w:val="lowerLetter"/>
      <w:start w:val="1"/>
    </w:lvl>
  </w:abstractNum>
  <w:abstractNum w:abstractNumId="25">
    <w:nsid w:val="51EAD36B"/>
    <w:multiLevelType w:val="hybridMultilevel"/>
    <w:lvl w:ilvl="0">
      <w:lvlJc w:val="left"/>
      <w:lvlText w:val="(%1)"/>
      <w:numFmt w:val="lowerLetter"/>
      <w:start w:val="9"/>
    </w:lvl>
    <w:lvl w:ilvl="1">
      <w:lvlJc w:val="left"/>
      <w:lvlText w:val="(%2)"/>
      <w:numFmt w:val="lowerLetter"/>
      <w:start w:val="2"/>
    </w:lvl>
  </w:abstractNum>
  <w:abstractNum w:abstractNumId="26">
    <w:nsid w:val="2D517796"/>
    <w:multiLevelType w:val="hybridMultilevel"/>
    <w:lvl w:ilvl="0">
      <w:lvlJc w:val="left"/>
      <w:lvlText w:val="%1."/>
      <w:numFmt w:val="decimal"/>
      <w:start w:val="10"/>
    </w:lvl>
    <w:lvl w:ilvl="1">
      <w:lvlJc w:val="left"/>
      <w:lvlText w:val="(%2)"/>
      <w:numFmt w:val="lowerLetter"/>
      <w:start w:val="2"/>
    </w:lvl>
  </w:abstractNum>
  <w:abstractNum w:abstractNumId="27">
    <w:nsid w:val="580BD78F"/>
    <w:multiLevelType w:val="hybridMultilevel"/>
    <w:lvl w:ilvl="0">
      <w:lvlJc w:val="left"/>
      <w:lvlText w:val="%1."/>
      <w:numFmt w:val="decimal"/>
      <w:start w:val="11"/>
    </w:lvl>
    <w:lvl w:ilvl="1">
      <w:lvlJc w:val="left"/>
      <w:lvlText w:val="(%2)"/>
      <w:numFmt w:val="lowerLetter"/>
      <w:start w:val="1"/>
    </w:lvl>
  </w:abstractNum>
  <w:abstractNum w:abstractNumId="28">
    <w:nsid w:val="153EA438"/>
    <w:multiLevelType w:val="hybridMultilevel"/>
    <w:lvl w:ilvl="0">
      <w:lvlJc w:val="left"/>
      <w:lvlText w:val="%1"/>
      <w:numFmt w:val="decimal"/>
      <w:start w:val="1"/>
    </w:lvl>
    <w:lvl w:ilvl="1">
      <w:lvlJc w:val="left"/>
      <w:lvlText w:val="(%2)"/>
      <w:numFmt w:val="lowerLetter"/>
      <w:start w:val="6"/>
    </w:lvl>
  </w:abstractNum>
  <w:abstractNum w:abstractNumId="29">
    <w:nsid w:val="3855585C"/>
    <w:multiLevelType w:val="hybridMultilevel"/>
    <w:lvl w:ilvl="0">
      <w:lvlJc w:val="left"/>
      <w:lvlText w:val="%1."/>
      <w:numFmt w:val="decimal"/>
      <w:start w:val="13"/>
    </w:lvl>
    <w:lvl w:ilvl="1">
      <w:lvlJc w:val="left"/>
      <w:lvlText w:val="%2"/>
      <w:numFmt w:val="lowerLetter"/>
      <w:start w:val="1"/>
    </w:lvl>
  </w:abstractNum>
  <w:abstractNum w:abstractNumId="30">
    <w:nsid w:val="70A64E2A"/>
    <w:multiLevelType w:val="hybridMultilevel"/>
    <w:lvl w:ilvl="0">
      <w:lvlJc w:val="left"/>
      <w:lvlText w:val="%1."/>
      <w:numFmt w:val="decimal"/>
      <w:start w:val="14"/>
    </w:lvl>
    <w:lvl w:ilvl="1">
      <w:lvlJc w:val="left"/>
      <w:lvlText w:val="(%2)"/>
      <w:numFmt w:val="lowerLetter"/>
      <w:start w:val="5"/>
    </w:lvl>
  </w:abstractNum>
  <w:abstractNum w:abstractNumId="31">
    <w:nsid w:val="6A2342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32">
    <w:nsid w:val="2A487CB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3">
    <w:nsid w:val="1D4ED43B"/>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0"/>
    </w:lvl>
  </w:abstractNum>
  <w:abstractNum w:abstractNumId="34">
    <w:nsid w:val="725A06FB"/>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5">
    <w:nsid w:val="2CD89A3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6">
    <w:nsid w:val="57E4CCAF"/>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upperLetter"/>
      <w:start w:val="2"/>
    </w:lvl>
  </w:abstractNum>
  <w:abstractNum w:abstractNumId="37">
    <w:nsid w:val="7A6D8D3C"/>
    <w:multiLevelType w:val="hybridMultilevel"/>
    <w:lvl w:ilvl="0">
      <w:lvlJc w:val="left"/>
      <w:lvlText w:val="(%1)"/>
      <w:numFmt w:val="lowerRoman"/>
      <w:start w:val="3"/>
    </w:lvl>
  </w:abstractNum>
  <w:abstractNum w:abstractNumId="38">
    <w:nsid w:val="4B588F54"/>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39">
    <w:nsid w:val="542289EC"/>
    <w:multiLevelType w:val="hybridMultilevel"/>
    <w:lvl w:ilvl="0">
      <w:lvlJc w:val="left"/>
      <w:lvlText w:val="(%1)"/>
      <w:numFmt w:val="decimal"/>
      <w:start w:val="30"/>
    </w:lvl>
    <w:lvl w:ilvl="1">
      <w:lvlJc w:val="left"/>
      <w:lvlText w:val="%2"/>
      <w:numFmt w:val="upperLetter"/>
      <w:start w:val="1"/>
    </w:lvl>
    <w:lvl w:ilvl="2">
      <w:lvlJc w:val="left"/>
      <w:lvlText w:val="(%3)"/>
      <w:numFmt w:val="upperLetter"/>
      <w:start w:val="3"/>
    </w:lvl>
  </w:abstractNum>
  <w:abstractNum w:abstractNumId="40">
    <w:nsid w:val="6DE91B18"/>
    <w:multiLevelType w:val="hybridMultilevel"/>
    <w:lvl w:ilvl="0">
      <w:lvlJc w:val="left"/>
      <w:lvlText w:val="%1."/>
      <w:numFmt w:val="decimal"/>
      <w:start w:val="17"/>
    </w:lvl>
  </w:abstractNum>
  <w:abstractNum w:abstractNumId="41">
    <w:nsid w:val="38437FDB"/>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1"/>
    </w:lvl>
  </w:abstractNum>
  <w:abstractNum w:abstractNumId="42">
    <w:nsid w:val="7644A45C"/>
    <w:multiLevelType w:val="hybridMultilevel"/>
    <w:lvl w:ilvl="0">
      <w:lvlJc w:val="left"/>
      <w:lvlText w:val="%1."/>
      <w:numFmt w:val="decimal"/>
      <w:start w:val="26"/>
    </w:lvl>
  </w:abstractNum>
  <w:abstractNum w:abstractNumId="43">
    <w:nsid w:val="32FFF902"/>
    <w:multiLevelType w:val="hybridMultilevel"/>
    <w:lvl w:ilvl="0">
      <w:lvlJc w:val="left"/>
      <w:lvlText w:val="%1."/>
      <w:numFmt w:val="decimal"/>
      <w:start w:val="1"/>
    </w:lvl>
    <w:lvl w:ilvl="1">
      <w:lvlJc w:val="left"/>
      <w:lvlText w:val="(%2)"/>
      <w:numFmt w:val="lowerLetter"/>
      <w:start w:val="1"/>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1."/>
      <w:numFmt w:val="decimal"/>
      <w:start w:val="4"/>
    </w:lvl>
  </w:abstractNum>
  <w:abstractNum w:abstractNumId="46">
    <w:nsid w:val="749ABB43"/>
    <w:multiLevelType w:val="hybridMultilevel"/>
    <w:lvl w:ilvl="0">
      <w:lvlJc w:val="left"/>
      <w:lvlText w:val="%1."/>
      <w:numFmt w:val="decimal"/>
      <w:start w:val="11"/>
    </w:lvl>
  </w:abstractNum>
  <w:abstractNum w:abstractNumId="47">
    <w:nsid w:val="3DC240FB"/>
    <w:multiLevelType w:val="hybridMultilevel"/>
    <w:lvl w:ilvl="0">
      <w:lvlJc w:val="left"/>
      <w:lvlText w:val="%1."/>
      <w:numFmt w:val="decimal"/>
      <w:start w:val="13"/>
    </w:lvl>
  </w:abstractNum>
  <w:abstractNum w:abstractNumId="48">
    <w:nsid w:val="1BA026FA"/>
    <w:multiLevelType w:val="hybridMultilevel"/>
    <w:lvl w:ilvl="0">
      <w:lvlJc w:val="left"/>
      <w:lvlText w:val="%1."/>
      <w:numFmt w:val="decimal"/>
      <w:start w:val="1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66" Type="http://schemas.openxmlformats.org/officeDocument/2006/relationships/hyperlink" Target="http://www.sec.gov/Archives/edgar/data/1520006/000152000617000188/a20170630mtdr10q-exhibit32.htm" TargetMode="External"/><Relationship Id="rId67" Type="http://schemas.openxmlformats.org/officeDocument/2006/relationships/hyperlink" Target="http://www.sec.gov/Archives/edgar/data/1520006/000152000617000188/a20170630mtdr10q-exhibit33.htm" TargetMode="External"/><Relationship Id="rId68" Type="http://schemas.openxmlformats.org/officeDocument/2006/relationships/hyperlink" Target="http://www.sec.gov/Archives/edgar/data/1520006/000152000617000188/a20170630mtdr10q-exhibit34.htm" TargetMode="External"/><Relationship Id="rId69"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2022-10-28T16:30:44Z</dcterms:created>
  <dcterms:modified xsi:type="dcterms:W3CDTF">2022-10-28T16:30:44Z</dcterms:modified>
</cp:coreProperties>
</file>