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420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31" w:lineRule="exact"/>
        <w:rPr>
          <w:sz w:val="24"/>
          <w:szCs w:val="24"/>
          <w:color w:val="auto"/>
        </w:rPr>
      </w:pPr>
    </w:p>
    <w:p>
      <w:pPr>
        <w:ind w:left="500" w:right="260" w:hanging="465"/>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10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26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410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001-35410</w:t>
      </w:r>
    </w:p>
    <w:p>
      <w:pPr>
        <w:spacing w:after="0" w:line="63" w:lineRule="exact"/>
        <w:rPr>
          <w:sz w:val="24"/>
          <w:szCs w:val="24"/>
          <w:color w:val="auto"/>
        </w:rPr>
      </w:pPr>
    </w:p>
    <w:p>
      <w:pPr>
        <w:ind w:left="416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2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Matador Resources Company</w:t>
      </w:r>
    </w:p>
    <w:p>
      <w:pPr>
        <w:spacing w:after="0" w:line="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9"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3"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6520" w:type="dxa"/>
            <w:vAlign w:val="bottom"/>
          </w:tcPr>
          <w:p>
            <w:pPr>
              <w:jc w:val="center"/>
              <w:ind w:right="3439"/>
              <w:spacing w:after="0"/>
              <w:rPr>
                <w:sz w:val="20"/>
                <w:szCs w:val="20"/>
                <w:color w:val="auto"/>
              </w:rPr>
            </w:pPr>
            <w:r>
              <w:rPr>
                <w:rFonts w:ascii="Arial" w:cs="Arial" w:eastAsia="Arial" w:hAnsi="Arial"/>
                <w:sz w:val="18"/>
                <w:szCs w:val="18"/>
                <w:b w:val="1"/>
                <w:bCs w:val="1"/>
                <w:color w:val="auto"/>
                <w:w w:val="86"/>
              </w:rPr>
              <w:t>Texas</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27-4662601</w:t>
            </w:r>
          </w:p>
        </w:tc>
      </w:tr>
      <w:tr>
        <w:trPr>
          <w:trHeight w:val="180"/>
        </w:trPr>
        <w:tc>
          <w:tcPr>
            <w:tcW w:w="6520" w:type="dxa"/>
            <w:vAlign w:val="bottom"/>
          </w:tcPr>
          <w:p>
            <w:pPr>
              <w:jc w:val="center"/>
              <w:ind w:right="3439"/>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439"/>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520" w:type="dxa"/>
            <w:vAlign w:val="bottom"/>
          </w:tcPr>
          <w:p>
            <w:pPr>
              <w:jc w:val="right"/>
              <w:ind w:right="4119"/>
              <w:spacing w:after="0"/>
              <w:rPr>
                <w:sz w:val="20"/>
                <w:szCs w:val="20"/>
                <w:color w:val="auto"/>
              </w:rPr>
            </w:pPr>
            <w:r>
              <w:rPr>
                <w:rFonts w:ascii="Arial" w:cs="Arial" w:eastAsia="Arial" w:hAnsi="Arial"/>
                <w:sz w:val="18"/>
                <w:szCs w:val="18"/>
                <w:b w:val="1"/>
                <w:bCs w:val="1"/>
                <w:color w:val="auto"/>
                <w:w w:val="90"/>
              </w:rPr>
              <w:t>5400 LBJ Freeway, Suite 1500</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75240</w:t>
            </w:r>
          </w:p>
        </w:tc>
      </w:tr>
      <w:tr>
        <w:trPr>
          <w:trHeight w:val="270"/>
        </w:trPr>
        <w:tc>
          <w:tcPr>
            <w:tcW w:w="6520" w:type="dxa"/>
            <w:vAlign w:val="bottom"/>
          </w:tcPr>
          <w:p>
            <w:pPr>
              <w:jc w:val="right"/>
              <w:ind w:right="4479"/>
              <w:spacing w:after="0"/>
              <w:rPr>
                <w:sz w:val="20"/>
                <w:szCs w:val="20"/>
                <w:color w:val="auto"/>
              </w:rPr>
            </w:pPr>
            <w:r>
              <w:rPr>
                <w:rFonts w:ascii="Arial" w:cs="Arial" w:eastAsia="Arial" w:hAnsi="Arial"/>
                <w:sz w:val="18"/>
                <w:szCs w:val="18"/>
                <w:b w:val="1"/>
                <w:bCs w:val="1"/>
                <w:color w:val="auto"/>
              </w:rPr>
              <w:t>Dallas, Texas</w:t>
            </w:r>
          </w:p>
        </w:tc>
        <w:tc>
          <w:tcPr>
            <w:tcW w:w="1240" w:type="dxa"/>
            <w:vAlign w:val="bottom"/>
          </w:tcPr>
          <w:p>
            <w:pPr>
              <w:spacing w:after="0"/>
              <w:rPr>
                <w:sz w:val="23"/>
                <w:szCs w:val="23"/>
                <w:color w:val="auto"/>
              </w:rPr>
            </w:pPr>
          </w:p>
        </w:tc>
      </w:tr>
      <w:tr>
        <w:trPr>
          <w:trHeight w:val="218"/>
        </w:trPr>
        <w:tc>
          <w:tcPr>
            <w:tcW w:w="65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6520" w:type="dxa"/>
            <w:vAlign w:val="bottom"/>
          </w:tcPr>
          <w:p>
            <w:pPr>
              <w:jc w:val="right"/>
              <w:ind w:right="1759"/>
              <w:spacing w:after="0"/>
              <w:rPr>
                <w:sz w:val="20"/>
                <w:szCs w:val="20"/>
                <w:color w:val="auto"/>
              </w:rPr>
            </w:pPr>
            <w:r>
              <w:rPr>
                <w:rFonts w:ascii="Arial" w:cs="Arial" w:eastAsia="Arial" w:hAnsi="Arial"/>
                <w:sz w:val="18"/>
                <w:szCs w:val="18"/>
                <w:b w:val="1"/>
                <w:bCs w:val="1"/>
                <w:color w:val="auto"/>
              </w:rPr>
              <w:t>(972) 371-5200</w:t>
            </w:r>
          </w:p>
        </w:tc>
        <w:tc>
          <w:tcPr>
            <w:tcW w:w="1240" w:type="dxa"/>
            <w:vAlign w:val="bottom"/>
          </w:tcPr>
          <w:p>
            <w:pPr>
              <w:spacing w:after="0"/>
              <w:rPr>
                <w:sz w:val="24"/>
                <w:szCs w:val="24"/>
                <w:color w:val="auto"/>
              </w:rPr>
            </w:pPr>
          </w:p>
        </w:tc>
      </w:tr>
      <w:tr>
        <w:trPr>
          <w:trHeight w:val="186"/>
        </w:trPr>
        <w:tc>
          <w:tcPr>
            <w:tcW w:w="6520" w:type="dxa"/>
            <w:vAlign w:val="bottom"/>
          </w:tcPr>
          <w:p>
            <w:pPr>
              <w:jc w:val="center"/>
              <w:ind w:left="16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40" w:type="dxa"/>
            <w:vAlign w:val="bottom"/>
          </w:tcPr>
          <w:p>
            <w:pPr>
              <w:spacing w:after="0"/>
              <w:rPr>
                <w:sz w:val="16"/>
                <w:szCs w:val="16"/>
                <w:color w:val="auto"/>
              </w:rPr>
            </w:pPr>
          </w:p>
        </w:tc>
      </w:tr>
      <w:tr>
        <w:trPr>
          <w:trHeight w:val="209"/>
        </w:trPr>
        <w:tc>
          <w:tcPr>
            <w:tcW w:w="6520" w:type="dxa"/>
            <w:vAlign w:val="bottom"/>
          </w:tcPr>
          <w:p>
            <w:pPr>
              <w:jc w:val="right"/>
              <w:ind w:right="39"/>
              <w:spacing w:after="0"/>
              <w:rPr>
                <w:sz w:val="20"/>
                <w:szCs w:val="20"/>
                <w:color w:val="auto"/>
              </w:rPr>
            </w:pPr>
            <w:r>
              <w:rPr>
                <w:rFonts w:ascii="Arial" w:cs="Arial" w:eastAsia="Arial" w:hAnsi="Arial"/>
                <w:sz w:val="16"/>
                <w:szCs w:val="16"/>
                <w:color w:val="auto"/>
              </w:rPr>
              <w:t>_________________________________________________________</w:t>
            </w:r>
          </w:p>
        </w:tc>
        <w:tc>
          <w:tcPr>
            <w:tcW w:w="1240" w:type="dxa"/>
            <w:vAlign w:val="bottom"/>
          </w:tcPr>
          <w:p>
            <w:pPr>
              <w:spacing w:after="0"/>
              <w:rPr>
                <w:sz w:val="18"/>
                <w:szCs w:val="18"/>
                <w:color w:val="auto"/>
              </w:rPr>
            </w:pPr>
          </w:p>
        </w:tc>
      </w:tr>
    </w:tbl>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880" w:type="dxa"/>
        <w:tblCellMar>
          <w:top w:w="0" w:type="dxa"/>
          <w:left w:w="0" w:type="dxa"/>
          <w:bottom w:w="0" w:type="dxa"/>
          <w:right w:w="0" w:type="dxa"/>
        </w:tblCellMar>
      </w:tblPr>
      <w:tr>
        <w:trPr>
          <w:trHeight w:val="19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20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MTDR</w:t>
            </w: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9" w:lineRule="exact"/>
        <w:rPr>
          <w:sz w:val="24"/>
          <w:szCs w:val="24"/>
          <w:color w:val="auto"/>
        </w:rPr>
      </w:pPr>
    </w:p>
    <w:p>
      <w:pPr>
        <w:ind w:right="2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60" w:val="left"/>
        </w:tabs>
        <w:rPr>
          <w:sz w:val="20"/>
          <w:szCs w:val="20"/>
          <w:color w:val="auto"/>
        </w:rPr>
      </w:pPr>
      <w:r>
        <w:rPr>
          <w:rFonts w:ascii="Arial" w:cs="Arial" w:eastAsia="Arial" w:hAnsi="Arial"/>
          <w:sz w:val="16"/>
          <w:szCs w:val="16"/>
          <w:color w:val="auto"/>
        </w:rPr>
        <w:t>days.</w:t>
        <w:tab/>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59"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0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2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right="268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As of October 29, 2019, there were 116,641,109 shares of the registrant’s common stock, par value $0.01 per share, outstanding.</w:t>
      </w:r>
    </w:p>
    <w:p>
      <w:pPr>
        <w:sectPr>
          <w:pgSz w:w="11900" w:h="16838" w:orient="portrait"/>
          <w:cols w:equalWidth="0" w:num="1">
            <w:col w:w="11260"/>
          </w:cols>
          <w:pgMar w:left="240" w:top="274"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2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w w:val="98"/>
              </w:rPr>
              <w:t>MATADOR RESOURCES COMPANY</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30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9"/>
              </w:rPr>
              <w:t>FORM 10-Q</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2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w w:val="98"/>
              </w:rPr>
              <w:t>FOR THE QUARTER ENDED SEPTEMBER 30, 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060" w:type="dxa"/>
            <w:vAlign w:val="bottom"/>
            <w:gridSpan w:val="11"/>
          </w:tcPr>
          <w:p>
            <w:pPr>
              <w:spacing w:after="0" w:line="19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380" w:type="dxa"/>
            <w:vAlign w:val="bottom"/>
            <w:gridSpan w:val="9"/>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gridSpan w:val="1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 Unaudited</w:t>
              </w:r>
            </w:hyperlink>
          </w:p>
        </w:tc>
        <w:tc>
          <w:tcPr>
            <w:tcW w:w="7120" w:type="dxa"/>
            <w:vAlign w:val="bottom"/>
            <w:gridSpan w:val="8"/>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2019 and December 31, 2018</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Nine Months Ended September 30, 2019 and 2018</w:t>
              </w:r>
            </w:hyperlink>
          </w:p>
        </w:tc>
        <w:tc>
          <w:tcPr>
            <w:tcW w:w="500" w:type="dxa"/>
            <w:vAlign w:val="bottom"/>
            <w:gridSpan w:val="2"/>
          </w:tcPr>
          <w:p>
            <w:pPr>
              <w:jc w:val="center"/>
              <w:ind w:left="3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80" w:type="dxa"/>
            <w:vAlign w:val="bottom"/>
            <w:gridSpan w:val="1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Shareholders’ Equity for the Three and Nine Months Ended September 30, 2019 and</w:t>
              </w:r>
            </w:hyperlink>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96"/>
        </w:trPr>
        <w:tc>
          <w:tcPr>
            <w:tcW w:w="600" w:type="dxa"/>
            <w:vAlign w:val="bottom"/>
            <w:gridSpan w:val="3"/>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center"/>
              <w:ind w:left="33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940" w:type="dxa"/>
            <w:vAlign w:val="bottom"/>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September 30, 2019 and 2018</w:t>
              </w:r>
            </w:hyperlink>
          </w:p>
        </w:tc>
        <w:tc>
          <w:tcPr>
            <w:tcW w:w="1940" w:type="dxa"/>
            <w:vAlign w:val="bottom"/>
            <w:gridSpan w:val="3"/>
          </w:tcPr>
          <w:p>
            <w:pPr>
              <w:spacing w:after="0"/>
              <w:rPr>
                <w:sz w:val="21"/>
                <w:szCs w:val="21"/>
                <w:color w:val="auto"/>
              </w:rPr>
            </w:pPr>
          </w:p>
        </w:tc>
        <w:tc>
          <w:tcPr>
            <w:tcW w:w="500" w:type="dxa"/>
            <w:vAlign w:val="bottom"/>
            <w:gridSpan w:val="2"/>
          </w:tcPr>
          <w:p>
            <w:pPr>
              <w:jc w:val="center"/>
              <w:ind w:left="33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gridSpan w:val="11"/>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Notes to Condensed Consolidated Financial Statements</w:t>
              </w:r>
            </w:hyperlink>
          </w:p>
        </w:tc>
        <w:tc>
          <w:tcPr>
            <w:tcW w:w="3940" w:type="dxa"/>
            <w:vAlign w:val="bottom"/>
            <w:gridSpan w:val="4"/>
          </w:tcPr>
          <w:p>
            <w:pPr>
              <w:spacing w:after="0"/>
              <w:rPr>
                <w:sz w:val="21"/>
                <w:szCs w:val="21"/>
                <w:color w:val="auto"/>
              </w:rPr>
            </w:pPr>
          </w:p>
        </w:tc>
        <w:tc>
          <w:tcPr>
            <w:tcW w:w="1940" w:type="dxa"/>
            <w:vAlign w:val="bottom"/>
            <w:gridSpan w:val="3"/>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10</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2. Management’s Discussion and Analysis of Financial Condition and Results of Operations</w:t>
              </w:r>
            </w:hyperlink>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3. Quantitative and Qualitative Disclosures About Market Risk</w:t>
              </w:r>
            </w:hyperlink>
          </w:p>
        </w:tc>
        <w:tc>
          <w:tcPr>
            <w:tcW w:w="2120" w:type="dxa"/>
            <w:vAlign w:val="bottom"/>
            <w:gridSpan w:val="2"/>
          </w:tcPr>
          <w:p>
            <w:pPr>
              <w:spacing w:after="0"/>
              <w:rPr>
                <w:sz w:val="21"/>
                <w:szCs w:val="21"/>
                <w:color w:val="auto"/>
              </w:rPr>
            </w:pPr>
          </w:p>
        </w:tc>
        <w:tc>
          <w:tcPr>
            <w:tcW w:w="3180" w:type="dxa"/>
            <w:vAlign w:val="bottom"/>
            <w:gridSpan w:val="4"/>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5300" w:type="dxa"/>
            <w:vAlign w:val="bottom"/>
            <w:tcBorders>
              <w:left w:val="single" w:sz="8" w:color="0000EE"/>
            </w:tcBorders>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4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PART II — OTHER INFORMATION</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 Legal Proceedings</w:t>
              </w:r>
            </w:hyperlink>
          </w:p>
        </w:tc>
        <w:tc>
          <w:tcPr>
            <w:tcW w:w="7700" w:type="dxa"/>
            <w:vAlign w:val="bottom"/>
            <w:gridSpan w:val="10"/>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 Risk Factors</w:t>
              </w:r>
            </w:hyperlink>
          </w:p>
        </w:tc>
        <w:tc>
          <w:tcPr>
            <w:tcW w:w="8320" w:type="dxa"/>
            <w:vAlign w:val="bottom"/>
            <w:gridSpan w:val="12"/>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2. Unregistered Sales of Equity Securities and Use of Proceeds</w:t>
              </w:r>
            </w:hyperlink>
          </w:p>
        </w:tc>
        <w:tc>
          <w:tcPr>
            <w:tcW w:w="500" w:type="dxa"/>
            <w:vAlign w:val="bottom"/>
            <w:gridSpan w:val="2"/>
          </w:tcPr>
          <w:p>
            <w:pPr>
              <w:jc w:val="center"/>
              <w:ind w:left="2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3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Item 6. Exhibits</w:t>
              </w:r>
            </w:hyperlink>
          </w:p>
        </w:tc>
        <w:tc>
          <w:tcPr>
            <w:tcW w:w="3740" w:type="dxa"/>
            <w:vAlign w:val="bottom"/>
            <w:gridSpan w:val="8"/>
          </w:tcPr>
          <w:p>
            <w:pPr>
              <w:spacing w:after="0"/>
              <w:rPr>
                <w:sz w:val="21"/>
                <w:szCs w:val="21"/>
                <w:color w:val="auto"/>
              </w:rPr>
            </w:pPr>
          </w:p>
        </w:tc>
        <w:tc>
          <w:tcPr>
            <w:tcW w:w="5300" w:type="dxa"/>
            <w:vAlign w:val="bottom"/>
            <w:gridSpan w:val="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4"/>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SIGNATURES</w:t>
              </w:r>
            </w:hyperlink>
          </w:p>
        </w:tc>
        <w:tc>
          <w:tcPr>
            <w:tcW w:w="9340" w:type="dxa"/>
            <w:vAlign w:val="bottom"/>
            <w:gridSpan w:val="16"/>
          </w:tcPr>
          <w:p>
            <w:pPr>
              <w:spacing w:after="0"/>
              <w:rPr>
                <w:sz w:val="21"/>
                <w:szCs w:val="21"/>
                <w:color w:val="auto"/>
              </w:rPr>
            </w:pPr>
          </w:p>
        </w:tc>
        <w:tc>
          <w:tcPr>
            <w:tcW w:w="500" w:type="dxa"/>
            <w:vAlign w:val="bottom"/>
            <w:gridSpan w:val="2"/>
          </w:tcPr>
          <w:p>
            <w:pPr>
              <w:jc w:val="center"/>
              <w:ind w:left="2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4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 Unaudited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15,709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64,545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25,097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19,439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Oil and natural gas revenues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86,333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68,161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Joint interest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74,880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61,831</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23,981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16,159</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49,929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Lease and well equipment 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14,678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17,564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8,057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269,316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305,685</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at cost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Oil and natural gas properties, full-cost method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Evaluated</w:t>
            </w:r>
          </w:p>
        </w:tc>
        <w:tc>
          <w:tcPr>
            <w:tcW w:w="1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4,363,545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3,780,236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720"/>
              <w:spacing w:after="0"/>
              <w:rPr>
                <w:sz w:val="20"/>
                <w:szCs w:val="20"/>
                <w:color w:val="auto"/>
              </w:rPr>
            </w:pPr>
            <w:r>
              <w:rPr>
                <w:rFonts w:ascii="Arial" w:cs="Arial" w:eastAsia="Arial" w:hAnsi="Arial"/>
                <w:sz w:val="14"/>
                <w:szCs w:val="14"/>
                <w:color w:val="auto"/>
              </w:rPr>
              <w:t>Unproved and unevaluated</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1,166,501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1,199,511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properties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557,841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428,025</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property and equipment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26,754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22,041</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accumulated depletion, depreciation and amortization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(2,554,516)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(2,306,949)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Net property and equipment</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3,560,125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3,122,864</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20,457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102,548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6,512</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other assets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107,198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3,936,639</w:t>
            </w:r>
          </w:p>
        </w:tc>
        <w:tc>
          <w:tcPr>
            <w:tcW w:w="100" w:type="dxa"/>
            <w:vAlign w:val="bottom"/>
          </w:tcPr>
          <w:p>
            <w:pPr>
              <w:spacing w:after="0"/>
              <w:rPr>
                <w:sz w:val="14"/>
                <w:szCs w:val="14"/>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100"/>
        </w:trPr>
        <w:tc>
          <w:tcPr>
            <w:tcW w:w="85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LIABILITIES AND SHAREHOLDERS’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40,584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66,970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Accrued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222,565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170,855</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Royalties payable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64,191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64,776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Amounts due to affiliates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14,557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Advances from joint interest owners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10,968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Amounts due to joint ventures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403,357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330,022</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Borrowings under Credit Agreement</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215,000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Borrowings under San Mateo Credit Facility</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220,000</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Senior unsecured notes payable</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1,039,020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1,037,837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33,507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13,221</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52,151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4,962</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1,620,864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1,345,839</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40"/>
              <w:spacing w:after="0"/>
              <w:rPr>
                <w:sz w:val="20"/>
                <w:szCs w:val="20"/>
                <w:color w:val="auto"/>
              </w:rPr>
            </w:pPr>
            <w:r>
              <w:rPr>
                <w:rFonts w:ascii="Arial" w:cs="Arial" w:eastAsia="Arial" w:hAnsi="Arial"/>
                <w:sz w:val="14"/>
                <w:szCs w:val="14"/>
                <w:color w:val="auto"/>
              </w:rPr>
              <w:t>Commitments and contingencies (Note 10)</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380"/>
              <w:spacing w:after="0" w:line="157" w:lineRule="exact"/>
              <w:rPr>
                <w:sz w:val="20"/>
                <w:szCs w:val="20"/>
                <w:color w:val="auto"/>
              </w:rPr>
            </w:pPr>
            <w:r>
              <w:rPr>
                <w:rFonts w:ascii="Arial" w:cs="Arial" w:eastAsia="Arial" w:hAnsi="Arial"/>
                <w:sz w:val="14"/>
                <w:szCs w:val="14"/>
                <w:color w:val="auto"/>
                <w:w w:val="98"/>
              </w:rPr>
              <w:t>Common stock - $0.01 par value, 160,000,000 shares authorized; 116,880,345 and 116,374,503 shares issued; and 116,638,712 and</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540"/>
              <w:spacing w:after="0"/>
              <w:rPr>
                <w:sz w:val="20"/>
                <w:szCs w:val="20"/>
                <w:color w:val="auto"/>
              </w:rPr>
            </w:pPr>
            <w:r>
              <w:rPr>
                <w:rFonts w:ascii="Arial" w:cs="Arial" w:eastAsia="Arial" w:hAnsi="Arial"/>
                <w:sz w:val="14"/>
                <w:szCs w:val="14"/>
                <w:color w:val="auto"/>
              </w:rPr>
              <w:t>116,353,590 shares outstanding,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1,970,737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1,924,408</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tcPr>
          <w:p>
            <w:pPr>
              <w:ind w:left="38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(172,519)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(236,277)</w:t>
            </w:r>
          </w:p>
        </w:tc>
        <w:tc>
          <w:tcPr>
            <w:tcW w:w="0" w:type="dxa"/>
            <w:vAlign w:val="bottom"/>
          </w:tcPr>
          <w:p>
            <w:pPr>
              <w:spacing w:after="0"/>
              <w:rPr>
                <w:sz w:val="1"/>
                <w:szCs w:val="1"/>
                <w:color w:val="auto"/>
              </w:rPr>
            </w:pPr>
          </w:p>
        </w:tc>
      </w:tr>
      <w:tr>
        <w:trPr>
          <w:trHeight w:val="74"/>
        </w:trPr>
        <w:tc>
          <w:tcPr>
            <w:tcW w:w="8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Treasury stock, at cost, 241,633 and 20,913 shares, respectively</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74"/>
        </w:trPr>
        <w:tc>
          <w:tcPr>
            <w:tcW w:w="858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80" w:type="dxa"/>
            <w:vAlign w:val="bottom"/>
          </w:tcPr>
          <w:p>
            <w:pPr>
              <w:ind w:left="1140"/>
              <w:spacing w:after="0"/>
              <w:rPr>
                <w:sz w:val="20"/>
                <w:szCs w:val="20"/>
                <w:color w:val="auto"/>
              </w:rPr>
            </w:pPr>
            <w:r>
              <w:rPr>
                <w:rFonts w:ascii="Arial" w:cs="Arial" w:eastAsia="Arial" w:hAnsi="Arial"/>
                <w:sz w:val="14"/>
                <w:szCs w:val="14"/>
                <w:color w:val="auto"/>
              </w:rPr>
              <w:t>Total Matador Resources Company shareholders’ equity</w:t>
            </w:r>
          </w:p>
        </w:tc>
        <w:tc>
          <w:tcPr>
            <w:tcW w:w="3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1,795,307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1,688,880</w:t>
            </w:r>
          </w:p>
        </w:tc>
        <w:tc>
          <w:tcPr>
            <w:tcW w:w="0" w:type="dxa"/>
            <w:vAlign w:val="bottom"/>
          </w:tcPr>
          <w:p>
            <w:pPr>
              <w:spacing w:after="0"/>
              <w:rPr>
                <w:sz w:val="1"/>
                <w:szCs w:val="1"/>
                <w:color w:val="auto"/>
              </w:rPr>
            </w:pPr>
          </w:p>
        </w:tc>
      </w:tr>
      <w:tr>
        <w:trPr>
          <w:trHeight w:val="80"/>
        </w:trPr>
        <w:tc>
          <w:tcPr>
            <w:tcW w:w="8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3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117,111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90,777</w:t>
            </w:r>
          </w:p>
        </w:tc>
        <w:tc>
          <w:tcPr>
            <w:tcW w:w="0" w:type="dxa"/>
            <w:vAlign w:val="bottom"/>
          </w:tcPr>
          <w:p>
            <w:pPr>
              <w:spacing w:after="0"/>
              <w:rPr>
                <w:sz w:val="1"/>
                <w:szCs w:val="1"/>
                <w:color w:val="auto"/>
              </w:rPr>
            </w:pPr>
          </w:p>
        </w:tc>
      </w:tr>
      <w:tr>
        <w:trPr>
          <w:trHeight w:val="80"/>
        </w:trPr>
        <w:tc>
          <w:tcPr>
            <w:tcW w:w="858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58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38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1,912,418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1,779,657</w:t>
            </w:r>
          </w:p>
        </w:tc>
        <w:tc>
          <w:tcPr>
            <w:tcW w:w="0" w:type="dxa"/>
            <w:vAlign w:val="bottom"/>
          </w:tcPr>
          <w:p>
            <w:pPr>
              <w:spacing w:after="0"/>
              <w:rPr>
                <w:sz w:val="1"/>
                <w:szCs w:val="1"/>
                <w:color w:val="auto"/>
              </w:rPr>
            </w:pPr>
          </w:p>
        </w:tc>
      </w:tr>
      <w:tr>
        <w:trPr>
          <w:trHeight w:val="74"/>
        </w:trPr>
        <w:tc>
          <w:tcPr>
            <w:tcW w:w="85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3,936,639</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3,455,518</w:t>
            </w:r>
          </w:p>
        </w:tc>
        <w:tc>
          <w:tcPr>
            <w:tcW w:w="0" w:type="dxa"/>
            <w:vAlign w:val="bottom"/>
          </w:tcPr>
          <w:p>
            <w:pPr>
              <w:spacing w:after="0"/>
              <w:rPr>
                <w:sz w:val="1"/>
                <w:szCs w:val="1"/>
                <w:color w:val="auto"/>
              </w:rPr>
            </w:pPr>
          </w:p>
        </w:tc>
      </w:tr>
      <w:tr>
        <w:trPr>
          <w:trHeight w:val="60"/>
        </w:trPr>
        <w:tc>
          <w:tcPr>
            <w:tcW w:w="85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9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9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and natural gas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229,377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216,282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633,706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607,255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midstream services 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Sales of purchased natural gas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bonus - mineral acreage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Realized gain (loss) on derivatives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279,402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207,178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609,725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Production taxes, transportation and processing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65,969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58,116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69,685</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Plant and other midstream services operating</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17,187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natural gas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Depletion, depreciation and amortization</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249,497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192,664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asset 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55,739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394,517</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67,853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170,431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215,208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loss on asset sales and inventory impairment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Prepayment premium on extinguishment of debt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expense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155,676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income tax provision</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155,676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137,494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116,358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116,541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112,659</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113,208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116,375</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$ 1,164</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$1,924,408</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(236,277)</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1,688,880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90,777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1,779,657</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Issuance of common stock pursuant to directors’ and advisors’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9"/>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Contribution related to formation of San Mateo I, net of tax of</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million (see Note 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11,613</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Contribution of property related to formation of San Mateo II</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(see Note 7)</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12,331</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(8,330)</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period net (loss) income</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Balance at March 31, 2019</w:t>
            </w:r>
          </w:p>
        </w:tc>
        <w:tc>
          <w:tcPr>
            <w:tcW w:w="6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4"/>
              </w:rPr>
              <w:t>116,594</w:t>
            </w:r>
          </w:p>
        </w:tc>
        <w:tc>
          <w:tcPr>
            <w:tcW w:w="100" w:type="dxa"/>
            <w:vAlign w:val="bottom"/>
          </w:tcPr>
          <w:p>
            <w:pPr>
              <w:spacing w:after="0"/>
              <w:rPr>
                <w:sz w:val="14"/>
                <w:szCs w:val="14"/>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1,946,466</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(253,224)</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9"/>
              </w:rPr>
              <w:t>(3,585)</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1,690,823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100,706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1,791,529</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pursuant to employee stock</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4"/>
              </w:rPr>
              <w:t>Issuance of common stock pursuant to directors’ and advisors’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compensation plan</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Stock-based compensation expense related to equity-based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 including amounts capitalized</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w w:val="98"/>
              </w:rPr>
              <w:t>Stock options exercised, net of options forfeited in net share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settlements</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forfeited</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80"/>
        </w:trPr>
        <w:tc>
          <w:tcPr>
            <w:tcW w:w="37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700" w:type="dxa"/>
            <w:vAlign w:val="bottom"/>
          </w:tcPr>
          <w:p>
            <w:pPr>
              <w:ind w:left="40"/>
              <w:spacing w:after="0" w:line="157" w:lineRule="exact"/>
              <w:rPr>
                <w:sz w:val="20"/>
                <w:szCs w:val="20"/>
                <w:color w:val="auto"/>
              </w:rPr>
            </w:pPr>
            <w:r>
              <w:rPr>
                <w:rFonts w:ascii="Arial" w:cs="Arial" w:eastAsia="Arial" w:hAnsi="Arial"/>
                <w:sz w:val="14"/>
                <w:szCs w:val="14"/>
                <w:color w:val="auto"/>
              </w:rPr>
              <w:t>Contributions from non-controlling interest owners of less-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40"/>
              <w:spacing w:after="0"/>
              <w:rPr>
                <w:sz w:val="20"/>
                <w:szCs w:val="20"/>
                <w:color w:val="auto"/>
              </w:rPr>
            </w:pPr>
            <w:r>
              <w:rPr>
                <w:rFonts w:ascii="Arial" w:cs="Arial" w:eastAsia="Arial" w:hAnsi="Arial"/>
                <w:sz w:val="14"/>
                <w:szCs w:val="14"/>
                <w:color w:val="auto"/>
              </w:rPr>
              <w:t>than-wholly-owned subsidiaries</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63"/>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Distributions to non-controlling interest owners of less-than-</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wholly-owned subsidiaries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191"/>
        </w:trPr>
        <w:tc>
          <w:tcPr>
            <w:tcW w:w="3700" w:type="dxa"/>
            <w:vAlign w:val="bottom"/>
          </w:tcPr>
          <w:p>
            <w:pPr>
              <w:ind w:left="40"/>
              <w:spacing w:after="0"/>
              <w:rPr>
                <w:sz w:val="20"/>
                <w:szCs w:val="20"/>
                <w:color w:val="auto"/>
              </w:rPr>
            </w:pPr>
            <w:r>
              <w:rPr>
                <w:rFonts w:ascii="Arial" w:cs="Arial" w:eastAsia="Arial" w:hAnsi="Arial"/>
                <w:sz w:val="14"/>
                <w:szCs w:val="14"/>
                <w:color w:val="auto"/>
              </w:rPr>
              <w:t>Current period net income</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36,752</w:t>
            </w:r>
          </w:p>
        </w:tc>
        <w:tc>
          <w:tcPr>
            <w:tcW w:w="12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36,752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45,072</w:t>
            </w:r>
          </w:p>
        </w:tc>
        <w:tc>
          <w:tcPr>
            <w:tcW w:w="0" w:type="dxa"/>
            <w:vAlign w:val="bottom"/>
          </w:tcPr>
          <w:p>
            <w:pPr>
              <w:spacing w:after="0"/>
              <w:rPr>
                <w:sz w:val="1"/>
                <w:szCs w:val="1"/>
                <w:color w:val="auto"/>
              </w:rPr>
            </w:pPr>
          </w:p>
        </w:tc>
      </w:tr>
      <w:tr>
        <w:trPr>
          <w:trHeight w:val="74"/>
        </w:trPr>
        <w:tc>
          <w:tcPr>
            <w:tcW w:w="37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June 30, 2019</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116,866</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$ 1,169</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$1,955,504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(216,472)</w:t>
            </w: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(3,724)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1,736,477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104,126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1,840,603</w:t>
            </w:r>
          </w:p>
        </w:tc>
        <w:tc>
          <w:tcPr>
            <w:tcW w:w="0" w:type="dxa"/>
            <w:vAlign w:val="bottom"/>
          </w:tcPr>
          <w:p>
            <w:pPr>
              <w:spacing w:after="0"/>
              <w:rPr>
                <w:sz w:val="1"/>
                <w:szCs w:val="1"/>
                <w:color w:val="auto"/>
              </w:rPr>
            </w:pPr>
          </w:p>
        </w:tc>
      </w:tr>
      <w:tr>
        <w:trPr>
          <w:trHeight w:val="60"/>
        </w:trPr>
        <w:tc>
          <w:tcPr>
            <w:tcW w:w="370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5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2019</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right="1720"/>
        <w:spacing w:after="0" w:line="546" w:lineRule="auto"/>
        <w:rPr>
          <w:sz w:val="20"/>
          <w:szCs w:val="20"/>
          <w:color w:val="auto"/>
        </w:rPr>
      </w:pPr>
      <w:r>
        <w:rPr>
          <w:rFonts w:ascii="Arial" w:cs="Arial" w:eastAsia="Arial" w:hAnsi="Arial"/>
          <w:sz w:val="12"/>
          <w:szCs w:val="12"/>
          <w:color w:val="auto"/>
        </w:rPr>
        <w:t xml:space="preserve">Current period net income </w:t>
      </w:r>
      <w:r>
        <w:rPr>
          <w:rFonts w:ascii="Arial" w:cs="Arial" w:eastAsia="Arial" w:hAnsi="Arial"/>
          <w:sz w:val="12"/>
          <w:szCs w:val="12"/>
          <w:b w:val="1"/>
          <w:bCs w:val="1"/>
          <w:color w:val="auto"/>
        </w:rPr>
        <w:t>Balance at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116,866</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$ 1,169</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$1,955,504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(216,472)</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(3,724)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1,736,477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104,126</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1,840,603</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5,963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5,963</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9,270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9,270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13,230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(10,045)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43,953</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43,953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9,800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53,753</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116,880</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$ 1,169</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$1,970,737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(172,519)</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(4,080)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1,795,307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117,111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1,912,418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-1817370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-1423035</wp:posOffset>
            </wp:positionV>
            <wp:extent cx="72466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-977265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-582295</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January 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Contributions related to formation of San Mateo I (see Note 7)</w:t>
      </w:r>
    </w:p>
    <w:p>
      <w:pPr>
        <w:spacing w:after="0" w:line="121"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March 31,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net income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108,514</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$ 1,085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$1,666,024</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(510,484)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1,156,556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100,990</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1,257,546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5,390</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(2,377)</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29,400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59,894</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5,030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64,924</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109,347</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1,684,188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(450,590)</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(2,446)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1,232,246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130,520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1,362,766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226,542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226,612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5,937</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24,500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(5,635)</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59,806</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59,806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65,637</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116,461</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$1,916,821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(390,784)</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(2,670)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1,524,532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155,216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1,679,748</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-4407535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-4012565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-3566795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-3172460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-2778125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-2383155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-1988820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-1645920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-1200150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-805180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CONDENSED CONSOLIDATED STATEMENT OF CHANGES IN SHAREHOLDERS’ EQUITY —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June 30, 2018</w:t>
      </w:r>
    </w:p>
    <w:p>
      <w:pPr>
        <w:spacing w:after="0" w:line="113"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Issuance of common stock pursuant to employee stock compensation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pursuant to directors’ and advisors’ compensation plan</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Stock-based compensation expense related to equity-based awards including amounts capitalized</w:t>
      </w:r>
    </w:p>
    <w:p>
      <w:pPr>
        <w:spacing w:after="0" w:line="12"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Stock options exercised, net of options forfeited in net share settlements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stock forfeited</w:t>
      </w:r>
    </w:p>
    <w:p>
      <w:pPr>
        <w:spacing w:after="0" w:line="109" w:lineRule="exact"/>
        <w:rPr>
          <w:sz w:val="20"/>
          <w:szCs w:val="20"/>
          <w:color w:val="auto"/>
        </w:rPr>
      </w:pPr>
    </w:p>
    <w:p>
      <w:pPr>
        <w:ind w:left="40" w:right="200"/>
        <w:spacing w:after="0" w:line="253" w:lineRule="auto"/>
        <w:rPr>
          <w:sz w:val="20"/>
          <w:szCs w:val="20"/>
          <w:color w:val="auto"/>
        </w:rPr>
      </w:pPr>
      <w:r>
        <w:rPr>
          <w:rFonts w:ascii="Arial" w:cs="Arial" w:eastAsia="Arial" w:hAnsi="Arial"/>
          <w:sz w:val="14"/>
          <w:szCs w:val="14"/>
          <w:color w:val="auto"/>
        </w:rPr>
        <w:t>Contributions from non-controlling interest owners of less-than-wholly-owned subsidiaries</w:t>
      </w:r>
    </w:p>
    <w:p>
      <w:pPr>
        <w:spacing w:after="0" w:line="1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Distributions to non-controlling interest owners of less-than-wholly-owned subsidiaries</w:t>
      </w:r>
    </w:p>
    <w:p>
      <w:pPr>
        <w:spacing w:after="0" w:line="12" w:lineRule="exact"/>
        <w:rPr>
          <w:sz w:val="20"/>
          <w:szCs w:val="20"/>
          <w:color w:val="auto"/>
        </w:rPr>
      </w:pPr>
    </w:p>
    <w:p>
      <w:pPr>
        <w:ind w:left="40" w:right="1720"/>
        <w:spacing w:after="0" w:line="546" w:lineRule="auto"/>
        <w:rPr>
          <w:sz w:val="20"/>
          <w:szCs w:val="20"/>
          <w:color w:val="auto"/>
        </w:rPr>
      </w:pPr>
      <w:r>
        <w:rPr>
          <w:rFonts w:ascii="Arial" w:cs="Arial" w:eastAsia="Arial" w:hAnsi="Arial"/>
          <w:sz w:val="12"/>
          <w:szCs w:val="12"/>
          <w:color w:val="auto"/>
        </w:rPr>
        <w:t xml:space="preserve">Current period net income </w:t>
      </w:r>
      <w:r>
        <w:rPr>
          <w:rFonts w:ascii="Arial" w:cs="Arial" w:eastAsia="Arial" w:hAnsi="Arial"/>
          <w:sz w:val="12"/>
          <w:szCs w:val="12"/>
          <w:b w:val="1"/>
          <w:bCs w:val="1"/>
          <w:color w:val="auto"/>
        </w:rPr>
        <w:t>Balance at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ind w:left="200"/>
              <w:spacing w:after="0" w:line="158" w:lineRule="exact"/>
              <w:rPr>
                <w:sz w:val="20"/>
                <w:szCs w:val="20"/>
                <w:color w:val="auto"/>
              </w:rPr>
            </w:pPr>
            <w:r>
              <w:rPr>
                <w:rFonts w:ascii="Arial" w:cs="Arial" w:eastAsia="Arial" w:hAnsi="Arial"/>
                <w:sz w:val="14"/>
                <w:szCs w:val="14"/>
                <w:b w:val="1"/>
                <w:bCs w:val="1"/>
                <w:color w:val="auto"/>
              </w:rPr>
              <w:t>Treasury Stock</w:t>
            </w: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to Matador</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3"/>
                <w:szCs w:val="13"/>
                <w:color w:val="auto"/>
              </w:rPr>
            </w:pPr>
          </w:p>
        </w:tc>
        <w:tc>
          <w:tcPr>
            <w:tcW w:w="74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Accumulated</w:t>
            </w: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86"/>
              </w:rPr>
              <w:t>Resources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interest in</w:t>
            </w:r>
          </w:p>
        </w:tc>
        <w:tc>
          <w:tcPr>
            <w:tcW w:w="9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65"/>
        </w:trPr>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4"/>
              </w:rPr>
              <w:t>116,461</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$1,916,821</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(390,784)</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(2,670)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1,524,532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155,216</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1,679,748</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5,847</w:t>
            </w:r>
          </w:p>
        </w:tc>
        <w:tc>
          <w:tcPr>
            <w:tcW w:w="0" w:type="dxa"/>
            <w:vAlign w:val="bottom"/>
          </w:tcPr>
          <w:p>
            <w:pPr>
              <w:spacing w:after="0"/>
              <w:rPr>
                <w:sz w:val="1"/>
                <w:szCs w:val="1"/>
                <w:color w:val="auto"/>
              </w:rPr>
            </w:pPr>
          </w:p>
        </w:tc>
      </w:tr>
      <w:tr>
        <w:trPr>
          <w:trHeight w:val="351"/>
        </w:trPr>
        <w:tc>
          <w:tcPr>
            <w:tcW w:w="6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19,600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351"/>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276"/>
        </w:trPr>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17,794</w:t>
            </w: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7,321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25,115</w:t>
            </w:r>
          </w:p>
        </w:tc>
        <w:tc>
          <w:tcPr>
            <w:tcW w:w="0" w:type="dxa"/>
            <w:vAlign w:val="bottom"/>
          </w:tcPr>
          <w:p>
            <w:pPr>
              <w:spacing w:after="0"/>
              <w:rPr>
                <w:sz w:val="1"/>
                <w:szCs w:val="1"/>
                <w:color w:val="auto"/>
              </w:rPr>
            </w:pPr>
          </w:p>
        </w:tc>
      </w:tr>
      <w:tr>
        <w:trPr>
          <w:trHeight w:val="237"/>
        </w:trPr>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116,507</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$ 1,165</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$1,923,030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(372,990)</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(4,039)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1,547,166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175,277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1,722,443</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-2040255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-1645920</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-1200150</wp:posOffset>
            </wp:positionV>
            <wp:extent cx="72466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-805180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-359410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3640" w:space="60"/>
            <w:col w:w="7720"/>
          </w:cols>
          <w:pgMar w:left="240" w:top="125" w:right="239"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98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22860</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Unrealized 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Depletion, depreciation and amortization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Accretion of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Prepayment premium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 provision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loss on asset sales and inventory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Lease and well equipment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 accrued liabilities and 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Royalties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Advances from joint interest owners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Oil and natural gas properties capital expenditures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Midstream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Expenditures for other property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borrowings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San Mateo Credit Facility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amend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senior unsecured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to issue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Contributions related to formation of San Mateo I</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Contributions from non-controlling interest owners of less-than-wholly-owned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Distributions to non-controlling interest owners of less-than-wholly-owned subsidiaries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related to net share settlement of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under financing lease obligations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in cash and restricted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restricted cash at end of period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340"/>
        <w:spacing w:after="0"/>
        <w:tabs>
          <w:tab w:leader="none" w:pos="14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20" w:val="left"/>
          <w:tab w:leader="none" w:pos="1160" w:val="left"/>
          <w:tab w:leader="none" w:pos="15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89,340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155,676</w:t>
      </w:r>
    </w:p>
    <w:p>
      <w:pPr>
        <w:spacing w:after="0" w:line="379"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14"/>
          <w:szCs w:val="14"/>
          <w:color w:val="auto"/>
        </w:rPr>
        <w:t>29,715</w:t>
      </w:r>
      <w:r>
        <w:rPr>
          <w:sz w:val="20"/>
          <w:szCs w:val="20"/>
          <w:color w:val="auto"/>
        </w:rPr>
        <w:tab/>
      </w:r>
      <w:r>
        <w:rPr>
          <w:rFonts w:ascii="Arial" w:cs="Arial" w:eastAsia="Arial" w:hAnsi="Arial"/>
          <w:sz w:val="14"/>
          <w:szCs w:val="14"/>
          <w:color w:val="auto"/>
        </w:rPr>
        <w:t>9,492</w:t>
      </w:r>
    </w:p>
    <w:p>
      <w:pPr>
        <w:spacing w:after="0" w:line="10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4"/>
          <w:szCs w:val="14"/>
          <w:color w:val="auto"/>
        </w:rPr>
        <w:t>249,497</w:t>
      </w:r>
      <w:r>
        <w:rPr>
          <w:sz w:val="20"/>
          <w:szCs w:val="20"/>
          <w:color w:val="auto"/>
        </w:rPr>
        <w:tab/>
      </w:r>
      <w:r>
        <w:rPr>
          <w:rFonts w:ascii="Arial" w:cs="Arial" w:eastAsia="Arial" w:hAnsi="Arial"/>
          <w:sz w:val="14"/>
          <w:szCs w:val="14"/>
          <w:color w:val="auto"/>
        </w:rPr>
        <w:t>192,664</w:t>
      </w:r>
    </w:p>
    <w:p>
      <w:pPr>
        <w:spacing w:after="0" w:line="109"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4"/>
          <w:szCs w:val="14"/>
          <w:color w:val="auto"/>
        </w:rPr>
        <w:t>1,354</w:t>
      </w:r>
      <w:r>
        <w:rPr>
          <w:sz w:val="20"/>
          <w:szCs w:val="20"/>
          <w:color w:val="auto"/>
        </w:rPr>
        <w:tab/>
      </w:r>
      <w:r>
        <w:rPr>
          <w:rFonts w:ascii="Arial" w:cs="Arial" w:eastAsia="Arial" w:hAnsi="Arial"/>
          <w:sz w:val="14"/>
          <w:szCs w:val="14"/>
          <w:color w:val="auto"/>
        </w:rPr>
        <w:t>1,126</w:t>
      </w:r>
    </w:p>
    <w:p>
      <w:pPr>
        <w:spacing w:after="0" w:line="10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4"/>
          <w:szCs w:val="14"/>
          <w:color w:val="auto"/>
        </w:rPr>
        <w:t>13,740</w:t>
      </w:r>
      <w:r>
        <w:rPr>
          <w:sz w:val="20"/>
          <w:szCs w:val="20"/>
          <w:color w:val="auto"/>
        </w:rPr>
        <w:tab/>
      </w:r>
      <w:r>
        <w:rPr>
          <w:rFonts w:ascii="Arial" w:cs="Arial" w:eastAsia="Arial" w:hAnsi="Arial"/>
          <w:sz w:val="14"/>
          <w:szCs w:val="14"/>
          <w:color w:val="auto"/>
        </w:rPr>
        <w:t>13,787</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31,226</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25,335—</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82"/>
        </w:trPr>
        <w:tc>
          <w:tcPr>
            <w:tcW w:w="780" w:type="dxa"/>
            <w:vAlign w:val="bottom"/>
          </w:tcPr>
          <w:p>
            <w:pPr>
              <w:jc w:val="right"/>
              <w:ind w:right="368"/>
              <w:spacing w:after="0"/>
              <w:rPr>
                <w:sz w:val="20"/>
                <w:szCs w:val="20"/>
                <w:color w:val="auto"/>
              </w:rPr>
            </w:pPr>
            <w:r>
              <w:rPr>
                <w:rFonts w:ascii="Arial" w:cs="Arial" w:eastAsia="Arial" w:hAnsi="Arial"/>
                <w:sz w:val="14"/>
                <w:szCs w:val="14"/>
                <w:color w:val="auto"/>
                <w:w w:val="91"/>
              </w:rPr>
              <w:t>1,814</w:t>
            </w:r>
          </w:p>
        </w:tc>
        <w:tc>
          <w:tcPr>
            <w:tcW w:w="680" w:type="dxa"/>
            <w:vAlign w:val="bottom"/>
          </w:tcPr>
          <w:p>
            <w:pPr>
              <w:jc w:val="right"/>
              <w:spacing w:after="0"/>
              <w:rPr>
                <w:sz w:val="20"/>
                <w:szCs w:val="20"/>
                <w:color w:val="auto"/>
              </w:rPr>
            </w:pPr>
            <w:r>
              <w:rPr>
                <w:rFonts w:ascii="Arial" w:cs="Arial" w:eastAsia="Arial" w:hAnsi="Arial"/>
                <w:sz w:val="14"/>
                <w:szCs w:val="14"/>
                <w:color w:val="auto"/>
              </w:rPr>
              <w:t>851</w:t>
            </w:r>
          </w:p>
        </w:tc>
      </w:tr>
      <w:tr>
        <w:trPr>
          <w:trHeight w:val="270"/>
        </w:trPr>
        <w:tc>
          <w:tcPr>
            <w:tcW w:w="780" w:type="dxa"/>
            <w:vAlign w:val="bottom"/>
          </w:tcPr>
          <w:p>
            <w:pPr>
              <w:jc w:val="right"/>
              <w:ind w:right="368"/>
              <w:spacing w:after="0"/>
              <w:rPr>
                <w:sz w:val="20"/>
                <w:szCs w:val="20"/>
                <w:color w:val="auto"/>
              </w:rPr>
            </w:pPr>
            <w:r>
              <w:rPr>
                <w:rFonts w:ascii="Arial" w:cs="Arial" w:eastAsia="Arial" w:hAnsi="Arial"/>
                <w:sz w:val="14"/>
                <w:szCs w:val="14"/>
                <w:color w:val="auto"/>
              </w:rPr>
              <w:t>807</w:t>
            </w:r>
          </w:p>
        </w:tc>
        <w:tc>
          <w:tcPr>
            <w:tcW w:w="680" w:type="dxa"/>
            <w:vAlign w:val="bottom"/>
          </w:tcPr>
          <w:p>
            <w:pPr>
              <w:jc w:val="right"/>
              <w:spacing w:after="0"/>
              <w:rPr>
                <w:sz w:val="20"/>
                <w:szCs w:val="20"/>
                <w:color w:val="auto"/>
              </w:rPr>
            </w:pPr>
            <w:r>
              <w:rPr>
                <w:rFonts w:ascii="Arial" w:cs="Arial" w:eastAsia="Arial" w:hAnsi="Arial"/>
                <w:sz w:val="14"/>
                <w:szCs w:val="14"/>
                <w:color w:val="auto"/>
              </w:rPr>
              <w:t>196</w:t>
            </w:r>
          </w:p>
        </w:tc>
      </w:tr>
    </w:tbl>
    <w:p>
      <w:pPr>
        <w:spacing w:after="0" w:line="358"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4"/>
          <w:szCs w:val="14"/>
          <w:color w:val="auto"/>
        </w:rPr>
        <w:t>(37,341)</w:t>
      </w:r>
      <w:r>
        <w:rPr>
          <w:sz w:val="20"/>
          <w:szCs w:val="20"/>
          <w:color w:val="auto"/>
        </w:rPr>
        <w:tab/>
      </w:r>
      <w:r>
        <w:rPr>
          <w:rFonts w:ascii="Arial" w:cs="Arial" w:eastAsia="Arial" w:hAnsi="Arial"/>
          <w:sz w:val="14"/>
          <w:szCs w:val="14"/>
          <w:color w:val="auto"/>
        </w:rPr>
        <w:t>(5,654)</w:t>
      </w:r>
    </w:p>
    <w:p>
      <w:pPr>
        <w:spacing w:after="0" w:line="109" w:lineRule="exact"/>
        <w:rPr>
          <w:sz w:val="20"/>
          <w:szCs w:val="20"/>
          <w:color w:val="auto"/>
        </w:rPr>
      </w:pPr>
    </w:p>
    <w:p>
      <w:pPr>
        <w:jc w:val="both"/>
        <w:ind w:left="600"/>
        <w:spacing w:after="0"/>
        <w:tabs>
          <w:tab w:leader="none" w:pos="1580" w:val="left"/>
        </w:tabs>
        <w:rPr>
          <w:sz w:val="20"/>
          <w:szCs w:val="20"/>
          <w:color w:val="auto"/>
        </w:rPr>
      </w:pPr>
      <w:r>
        <w:rPr>
          <w:rFonts w:ascii="Arial" w:cs="Arial" w:eastAsia="Arial" w:hAnsi="Arial"/>
          <w:sz w:val="14"/>
          <w:szCs w:val="14"/>
          <w:color w:val="auto"/>
        </w:rPr>
        <w:t>2,307</w:t>
      </w:r>
      <w:r>
        <w:rPr>
          <w:sz w:val="20"/>
          <w:szCs w:val="20"/>
          <w:color w:val="auto"/>
        </w:rPr>
        <w:tab/>
      </w:r>
      <w:r>
        <w:rPr>
          <w:rFonts w:ascii="Arial" w:cs="Arial" w:eastAsia="Arial" w:hAnsi="Arial"/>
          <w:sz w:val="14"/>
          <w:szCs w:val="14"/>
          <w:color w:val="auto"/>
        </w:rPr>
        <w:t>(15,347)</w:t>
      </w:r>
    </w:p>
    <w:p>
      <w:pPr>
        <w:spacing w:after="0" w:line="10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4"/>
          <w:szCs w:val="14"/>
          <w:color w:val="auto"/>
        </w:rPr>
        <w:t>(5,099)</w:t>
      </w:r>
      <w:r>
        <w:rPr>
          <w:sz w:val="20"/>
          <w:szCs w:val="20"/>
          <w:color w:val="auto"/>
        </w:rPr>
        <w:tab/>
      </w:r>
      <w:r>
        <w:rPr>
          <w:rFonts w:ascii="Arial" w:cs="Arial" w:eastAsia="Arial" w:hAnsi="Arial"/>
          <w:sz w:val="14"/>
          <w:szCs w:val="14"/>
          <w:color w:val="auto"/>
        </w:rPr>
        <w:t>(502)</w:t>
      </w:r>
    </w:p>
    <w:p>
      <w:pPr>
        <w:spacing w:after="0" w:line="109" w:lineRule="exact"/>
        <w:rPr>
          <w:sz w:val="20"/>
          <w:szCs w:val="20"/>
          <w:color w:val="auto"/>
        </w:rPr>
      </w:pPr>
    </w:p>
    <w:p>
      <w:pPr>
        <w:ind w:left="1900" w:hanging="1233"/>
        <w:spacing w:after="0"/>
        <w:tabs>
          <w:tab w:leader="none" w:pos="1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(15,540)</w:t>
      </w:r>
      <w:r>
        <w:rPr>
          <w:rFonts w:ascii="Arial" w:cs="Arial" w:eastAsia="Arial" w:hAnsi="Arial"/>
          <w:sz w:val="13"/>
          <w:szCs w:val="13"/>
          <w:color w:val="auto"/>
        </w:rPr>
        <w:t>20,823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5,665</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9,565</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r>
      <w:tr>
        <w:trPr>
          <w:trHeight w:val="244"/>
        </w:trPr>
        <w:tc>
          <w:tcPr>
            <w:tcW w:w="1040" w:type="dxa"/>
            <w:vAlign w:val="bottom"/>
          </w:tcPr>
          <w:p>
            <w:pPr>
              <w:jc w:val="right"/>
              <w:ind w:right="28"/>
              <w:spacing w:after="0"/>
              <w:rPr>
                <w:sz w:val="20"/>
                <w:szCs w:val="20"/>
                <w:color w:val="auto"/>
              </w:rPr>
            </w:pPr>
            <w:r>
              <w:rPr>
                <w:rFonts w:ascii="Arial" w:cs="Arial" w:eastAsia="Arial" w:hAnsi="Arial"/>
                <w:sz w:val="14"/>
                <w:szCs w:val="14"/>
                <w:color w:val="auto"/>
              </w:rPr>
              <w:t>353,127</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419,318</w:t>
            </w:r>
          </w:p>
        </w:tc>
      </w:tr>
      <w:tr>
        <w:trPr>
          <w:trHeight w:val="540"/>
        </w:trPr>
        <w:tc>
          <w:tcPr>
            <w:tcW w:w="1040" w:type="dxa"/>
            <w:vAlign w:val="bottom"/>
          </w:tcPr>
          <w:p>
            <w:pPr>
              <w:jc w:val="right"/>
              <w:spacing w:after="0"/>
              <w:rPr>
                <w:sz w:val="20"/>
                <w:szCs w:val="20"/>
                <w:color w:val="auto"/>
              </w:rPr>
            </w:pPr>
            <w:r>
              <w:rPr>
                <w:rFonts w:ascii="Arial" w:cs="Arial" w:eastAsia="Arial" w:hAnsi="Arial"/>
                <w:sz w:val="14"/>
                <w:szCs w:val="14"/>
                <w:color w:val="auto"/>
              </w:rPr>
              <w:t>(536,017)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(1,106,556)</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(120,792)</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(120,669)</w:t>
            </w: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(3,911)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(1,570)</w:t>
            </w:r>
          </w:p>
        </w:tc>
      </w:tr>
      <w:tr>
        <w:trPr>
          <w:trHeight w:val="276"/>
        </w:trPr>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21,671</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8,267</w:t>
            </w:r>
          </w:p>
        </w:tc>
      </w:tr>
      <w:tr>
        <w:trPr>
          <w:trHeight w:val="244"/>
        </w:trPr>
        <w:tc>
          <w:tcPr>
            <w:tcW w:w="1040" w:type="dxa"/>
            <w:vAlign w:val="bottom"/>
          </w:tcPr>
          <w:p>
            <w:pPr>
              <w:jc w:val="right"/>
              <w:spacing w:after="0"/>
              <w:rPr>
                <w:sz w:val="20"/>
                <w:szCs w:val="20"/>
                <w:color w:val="auto"/>
              </w:rPr>
            </w:pPr>
            <w:r>
              <w:rPr>
                <w:rFonts w:ascii="Arial" w:cs="Arial" w:eastAsia="Arial" w:hAnsi="Arial"/>
                <w:sz w:val="14"/>
                <w:szCs w:val="14"/>
                <w:color w:val="auto"/>
              </w:rPr>
              <w:t>(639,049)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(1,220,528)</w:t>
            </w:r>
          </w:p>
        </w:tc>
      </w:tr>
    </w:tbl>
    <w:p>
      <w:pPr>
        <w:spacing w:after="0" w:line="358" w:lineRule="exact"/>
        <w:rPr>
          <w:sz w:val="20"/>
          <w:szCs w:val="20"/>
          <w:color w:val="auto"/>
        </w:rPr>
      </w:pPr>
    </w:p>
    <w:p>
      <w:pPr>
        <w:jc w:val="both"/>
        <w:ind w:left="480"/>
        <w:spacing w:after="0"/>
        <w:tabs>
          <w:tab w:leader="none" w:pos="1580" w:val="left"/>
        </w:tabs>
        <w:rPr>
          <w:sz w:val="20"/>
          <w:szCs w:val="20"/>
          <w:color w:val="auto"/>
        </w:rPr>
      </w:pPr>
      <w:r>
        <w:rPr>
          <w:rFonts w:ascii="Arial" w:cs="Arial" w:eastAsia="Arial" w:hAnsi="Arial"/>
          <w:sz w:val="14"/>
          <w:szCs w:val="14"/>
          <w:color w:val="auto"/>
        </w:rPr>
        <w:t>(10,000)</w:t>
      </w:r>
      <w:r>
        <w:rPr>
          <w:sz w:val="20"/>
          <w:szCs w:val="20"/>
          <w:color w:val="auto"/>
        </w:rPr>
        <w:tab/>
      </w:r>
      <w:r>
        <w:rPr>
          <w:rFonts w:ascii="Arial" w:cs="Arial" w:eastAsia="Arial" w:hAnsi="Arial"/>
          <w:sz w:val="14"/>
          <w:szCs w:val="14"/>
          <w:color w:val="auto"/>
        </w:rPr>
        <w:t>(45,000)</w:t>
      </w:r>
    </w:p>
    <w:p>
      <w:pPr>
        <w:spacing w:after="0" w:line="10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4"/>
          <w:szCs w:val="14"/>
          <w:color w:val="auto"/>
        </w:rPr>
        <w:t>185,000</w:t>
      </w:r>
      <w:r>
        <w:rPr>
          <w:sz w:val="20"/>
          <w:szCs w:val="20"/>
          <w:color w:val="auto"/>
        </w:rPr>
        <w:tab/>
      </w:r>
      <w:r>
        <w:rPr>
          <w:rFonts w:ascii="Arial" w:cs="Arial" w:eastAsia="Arial" w:hAnsi="Arial"/>
          <w:sz w:val="14"/>
          <w:szCs w:val="14"/>
          <w:color w:val="auto"/>
        </w:rPr>
        <w:t>370,000</w:t>
      </w:r>
    </w:p>
    <w:p>
      <w:pPr>
        <w:spacing w:after="0" w:line="109"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14"/>
          <w:szCs w:val="14"/>
          <w:color w:val="auto"/>
        </w:rPr>
        <w:t>40,000</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1900" w:hanging="1233"/>
        <w:spacing w:after="0"/>
        <w:tabs>
          <w:tab w:leader="none" w:pos="1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78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750,000</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(9,531)</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(605,780)</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226,612</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3,300</w:t>
            </w:r>
          </w:p>
        </w:tc>
        <w:tc>
          <w:tcPr>
            <w:tcW w:w="84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14,700</w:t>
            </w:r>
          </w:p>
        </w:tc>
        <w:tc>
          <w:tcPr>
            <w:tcW w:w="840" w:type="dxa"/>
            <w:vAlign w:val="bottom"/>
          </w:tcPr>
          <w:p>
            <w:pPr>
              <w:jc w:val="right"/>
              <w:spacing w:after="0"/>
              <w:rPr>
                <w:sz w:val="20"/>
                <w:szCs w:val="20"/>
                <w:color w:val="auto"/>
              </w:rPr>
            </w:pPr>
            <w:r>
              <w:rPr>
                <w:rFonts w:ascii="Arial" w:cs="Arial" w:eastAsia="Arial" w:hAnsi="Arial"/>
                <w:sz w:val="14"/>
                <w:szCs w:val="14"/>
                <w:color w:val="auto"/>
              </w:rPr>
              <w:t>14,700</w:t>
            </w:r>
          </w:p>
        </w:tc>
      </w:tr>
      <w:tr>
        <w:trPr>
          <w:trHeight w:val="270"/>
        </w:trPr>
        <w:tc>
          <w:tcPr>
            <w:tcW w:w="780" w:type="dxa"/>
            <w:vAlign w:val="bottom"/>
          </w:tcPr>
          <w:p>
            <w:pPr>
              <w:jc w:val="right"/>
              <w:ind w:right="248"/>
              <w:spacing w:after="0"/>
              <w:rPr>
                <w:sz w:val="20"/>
                <w:szCs w:val="20"/>
                <w:color w:val="auto"/>
              </w:rPr>
            </w:pPr>
            <w:r>
              <w:rPr>
                <w:rFonts w:ascii="Arial" w:cs="Arial" w:eastAsia="Arial" w:hAnsi="Arial"/>
                <w:sz w:val="14"/>
                <w:szCs w:val="14"/>
                <w:color w:val="auto"/>
              </w:rPr>
              <w:t>42,330</w:t>
            </w:r>
          </w:p>
        </w:tc>
        <w:tc>
          <w:tcPr>
            <w:tcW w:w="840" w:type="dxa"/>
            <w:vAlign w:val="bottom"/>
          </w:tcPr>
          <w:p>
            <w:pPr>
              <w:jc w:val="right"/>
              <w:spacing w:after="0"/>
              <w:rPr>
                <w:sz w:val="20"/>
                <w:szCs w:val="20"/>
                <w:color w:val="auto"/>
              </w:rPr>
            </w:pPr>
            <w:r>
              <w:rPr>
                <w:rFonts w:ascii="Arial" w:cs="Arial" w:eastAsia="Arial" w:hAnsi="Arial"/>
                <w:sz w:val="14"/>
                <w:szCs w:val="14"/>
                <w:color w:val="auto"/>
              </w:rPr>
              <w:t>73,500</w:t>
            </w:r>
          </w:p>
        </w:tc>
      </w:tr>
      <w:tr>
        <w:trPr>
          <w:trHeight w:val="270"/>
        </w:trPr>
        <w:tc>
          <w:tcPr>
            <w:tcW w:w="780" w:type="dxa"/>
            <w:vAlign w:val="bottom"/>
          </w:tcPr>
          <w:p>
            <w:pPr>
              <w:jc w:val="right"/>
              <w:ind w:right="208"/>
              <w:spacing w:after="0"/>
              <w:rPr>
                <w:sz w:val="20"/>
                <w:szCs w:val="20"/>
                <w:color w:val="auto"/>
              </w:rPr>
            </w:pPr>
            <w:r>
              <w:rPr>
                <w:rFonts w:ascii="Arial" w:cs="Arial" w:eastAsia="Arial" w:hAnsi="Arial"/>
                <w:sz w:val="14"/>
                <w:szCs w:val="14"/>
                <w:color w:val="auto"/>
                <w:w w:val="91"/>
              </w:rPr>
              <w:t>(27,685)</w:t>
            </w:r>
          </w:p>
        </w:tc>
        <w:tc>
          <w:tcPr>
            <w:tcW w:w="840" w:type="dxa"/>
            <w:vAlign w:val="bottom"/>
          </w:tcPr>
          <w:p>
            <w:pPr>
              <w:jc w:val="right"/>
              <w:spacing w:after="0"/>
              <w:rPr>
                <w:sz w:val="20"/>
                <w:szCs w:val="20"/>
                <w:color w:val="auto"/>
              </w:rPr>
            </w:pPr>
            <w:r>
              <w:rPr>
                <w:rFonts w:ascii="Arial" w:cs="Arial" w:eastAsia="Arial" w:hAnsi="Arial"/>
                <w:sz w:val="14"/>
                <w:szCs w:val="14"/>
                <w:color w:val="auto"/>
              </w:rPr>
              <w:t>(17,395)</w:t>
            </w:r>
          </w:p>
        </w:tc>
      </w:tr>
      <w:tr>
        <w:trPr>
          <w:trHeight w:val="270"/>
        </w:trPr>
        <w:tc>
          <w:tcPr>
            <w:tcW w:w="780" w:type="dxa"/>
            <w:vAlign w:val="bottom"/>
          </w:tcPr>
          <w:p>
            <w:pPr>
              <w:jc w:val="right"/>
              <w:ind w:right="208"/>
              <w:spacing w:after="0"/>
              <w:rPr>
                <w:sz w:val="20"/>
                <w:szCs w:val="20"/>
                <w:color w:val="auto"/>
              </w:rPr>
            </w:pPr>
            <w:r>
              <w:rPr>
                <w:rFonts w:ascii="Arial" w:cs="Arial" w:eastAsia="Arial" w:hAnsi="Arial"/>
                <w:sz w:val="14"/>
                <w:szCs w:val="14"/>
                <w:color w:val="auto"/>
              </w:rPr>
              <w:t>(3,665)</w:t>
            </w:r>
          </w:p>
        </w:tc>
        <w:tc>
          <w:tcPr>
            <w:tcW w:w="840" w:type="dxa"/>
            <w:vAlign w:val="bottom"/>
          </w:tcPr>
          <w:p>
            <w:pPr>
              <w:jc w:val="right"/>
              <w:spacing w:after="0"/>
              <w:rPr>
                <w:sz w:val="20"/>
                <w:szCs w:val="20"/>
                <w:color w:val="auto"/>
              </w:rPr>
            </w:pPr>
            <w:r>
              <w:rPr>
                <w:rFonts w:ascii="Arial" w:cs="Arial" w:eastAsia="Arial" w:hAnsi="Arial"/>
                <w:sz w:val="14"/>
                <w:szCs w:val="14"/>
                <w:color w:val="auto"/>
              </w:rPr>
              <w:t>(6,051)</w:t>
            </w:r>
          </w:p>
        </w:tc>
      </w:tr>
    </w:tbl>
    <w:p>
      <w:pPr>
        <w:spacing w:after="0" w:line="88" w:lineRule="exact"/>
        <w:rPr>
          <w:sz w:val="20"/>
          <w:szCs w:val="20"/>
          <w:color w:val="auto"/>
        </w:rPr>
      </w:pPr>
    </w:p>
    <w:p>
      <w:pPr>
        <w:ind w:left="1900" w:hanging="1233"/>
        <w:spacing w:after="0"/>
        <w:tabs>
          <w:tab w:leader="none" w:pos="1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t>
      </w:r>
    </w:p>
    <w:p>
      <w:pPr>
        <w:spacing w:after="0" w:line="10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242,744</w:t>
      </w:r>
      <w:r>
        <w:rPr>
          <w:rFonts w:ascii="Arial" w:cs="Arial" w:eastAsia="Arial" w:hAnsi="Arial"/>
          <w:sz w:val="13"/>
          <w:szCs w:val="13"/>
          <w:color w:val="auto"/>
        </w:rPr>
        <w:t>751,736</w:t>
      </w:r>
    </w:p>
    <w:p>
      <w:pPr>
        <w:spacing w:after="0" w:line="109"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(43,178)</w:t>
      </w:r>
      <w:r>
        <w:rPr>
          <w:rFonts w:ascii="Arial" w:cs="Arial" w:eastAsia="Arial" w:hAnsi="Arial"/>
          <w:sz w:val="13"/>
          <w:szCs w:val="13"/>
          <w:color w:val="auto"/>
        </w:rPr>
        <w:t>(49,474)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13722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540"/>
        <w:spacing w:after="0"/>
        <w:tabs>
          <w:tab w:leader="none" w:pos="1560" w:val="left"/>
        </w:tabs>
        <w:rPr>
          <w:sz w:val="20"/>
          <w:szCs w:val="20"/>
          <w:color w:val="auto"/>
        </w:rPr>
      </w:pPr>
      <w:r>
        <w:rPr>
          <w:rFonts w:ascii="Arial" w:cs="Arial" w:eastAsia="Arial" w:hAnsi="Arial"/>
          <w:sz w:val="14"/>
          <w:szCs w:val="14"/>
          <w:color w:val="auto"/>
        </w:rPr>
        <w:t>83,984</w:t>
      </w:r>
      <w:r>
        <w:rPr>
          <w:sz w:val="20"/>
          <w:szCs w:val="20"/>
          <w:color w:val="auto"/>
        </w:rPr>
        <w:tab/>
      </w:r>
      <w:r>
        <w:rPr>
          <w:rFonts w:ascii="Arial" w:cs="Arial" w:eastAsia="Arial" w:hAnsi="Arial"/>
          <w:sz w:val="14"/>
          <w:szCs w:val="14"/>
          <w:color w:val="auto"/>
        </w:rPr>
        <w:t>102,482</w:t>
      </w:r>
    </w:p>
    <w:p>
      <w:pPr>
        <w:spacing w:after="0" w:line="96" w:lineRule="exact"/>
        <w:rPr>
          <w:sz w:val="20"/>
          <w:szCs w:val="20"/>
          <w:color w:val="auto"/>
        </w:rPr>
      </w:pPr>
    </w:p>
    <w:p>
      <w:pPr>
        <w:ind w:left="20"/>
        <w:spacing w:after="0"/>
        <w:tabs>
          <w:tab w:leader="none" w:pos="520" w:val="left"/>
          <w:tab w:leader="none" w:pos="1160" w:val="left"/>
          <w:tab w:leader="none" w:pos="16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40,806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53,008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13722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2160"/>
          </w:cols>
          <w:pgMar w:left="240" w:top="125" w:right="239" w:bottom="0" w:gutter="0" w:footer="0" w:header="0"/>
          <w:type w:val="continuous"/>
        </w:sectPr>
      </w:pPr>
    </w:p>
    <w:p>
      <w:pPr>
        <w:spacing w:after="0" w:line="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 (Note 11)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11420"/>
          </w:cols>
          <w:pgMar w:left="240" w:top="125" w:right="239" w:bottom="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salt water gathering services and salt water disposal services to third parties.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Interim Financial Statements, Basis of Presentation, Consolidation and Significant Estimates</w:t>
      </w:r>
    </w:p>
    <w:p>
      <w:pPr>
        <w:spacing w:after="0" w:line="11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2018 filed with the SEC on March 1, 2019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7"/>
          <w:szCs w:val="17"/>
          <w:i w:val="1"/>
          <w:iCs w:val="1"/>
          <w:color w:val="auto"/>
        </w:rPr>
        <w:t>Consolidation (Topic 810)</w:t>
      </w:r>
      <w:r>
        <w:rPr>
          <w:rFonts w:ascii="Arial" w:cs="Arial" w:eastAsia="Arial" w:hAnsi="Arial"/>
          <w:sz w:val="17"/>
          <w:szCs w:val="17"/>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2019. Amounts as of December 31, 2018 are derived from the Company’s audited consolidated financial statements included in the Annual Report. Certain reclassifications have been made to the December 31, 2018 financial statement amounts in order to conform them to the September 30, 2019 presentations.</w:t>
      </w:r>
    </w:p>
    <w:p>
      <w:pPr>
        <w:spacing w:after="0" w:line="8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Principles</w:t>
      </w:r>
    </w:p>
    <w:p>
      <w:pPr>
        <w:spacing w:after="0" w:line="117"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During the first quarter of 2019, the Company adopted Accounting Standards Update (“ASU”) 2016-02,</w:t>
      </w:r>
      <w:r>
        <w:rPr>
          <w:rFonts w:ascii="Arial" w:cs="Arial" w:eastAsia="Arial" w:hAnsi="Arial"/>
          <w:sz w:val="17"/>
          <w:szCs w:val="17"/>
          <w:i w:val="1"/>
          <w:iCs w:val="1"/>
          <w:color w:val="auto"/>
        </w:rPr>
        <w:t xml:space="preserve"> Leases (Topic 842)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amendments provided for in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 the recognition of lease assets and lease liabilities by lessees for those leases classified as operating leases under previous U.S. GAAP using a modified retrospective approach. The modified retrospective approach includes a number of optional practical expedients that the Company chose to apply. These practical expedients relate to (i) the identification and classification of leases that commenced before the effective date, (ii) the treatment of initial direct costs for leases that commenced before the effective date, (iii) the ability to use hindsight in evaluating lessee options to extend or terminate a lease or to purchase the underlying asset and (iv) the ability to initially apply the new lease standard at the adoption date. During the first quarter of 2019, the Company also adopted ASU 2018-01,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land easement practical expedient, and, as a result, the Company began evaluating land easements that are entered into or modified after December 31, 2018. See Note 3 for additional disclosures related to leases.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adoption of these ASUs resulted in the Company recording in the condensed consolidated balance sheet beginning January 1, 2019 certain of the Company’s compressor leases, drilling rig leases and office leases, which were previously considered operating leases and not reported on the Company’s condensed consolidated balance sheets. As such, upon adoption, the Company recorded (i) long-term right of use assets of $62.3 million, which are included in “Other assets” and “Other property and equipment,” and (ii) net right of use liabilities of $62.3 million, which are included in “Other current liabilities” and “Other long-term liabilities.” There was no cumulative-effect adjustment to the opening balance of accumulated deficit as a result of the adoption of these ASUs.</w:t>
      </w:r>
    </w:p>
    <w:p>
      <w:pPr>
        <w:spacing w:after="0" w:line="8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During the first quarter of 2019, the Company also adopted ASU 2018-07,</w:t>
      </w:r>
      <w:r>
        <w:rPr>
          <w:rFonts w:ascii="Arial" w:cs="Arial" w:eastAsia="Arial" w:hAnsi="Arial"/>
          <w:sz w:val="16"/>
          <w:szCs w:val="16"/>
          <w:i w:val="1"/>
          <w:iCs w:val="1"/>
          <w:color w:val="auto"/>
        </w:rPr>
        <w:t xml:space="preserve"> Compensation - Stock Compensation (Topic 718): Improvements to Nonemployee Share-Based Payment Accounting</w:t>
      </w:r>
      <w:r>
        <w:rPr>
          <w:rFonts w:ascii="Arial" w:cs="Arial" w:eastAsia="Arial" w:hAnsi="Arial"/>
          <w:sz w:val="16"/>
          <w:szCs w:val="16"/>
          <w:color w:val="auto"/>
        </w:rPr>
        <w:t>, which extends the scope of Topic 718 to include share-based payment transactions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acquisition of goods and services from nonemployees. Previously, the Company accounted for stock-based awards to special advisors and contractors under ASC 505-50 as liability instruments, and the fair value of the awards was recalculated each reporting period. Upon adoption, all such awards are now measured at fair value on the grant date and the resulting expense is recognized on a straight-line basis over the awards’ vesting periods. The transitional guidance requires entities to remeasure all unvested awards that are being accounted for under ASC 505-50 as liability instruments as of the beginning of the year in which this ASU is adopted. Adoption of this ASU did not have a material impact on the Company’s condensed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three and nine months ended September 30, 2019 and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264,498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715,218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bonus - mineral acreage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(loss) on derivatives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Unrealized gain (loss) on derivatives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9,847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(9,492)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279,402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207,178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694,995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609,725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Natural gas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92,116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122,912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Third-party midstream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 from contracts with customers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264,498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223,091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715,218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620,539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both the three and nine months ended September 30, 2019 and 2018, the cost center ceiling was higher than the capitalized costs of oil and natural gas properties, and, as a result, no impairment charge was necessary.</w:t>
      </w:r>
    </w:p>
    <w:p>
      <w:pPr>
        <w:spacing w:after="0" w:line="5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capitalized approximately $8.3 million and $8.5 million of its general and administrative costs and approximately $2.7 million and $1.7 million of its interest expense for the three months ended September 30, 2019 and 2018, respectively. The Company capitalized approximately $25.1 million and $22.6 million of its general and administrative costs and approximately $7.0 million and $6.2 million of its interest expense for the nine months ended September 30, 2019 and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sets forth the computation of diluted weighted average common shares outstanding for the three and nine months ended September 30, 2019 and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0" w:type="dxa"/>
            <w:vAlign w:val="bottom"/>
            <w:gridSpan w:val="4"/>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28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620" w:type="dxa"/>
            <w:vAlign w:val="bottom"/>
          </w:tcPr>
          <w:p>
            <w:pPr>
              <w:spacing w:after="0"/>
              <w:rPr>
                <w:sz w:val="20"/>
                <w:szCs w:val="20"/>
                <w:color w:val="auto"/>
              </w:rPr>
            </w:pPr>
          </w:p>
        </w:tc>
        <w:tc>
          <w:tcPr>
            <w:tcW w:w="3000" w:type="dxa"/>
            <w:vAlign w:val="bottom"/>
            <w:gridSpan w:val="4"/>
          </w:tcPr>
          <w:p>
            <w:pPr>
              <w:ind w:left="920"/>
              <w:spacing w:after="0"/>
              <w:rPr>
                <w:sz w:val="20"/>
                <w:szCs w:val="20"/>
                <w:color w:val="auto"/>
              </w:rPr>
            </w:pPr>
            <w:r>
              <w:rPr>
                <w:rFonts w:ascii="Arial" w:cs="Arial" w:eastAsia="Arial" w:hAnsi="Arial"/>
                <w:sz w:val="18"/>
                <w:szCs w:val="18"/>
                <w:b w:val="1"/>
                <w:bCs w:val="1"/>
                <w:color w:val="auto"/>
              </w:rPr>
              <w:t>September 30,</w:t>
            </w:r>
          </w:p>
        </w:tc>
        <w:tc>
          <w:tcPr>
            <w:tcW w:w="28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116,643</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116,358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116,541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112,659</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options and restricted stock units</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57"/>
        </w:trPr>
        <w:tc>
          <w:tcPr>
            <w:tcW w:w="5620" w:type="dxa"/>
            <w:vAlign w:val="bottom"/>
          </w:tcPr>
          <w:p>
            <w:pPr>
              <w:ind w:left="60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116,976</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116,912</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116,994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113,208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A total of 2.5 million and 2.7 million options to purchase shares of Matador’s common stock were excluded from the diluted weighted average common shares outstanding for the three and nine months ended September 30, 2019, respectively, because their effects were anti-dilutive.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36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interim unaudited condensed consolidated balance sheet.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 used for the three months ended September 30, 2019 was 3.74%. For these purposes, the lease term includes options to extend the lease when it is reasonably certain that the Company will exercise such option. Leases with terms of 12 months or less at inception are not recorded on the interim unaudited condensed consolidated balance sheet unless there is a significant cost to terminate the lease, including the cost of removal of the leased asset. As the Company is the responsible party under these arrangements, the Company records the resulting assets and liabilities on a gross basis in its interim unaudited condensed consolidated balance sheets.</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following table presents supplemental interim unaudited condensed consolidated statement of operations information related to lease expenses, on a gross basis, for the three and nine months ended September 30, 2019 (in thousands). Lease payments represent gross payments to vendors, which, for certain of our operating assets, are partially offset by amounts received from other working interest owners in our operated wells.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ind w:left="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September 30, 2019</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operating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Plant and other midstream services</w:t>
            </w: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64"/>
        </w:trPr>
        <w:tc>
          <w:tcPr>
            <w:tcW w:w="6980" w:type="dxa"/>
            <w:vAlign w:val="bottom"/>
          </w:tcPr>
          <w:p>
            <w:pPr>
              <w:ind w:left="500"/>
              <w:spacing w:after="0" w:line="264" w:lineRule="exact"/>
              <w:rPr>
                <w:sz w:val="20"/>
                <w:szCs w:val="20"/>
                <w:color w:val="auto"/>
              </w:rPr>
            </w:pPr>
            <w:r>
              <w:rPr>
                <w:rFonts w:ascii="Arial" w:cs="Arial" w:eastAsia="Arial" w:hAnsi="Arial"/>
                <w:sz w:val="18"/>
                <w:szCs w:val="18"/>
                <w:color w:val="auto"/>
              </w:rPr>
              <w:t>Total operating leases</w:t>
            </w:r>
            <w:r>
              <w:rPr>
                <w:rFonts w:ascii="Arial" w:cs="Arial" w:eastAsia="Arial" w:hAnsi="Arial"/>
                <w:sz w:val="25"/>
                <w:szCs w:val="25"/>
                <w:color w:val="auto"/>
                <w:vertAlign w:val="superscript"/>
              </w:rPr>
              <w:t>(1)</w:t>
            </w:r>
          </w:p>
        </w:tc>
        <w:tc>
          <w:tcPr>
            <w:tcW w:w="18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Lease operating</w:t>
            </w: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and other midstream services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ind w:left="500"/>
              <w:spacing w:after="0" w:line="264" w:lineRule="exact"/>
              <w:rPr>
                <w:sz w:val="20"/>
                <w:szCs w:val="20"/>
                <w:color w:val="auto"/>
              </w:rPr>
            </w:pPr>
            <w:r>
              <w:rPr>
                <w:rFonts w:ascii="Arial" w:cs="Arial" w:eastAsia="Arial" w:hAnsi="Arial"/>
                <w:sz w:val="18"/>
                <w:szCs w:val="18"/>
                <w:color w:val="auto"/>
              </w:rPr>
              <w:t>Total short-term leases</w:t>
            </w:r>
            <w:r>
              <w:rPr>
                <w:rFonts w:ascii="Arial" w:cs="Arial" w:eastAsia="Arial" w:hAnsi="Arial"/>
                <w:sz w:val="25"/>
                <w:szCs w:val="25"/>
                <w:color w:val="auto"/>
                <w:vertAlign w:val="superscript"/>
              </w:rPr>
              <w:t>(2)(3)</w:t>
            </w:r>
          </w:p>
        </w:tc>
        <w:tc>
          <w:tcPr>
            <w:tcW w:w="18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of assets</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18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financing leases</w:t>
            </w: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57"/>
        </w:trPr>
        <w:tc>
          <w:tcPr>
            <w:tcW w:w="6980" w:type="dxa"/>
            <w:vAlign w:val="bottom"/>
          </w:tcPr>
          <w:p>
            <w:pPr>
              <w:ind w:left="820"/>
              <w:spacing w:after="0"/>
              <w:rPr>
                <w:sz w:val="20"/>
                <w:szCs w:val="20"/>
                <w:color w:val="auto"/>
              </w:rPr>
            </w:pPr>
            <w:r>
              <w:rPr>
                <w:rFonts w:ascii="Arial" w:cs="Arial" w:eastAsia="Arial" w:hAnsi="Arial"/>
                <w:sz w:val="18"/>
                <w:szCs w:val="18"/>
                <w:color w:val="auto"/>
              </w:rPr>
              <w:t>Total lease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23,302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include gross payments related to drilling rig leases of $6.3 million and $19.8 million for the three and nine months ended September 30, 2019, respectively, that were capitalized and recorded in “Oil and natural gas properties, full-cost method” in the interim unaudited condensed consolidated balance sheet at September 30, 2019.</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costs are related to leases that are not recorded as right of use assets or lease liabilities in the interim unaudited condensed consolidated balance sheet as they are short-term leases.</w:t>
      </w:r>
    </w:p>
    <w:p>
      <w:pPr>
        <w:spacing w:after="0" w:line="120" w:lineRule="exact"/>
        <w:rPr>
          <w:rFonts w:ascii="Arial" w:cs="Arial" w:eastAsia="Arial" w:hAnsi="Arial"/>
          <w:sz w:val="13"/>
          <w:szCs w:val="13"/>
          <w:color w:val="auto"/>
        </w:rPr>
      </w:pPr>
    </w:p>
    <w:p>
      <w:pPr>
        <w:jc w:val="both"/>
        <w:ind w:left="340" w:right="300" w:hanging="332"/>
        <w:spacing w:after="0" w:line="25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Does not include gross payments related to short-term drilling rig leases and other equipment rentals of $24.7 million and $61.8 million for the three and nine months ended September 30, 2019, respectively, that were capitalized and recorded in “Oil and natural gas properties, full-cost method” in the interim unaudited condensed consolidated balance sheet at September 30, 2019.</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 — Continued</w:t>
      </w:r>
    </w:p>
    <w:p>
      <w:pPr>
        <w:spacing w:after="0" w:line="200" w:lineRule="exact"/>
        <w:rPr>
          <w:sz w:val="20"/>
          <w:szCs w:val="20"/>
          <w:color w:val="auto"/>
        </w:rPr>
      </w:pPr>
    </w:p>
    <w:p>
      <w:pPr>
        <w:spacing w:after="0" w:line="3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supplemental interim unaudited condensed consolidated balance sheet information related to leases as of September 30, 2019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 2019</w:t>
            </w:r>
          </w:p>
        </w:tc>
      </w:tr>
      <w:tr>
        <w:trPr>
          <w:trHeight w:val="27"/>
        </w:trPr>
        <w:tc>
          <w:tcPr>
            <w:tcW w:w="9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30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96,258</w:t>
            </w:r>
          </w:p>
        </w:tc>
      </w:tr>
      <w:tr>
        <w:trPr>
          <w:trHeight w:val="23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(51,327)</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(50,996)</w:t>
            </w:r>
          </w:p>
        </w:tc>
      </w:tr>
      <w:tr>
        <w:trPr>
          <w:trHeight w:val="27"/>
        </w:trPr>
        <w:tc>
          <w:tcPr>
            <w:tcW w:w="9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(102,323)</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7"/>
        </w:trPr>
        <w:tc>
          <w:tcPr>
            <w:tcW w:w="9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Other property and equipment, at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2,677</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97"/>
        </w:trPr>
        <w:tc>
          <w:tcPr>
            <w:tcW w:w="93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1,582</w:t>
            </w:r>
          </w:p>
        </w:tc>
      </w:tr>
      <w:tr>
        <w:trPr>
          <w:trHeight w:val="23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9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financing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supplemental interim unaudited condensed consolidated cash flow information related to lease payments for the nine months ended September 30, 2019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Nine Months Ended</w:t>
            </w:r>
          </w:p>
        </w:tc>
      </w:tr>
      <w:tr>
        <w:trPr>
          <w:trHeight w:val="234"/>
        </w:trPr>
        <w:tc>
          <w:tcPr>
            <w:tcW w:w="9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September 30, 2019</w:t>
            </w:r>
          </w:p>
        </w:tc>
      </w:tr>
      <w:tr>
        <w:trPr>
          <w:trHeight w:val="27"/>
        </w:trPr>
        <w:tc>
          <w:tcPr>
            <w:tcW w:w="9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related to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Operating cash payments for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10,504</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cash payments for 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19,763</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Financing cash payments for financing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Right of use assets obtained in exchange for lease obligations entered into during the period</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57,637</w:t>
            </w:r>
          </w:p>
        </w:tc>
      </w:tr>
      <w:tr>
        <w:trPr>
          <w:trHeight w:val="243"/>
        </w:trPr>
        <w:tc>
          <w:tcPr>
            <w:tcW w:w="936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597</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maturities of lease liabilities at September 30, 2019 (in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Weighted-Average Remaining Lease Term</w:t>
            </w:r>
          </w:p>
        </w:tc>
        <w:tc>
          <w:tcPr>
            <w:tcW w:w="4900" w:type="dxa"/>
            <w:vAlign w:val="bottom"/>
          </w:tcPr>
          <w:p>
            <w:pPr>
              <w:spacing w:after="0"/>
              <w:rPr>
                <w:sz w:val="20"/>
                <w:szCs w:val="20"/>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446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6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69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702"/>
        </w:trPr>
        <w:tc>
          <w:tcPr>
            <w:tcW w:w="4460" w:type="dxa"/>
            <w:vAlign w:val="bottom"/>
          </w:tcPr>
          <w:p>
            <w:pPr>
              <w:spacing w:after="0"/>
              <w:rPr>
                <w:sz w:val="24"/>
                <w:szCs w:val="24"/>
                <w:color w:val="auto"/>
              </w:rPr>
            </w:pPr>
          </w:p>
        </w:tc>
        <w:tc>
          <w:tcPr>
            <w:tcW w:w="4900" w:type="dxa"/>
            <w:vAlign w:val="bottom"/>
          </w:tcPr>
          <w:p>
            <w:pPr>
              <w:jc w:val="right"/>
              <w:ind w:right="3470"/>
              <w:spacing w:after="0"/>
              <w:rPr>
                <w:sz w:val="20"/>
                <w:szCs w:val="20"/>
                <w:color w:val="auto"/>
              </w:rPr>
            </w:pPr>
            <w:r>
              <w:rPr>
                <w:rFonts w:ascii="Arial" w:cs="Arial" w:eastAsia="Arial" w:hAnsi="Arial"/>
                <w:sz w:val="18"/>
                <w:szCs w:val="18"/>
                <w:color w:val="auto"/>
              </w:rPr>
              <w:t>14</w:t>
            </w:r>
          </w:p>
        </w:tc>
        <w:tc>
          <w:tcPr>
            <w:tcW w:w="2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 — Continued</w:t>
      </w:r>
    </w:p>
    <w:p>
      <w:pPr>
        <w:spacing w:after="0" w:line="364"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following table presents a schedule of future minimum lease payments required under all lease agreements as of September 30, 2019 and December 31, 2018, respectively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Financing Leases</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current obligations</w:t>
            </w: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(51,327)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7"/>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60" w:type="dxa"/>
            <w:vAlign w:val="bottom"/>
            <w:gridSpan w:val="4"/>
          </w:tcPr>
          <w:p>
            <w:pPr>
              <w:jc w:val="right"/>
              <w:ind w:right="13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Leases</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Financing Leases</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2020</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obligations</w:t>
            </w:r>
          </w:p>
        </w:tc>
        <w:tc>
          <w:tcPr>
            <w:tcW w:w="3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current obligations</w:t>
            </w: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lease obligations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111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ASSET RETIREMENT OBLIGATIONS</w:t>
      </w:r>
    </w:p>
    <w:p>
      <w:pPr>
        <w:spacing w:after="0" w:line="12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changes in the Company’s asset retirement obligations for the nine months ended September 30, 2019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31,086</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Liabilities incurred during period</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2,194</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Revisions in estimated cash flows</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7"/>
        </w:trPr>
        <w:tc>
          <w:tcPr>
            <w:tcW w:w="10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43"/>
        </w:trPr>
        <w:tc>
          <w:tcPr>
            <w:tcW w:w="1040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1,354</w:t>
            </w:r>
          </w:p>
        </w:tc>
      </w:tr>
      <w:tr>
        <w:trPr>
          <w:trHeight w:val="27"/>
        </w:trPr>
        <w:tc>
          <w:tcPr>
            <w:tcW w:w="10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34,126</w:t>
            </w:r>
          </w:p>
        </w:tc>
      </w:tr>
      <w:tr>
        <w:trPr>
          <w:trHeight w:val="270"/>
        </w:trPr>
        <w:tc>
          <w:tcPr>
            <w:tcW w:w="10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current asset retirement obligations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69"/>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 retirement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33,507</w:t>
            </w:r>
          </w:p>
        </w:tc>
      </w:tr>
      <w:tr>
        <w:trPr>
          <w:trHeight w:val="20"/>
        </w:trPr>
        <w:tc>
          <w:tcPr>
            <w:tcW w:w="10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_______________</w:t>
      </w:r>
    </w:p>
    <w:p>
      <w:pPr>
        <w:spacing w:after="0" w:line="12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accrued liabilities in the Company’s interim unaudited condensed consolidated balance sheet at September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At September 30, 2019, the Company had $1.05 billion of outstanding senior notes due 2026 (the “Notes”), $215.0 million in borrowings outstanding under its revolving credit facility (the “Credit Agreement”) and approximately $13.6 million in outstanding letters of credit issued pursuant to the Credit Agreement.</w:t>
      </w:r>
    </w:p>
    <w:p>
      <w:pPr>
        <w:spacing w:after="0" w:line="15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At October 29, 2019, the Company had $1.05 billion of outstanding Notes, $255.0 million in borrowings outstanding under its Credit Agreement and approximately $35.0 million in outstanding letters of credit issued pursuant to the Credit Agreement.</w:t>
      </w:r>
    </w:p>
    <w:p>
      <w:pPr>
        <w:spacing w:after="0" w:line="143"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At September 30, 2019 and October 29, 2019, San Mateo I had $260.0 million in borrowings outstanding under its revolving credit facility (the “San Mateo Credit Facility”) and approximately $16.2 million in outstanding letters of credit issued pursuant to the San Mateo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Agreements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MRC Energy Company</w:t>
      </w:r>
    </w:p>
    <w:p>
      <w:pPr>
        <w:spacing w:after="0" w:line="117"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October 2019, the lenders completed their review of the Company’s proved oil and natural gas reserves at June 30, 2019, and, as a result, the borrowing base was affirmed at $900.0 million. The Company elected to keep the borrowing commitment at $500.0 million, and the maximum facility amount remained $1.5 billion. This October 2019 redetermination constituted the regularly scheduled November 1 redetermination. Borrowings under the Credit Agreement are limited to the lowest of the borrowing base, the maximum facility amount and the elected commitment. The Credit Agreement matures October 31, 2023.</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believes that it was in compliance with the terms of the Credit Agreement at September 30, 2019.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San Mateo Midstream, LLC</w:t>
      </w:r>
    </w:p>
    <w:p>
      <w:pPr>
        <w:spacing w:after="0" w:line="117" w:lineRule="exact"/>
        <w:rPr>
          <w:sz w:val="20"/>
          <w:szCs w:val="20"/>
          <w:color w:val="auto"/>
        </w:rPr>
      </w:pPr>
    </w:p>
    <w:p>
      <w:pPr>
        <w:ind w:right="220" w:firstLine="392"/>
        <w:spacing w:after="0" w:line="273" w:lineRule="auto"/>
        <w:rPr>
          <w:sz w:val="20"/>
          <w:szCs w:val="20"/>
          <w:color w:val="auto"/>
        </w:rPr>
      </w:pPr>
      <w:r>
        <w:rPr>
          <w:rFonts w:ascii="Arial" w:cs="Arial" w:eastAsia="Arial" w:hAnsi="Arial"/>
          <w:sz w:val="17"/>
          <w:szCs w:val="17"/>
          <w:color w:val="auto"/>
        </w:rPr>
        <w:t>On December 19, 2018, San Mateo I entered into the $250.0 million San Mateo Credit Facility, which matures December 19, 2023. The San Mateo Credit Facility includes an accordion feature, which provides for potential increases to up to $400.0 million. The San Mateo Credit Facility is non-recourse with respect to Matador and its wholly-owned subsidiaries, as well as San Mateo II and its subsidiaries, but is guaranteed by San Mateo I’s subsidiaries and secured by substantially all of San Mateo I’s assets, including real property. In June 2019, pursuant to the accordion feature, the lender commitments under the San Mateo Credit Facility were increased to $325.0 million. In October 2019, pursuant to the accordion feature, the lender commitments under the San Mateo Credit Facility were further increased to $375.0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 — Continued</w:t>
      </w:r>
    </w:p>
    <w:p>
      <w:pPr>
        <w:spacing w:after="0" w:line="364" w:lineRule="exact"/>
        <w:rPr>
          <w:sz w:val="20"/>
          <w:szCs w:val="20"/>
          <w:color w:val="auto"/>
        </w:rPr>
      </w:pPr>
    </w:p>
    <w:p>
      <w:pPr>
        <w:ind w:right="1500" w:firstLine="432"/>
        <w:spacing w:after="0" w:line="375" w:lineRule="auto"/>
        <w:rPr>
          <w:sz w:val="20"/>
          <w:szCs w:val="20"/>
          <w:color w:val="auto"/>
        </w:rPr>
      </w:pPr>
      <w:r>
        <w:rPr>
          <w:rFonts w:ascii="Arial" w:cs="Arial" w:eastAsia="Arial" w:hAnsi="Arial"/>
          <w:sz w:val="18"/>
          <w:szCs w:val="18"/>
          <w:color w:val="auto"/>
        </w:rPr>
        <w:t xml:space="preserve">The Company believes that San Mateo I was in compliance with the terms of the San Mateo Credit Facility at September 30, 2019. </w:t>
      </w:r>
      <w:r>
        <w:rPr>
          <w:rFonts w:ascii="Arial" w:cs="Arial" w:eastAsia="Arial" w:hAnsi="Arial"/>
          <w:sz w:val="18"/>
          <w:szCs w:val="18"/>
          <w:i w:val="1"/>
          <w:iCs w:val="1"/>
          <w:u w:val="single" w:color="auto"/>
          <w:color w:val="auto"/>
        </w:rPr>
        <w:t>Senior Unsecured Notes</w:t>
      </w:r>
    </w:p>
    <w:p>
      <w:pPr>
        <w:spacing w:after="0" w:line="1"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In August and October 2018, the Company issued $750.0 million and $300.0 million, respectively, of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The Company’s effective tax rate for the three and nine months ended September 30, 2019 was 23% and 28%, respectively. The Company’s total income tax provision for the three and nine months ended September 30, 2019 differed from amounts computed by applying the U.S. federal statutory tax rates to pre-tax income due primarily to the impact of permanent differences between book and tax income at September 30, 2019.</w:t>
      </w:r>
    </w:p>
    <w:p>
      <w:pPr>
        <w:spacing w:after="0" w:line="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Due to a variety of factors, including the Company’s significant net income in 2017 and 2018, the Company’s federal valuation allowance and a portion of the Company’s state valuation allowance were reversed at December 31, 2018 as the deferred tax assets were determined to be more likely than not to be utilized. As a portion of the Company’s state net operating loss carryforwards are not expected to be utilized before expiration, a valuation allowance will continue to be recognized until the state deferred tax assets are more likely than not to be utilized.</w:t>
      </w:r>
    </w:p>
    <w:p>
      <w:pPr>
        <w:spacing w:after="0" w:line="79"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The Company’s deferred tax assets exceeded its deferred tax liabilities at September 30, 2018 due to the deferred tax assets generated by full-cost ceiling impairment charges in prior periods. The Company established a valuation allowance against most of the deferred tax assets beginning in the third quarter of 2015 and retained a full valuation allowance at September 30, 2018 due to uncertainties regarding the future realization of its deferred tax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11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February 2019, the Company granted awards to certain of its employees of 428,006 service-based restricted stock units to be settled in cash, which are liability instruments, and 428,006 performance-based stock units, which are equity instruments. The performance-based stock units vest in an amount between zero and 200% of the target units granted based on the Company’s relative total shareholder return over the three-year period ending December 31, 2021, as compared to a designated peer group. The service-based restricted stock units vest ratably over three years, and the performance-based stock units are eligible to vest after completion of the three-year performance period. The fair value of these awards was approximately $16.8 million on the grant date. In April 2019, the Company granted awards to certain of its employees of 259,038 service-based restricted stock units to be settled in cash, which are liability instruments, and 205,361 shares of service-based restricted stock, which are equity instruments. Both the liability instruments and the equity instruments vest ratably over three years. The fair value of these awards was approximately $9.2 million on the grant date. In August 2019, the Company granted awards to certain of its employees of 540,250 stock options that vest ratably over three years. The fair value of these awards was approximately $3.0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San Mateo II</w:t>
      </w:r>
    </w:p>
    <w:p>
      <w:pPr>
        <w:spacing w:after="0" w:line="131" w:lineRule="exact"/>
        <w:rPr>
          <w:sz w:val="20"/>
          <w:szCs w:val="20"/>
          <w:color w:val="auto"/>
        </w:rPr>
      </w:pPr>
    </w:p>
    <w:p>
      <w:pPr>
        <w:ind w:right="240" w:firstLine="405"/>
        <w:spacing w:after="0" w:line="285" w:lineRule="auto"/>
        <w:rPr>
          <w:sz w:val="20"/>
          <w:szCs w:val="20"/>
          <w:color w:val="auto"/>
        </w:rPr>
      </w:pPr>
      <w:r>
        <w:rPr>
          <w:rFonts w:ascii="Arial" w:cs="Arial" w:eastAsia="Arial" w:hAnsi="Arial"/>
          <w:sz w:val="17"/>
          <w:szCs w:val="17"/>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has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The Company also has the ability to earn up to $150 million in deferred performance incentives over the next five years related to the formation of San Mateo II</w:t>
      </w:r>
      <w:r>
        <w:rPr>
          <w:rFonts w:ascii="Arial" w:cs="Arial" w:eastAsia="Arial" w:hAnsi="Arial"/>
          <w:sz w:val="18"/>
          <w:szCs w:val="18"/>
          <w:color w:val="auto"/>
        </w:rPr>
        <w:t>,</w:t>
      </w:r>
      <w:r>
        <w:rPr>
          <w:rFonts w:ascii="Arial" w:cs="Arial" w:eastAsia="Arial" w:hAnsi="Arial"/>
          <w:sz w:val="17"/>
          <w:szCs w:val="17"/>
          <w:color w:val="auto"/>
        </w:rPr>
        <w:t xml:space="preserve"> plus additional performance incentives for securing volumes from third-party customers. During the first quarter of 2019, the Company contributed $1.0 million of property to San Mateo II. During the three and nine months ended September 30, 2019, the Company contributed $4.5 million and $6.0 million of cash and Five Point contributed $22.5 million and $34.0 million of cash to San Mateo II, respectively.</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Incentives</w:t>
      </w:r>
    </w:p>
    <w:p>
      <w:pPr>
        <w:spacing w:after="0" w:line="11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connection with the formation of San Mateo I in 2017, the Company has the ability to earn a total of $73.5 million in performance incentives to be paid by Five Point over a five-year period. The Company earned, and Five Point paid to the Company, $14.7 million in performance incentives during each of the nine months ended September 30, 2019 and 2018, and the Company may earn up to an additional $44.1 million in performance incentives over the next three years. These performance incentives are recorded as an increase to additional paid-in capital when received. These performance incentives for the nine months ended September 30, 2019 and 2018 are also denoted as “Contributions related to formation of San Mateo I” under “Financing activities” in the Company’s interim unaudited condensed consolidated statements of cash flows and changes in shareholders’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At September 30, 2019, the Company had various costless collar, three-way costless collar and swap contracts open and in place to mitigate its exposure to oil and natural gas price volatility, each with a specific term (calculation period), notional quantity (volume hedged) and price floor and ceiling and fixed price for the swaps. Each contract is set to expire at varying times during 2019 and 2020.</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open costless collar contracts for oil and natural gas at September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 of</w:t>
            </w:r>
          </w:p>
        </w:tc>
      </w:t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Notional Quantity (Bbl or</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Floor ($/Bbl or</w:t>
            </w: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Ceiling ($/Bbl or</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Asset (Liability)</w:t>
            </w:r>
          </w:p>
        </w:tc>
      </w:t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Calculation Period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(thousands)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10/01/2019 - 12/31/2019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Oil</w:t>
            </w: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01/01/2020 - 12/31/2020</w:t>
            </w:r>
          </w:p>
        </w:tc>
        <w:tc>
          <w:tcPr>
            <w:tcW w:w="1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4,860,000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15,657</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10/01/2019 - 12/31/2019</w:t>
            </w:r>
          </w:p>
        </w:tc>
        <w:tc>
          <w:tcPr>
            <w:tcW w:w="1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37"/>
        </w:trPr>
        <w:tc>
          <w:tcPr>
            <w:tcW w:w="4820" w:type="dxa"/>
            <w:vAlign w:val="bottom"/>
            <w:gridSpan w:val="4"/>
          </w:tcPr>
          <w:p>
            <w:pPr>
              <w:ind w:left="380"/>
              <w:spacing w:after="0"/>
              <w:rPr>
                <w:sz w:val="20"/>
                <w:szCs w:val="20"/>
                <w:color w:val="auto"/>
              </w:rPr>
            </w:pPr>
            <w:r>
              <w:rPr>
                <w:rFonts w:ascii="Arial" w:cs="Arial" w:eastAsia="Arial" w:hAnsi="Arial"/>
                <w:sz w:val="18"/>
                <w:szCs w:val="18"/>
                <w:color w:val="auto"/>
              </w:rPr>
              <w:t>Total open costless collar contracts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18,990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is a summary of the Company’s open three-way costless collar contracts for oil and natural gas at September 30, 2019. Open three-way costless collars consist of a long put (the floor), a short call (the ceiling) and a long call that limits losses on the upside.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Notional</w:t>
            </w:r>
          </w:p>
        </w:tc>
        <w:tc>
          <w:tcPr>
            <w:tcW w:w="120" w:type="dxa"/>
            <w:vAlign w:val="bottom"/>
          </w:tcPr>
          <w:p>
            <w:pPr>
              <w:spacing w:after="0"/>
              <w:rPr>
                <w:sz w:val="18"/>
                <w:szCs w:val="18"/>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Price, Short Call</w:t>
            </w: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Price, Long Call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Quantity (Bbl or</w:t>
            </w:r>
          </w:p>
        </w:tc>
        <w:tc>
          <w:tcPr>
            <w:tcW w:w="14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4"/>
              </w:rPr>
              <w:t>Floor ($/Bbl or</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5"/>
              </w:rPr>
              <w:t>($/Bbl or</w:t>
            </w:r>
          </w:p>
        </w:tc>
        <w:tc>
          <w:tcPr>
            <w:tcW w:w="14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($/Bbl or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Asset (Liability)</w:t>
            </w:r>
          </w:p>
        </w:tc>
        <w:tc>
          <w:tcPr>
            <w:tcW w:w="0" w:type="dxa"/>
            <w:vAlign w:val="bottom"/>
          </w:tcPr>
          <w:p>
            <w:pPr>
              <w:spacing w:after="0"/>
              <w:rPr>
                <w:sz w:val="1"/>
                <w:szCs w:val="1"/>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Calculation Period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$/MMBtu)</w:t>
            </w: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24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10/01/2019 - 12/31/2019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Natural Gas</w:t>
            </w:r>
          </w:p>
        </w:tc>
        <w:tc>
          <w:tcPr>
            <w:tcW w:w="2400" w:type="dxa"/>
            <w:vAlign w:val="bottom"/>
            <w:gridSpan w:val="3"/>
          </w:tcPr>
          <w:p>
            <w:pPr>
              <w:jc w:val="center"/>
              <w:spacing w:after="0"/>
              <w:rPr>
                <w:sz w:val="20"/>
                <w:szCs w:val="20"/>
                <w:color w:val="auto"/>
              </w:rPr>
            </w:pPr>
            <w:r>
              <w:rPr>
                <w:rFonts w:ascii="Arial" w:cs="Arial" w:eastAsia="Arial" w:hAnsi="Arial"/>
                <w:sz w:val="18"/>
                <w:szCs w:val="18"/>
                <w:color w:val="auto"/>
                <w:w w:val="90"/>
              </w:rPr>
              <w:t>10/01/2019 - 12/31/2019</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1,200,000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w w:val="96"/>
              </w:rPr>
              <w:t>Total open three-way costless collar contracts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18"/>
            <w:vMerge w:val="restart"/>
          </w:tcPr>
          <w:p>
            <w:pPr>
              <w:ind w:left="420"/>
              <w:spacing w:after="0"/>
              <w:rPr>
                <w:sz w:val="20"/>
                <w:szCs w:val="20"/>
                <w:color w:val="auto"/>
              </w:rPr>
            </w:pPr>
            <w:r>
              <w:rPr>
                <w:rFonts w:ascii="Arial" w:cs="Arial" w:eastAsia="Arial" w:hAnsi="Arial"/>
                <w:sz w:val="18"/>
                <w:szCs w:val="18"/>
                <w:color w:val="auto"/>
                <w:w w:val="97"/>
              </w:rPr>
              <w:t>The following is a summary of the Company’s open basis swap contracts for oil at September 30, 2019.</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480" w:type="dxa"/>
            <w:vAlign w:val="bottom"/>
            <w:gridSpan w:val="18"/>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Asset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Fixed Price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Commodity</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Calculation Period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7"/>
          </w:tcPr>
          <w:p>
            <w:pPr>
              <w:ind w:left="40"/>
              <w:spacing w:after="0"/>
              <w:rPr>
                <w:sz w:val="20"/>
                <w:szCs w:val="20"/>
                <w:color w:val="auto"/>
              </w:rPr>
            </w:pPr>
            <w:r>
              <w:rPr>
                <w:rFonts w:ascii="Arial" w:cs="Arial" w:eastAsia="Arial" w:hAnsi="Arial"/>
                <w:sz w:val="18"/>
                <w:szCs w:val="18"/>
                <w:b w:val="1"/>
                <w:bCs w:val="1"/>
                <w:color w:val="auto"/>
              </w:rPr>
              <w:t>Notional Quantity (Bbl)</w:t>
            </w:r>
          </w:p>
        </w:tc>
        <w:tc>
          <w:tcPr>
            <w:tcW w:w="140" w:type="dxa"/>
            <w:vAlign w:val="bottom"/>
          </w:tcPr>
          <w:p>
            <w:pPr>
              <w:spacing w:after="0"/>
              <w:rPr>
                <w:sz w:val="20"/>
                <w:szCs w:val="20"/>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9"/>
              </w:rPr>
              <w:t>($/Bbl)</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10/01/2019 - 12/31/2019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1,308,000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Oil Basis Swaps</w:t>
            </w:r>
          </w:p>
        </w:tc>
        <w:tc>
          <w:tcPr>
            <w:tcW w:w="3900" w:type="dxa"/>
            <w:vAlign w:val="bottom"/>
            <w:gridSpan w:val="5"/>
          </w:tcPr>
          <w:p>
            <w:pPr>
              <w:jc w:val="right"/>
              <w:spacing w:after="0"/>
              <w:rPr>
                <w:sz w:val="20"/>
                <w:szCs w:val="20"/>
                <w:color w:val="auto"/>
              </w:rPr>
            </w:pPr>
            <w:r>
              <w:rPr>
                <w:rFonts w:ascii="Arial" w:cs="Arial" w:eastAsia="Arial" w:hAnsi="Arial"/>
                <w:sz w:val="18"/>
                <w:szCs w:val="18"/>
                <w:color w:val="auto"/>
              </w:rPr>
              <w:t>01/01/2020 - 12/31/2020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4,494,000</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138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39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01/01/2021 - 12/31/2021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2,880,000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3920" w:type="dxa"/>
            <w:vAlign w:val="bottom"/>
            <w:gridSpan w:val="6"/>
          </w:tcPr>
          <w:p>
            <w:pPr>
              <w:ind w:left="360"/>
              <w:spacing w:after="0"/>
              <w:rPr>
                <w:sz w:val="20"/>
                <w:szCs w:val="20"/>
                <w:color w:val="auto"/>
              </w:rPr>
            </w:pPr>
            <w:r>
              <w:rPr>
                <w:rFonts w:ascii="Arial" w:cs="Arial" w:eastAsia="Arial" w:hAnsi="Arial"/>
                <w:sz w:val="18"/>
                <w:szCs w:val="18"/>
                <w:color w:val="auto"/>
              </w:rPr>
              <w:t>Total open swap contracts</w:t>
            </w: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 — Continued</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2019, the Company had an aggregate asset value for open derivative financial instruments of $20.1 million.</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7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following table presents the gross asset and liability fair values of the Company’s commodity price derivative financial instruments and the location of these balances in the interim unaudited condensed consolidated balance sheets as of September 30, 2019 and December 31, 2018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Gross amounts</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Net amounts</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netted in the</w:t>
            </w: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presented in the</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condensed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condensed</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amounts</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consolidated</w:t>
            </w:r>
          </w:p>
        </w:tc>
        <w:tc>
          <w:tcPr>
            <w:tcW w:w="18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consolidated</w:t>
            </w:r>
          </w:p>
        </w:tc>
      </w:tr>
      <w:tr>
        <w:trPr>
          <w:trHeight w:val="234"/>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28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recognized</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balance sheets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balance sheets</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19,405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15,481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20,131</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49,929</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Long-term liabilities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49,846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20" w:firstLine="405"/>
        <w:spacing w:after="0" w:line="264"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Type of Instrument</w:t>
            </w:r>
          </w:p>
        </w:tc>
        <w:tc>
          <w:tcPr>
            <w:tcW w:w="120" w:type="dxa"/>
            <w:vAlign w:val="bottom"/>
            <w:tcBorders>
              <w:bottom w:val="single" w:sz="8" w:color="CCEEFF"/>
            </w:tcBorders>
          </w:tcPr>
          <w:p>
            <w:pPr>
              <w:spacing w:after="0"/>
              <w:rPr>
                <w:sz w:val="22"/>
                <w:szCs w:val="22"/>
                <w:color w:val="auto"/>
              </w:rPr>
            </w:pPr>
          </w:p>
        </w:tc>
        <w:tc>
          <w:tcPr>
            <w:tcW w:w="4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Location in Condensed Consolidated Statement of Operations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Oil</w:t>
            </w:r>
          </w:p>
        </w:tc>
        <w:tc>
          <w:tcPr>
            <w:tcW w:w="5040" w:type="dxa"/>
            <w:vAlign w:val="bottom"/>
            <w:gridSpan w:val="2"/>
          </w:tcPr>
          <w:p>
            <w:pPr>
              <w:ind w:left="40"/>
              <w:spacing w:after="0"/>
              <w:rPr>
                <w:sz w:val="20"/>
                <w:szCs w:val="20"/>
                <w:color w:val="auto"/>
              </w:rPr>
            </w:pPr>
            <w:r>
              <w:rPr>
                <w:rFonts w:ascii="Arial" w:cs="Arial" w:eastAsia="Arial" w:hAnsi="Arial"/>
                <w:sz w:val="18"/>
                <w:szCs w:val="18"/>
                <w:color w:val="auto"/>
              </w:rPr>
              <w:t>Revenues: Realized gain (loss) on derivatives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Realized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7460" w:type="dxa"/>
            <w:vAlign w:val="bottom"/>
            <w:gridSpan w:val="4"/>
          </w:tcPr>
          <w:p>
            <w:pPr>
              <w:ind w:left="600"/>
              <w:spacing w:after="0"/>
              <w:rPr>
                <w:sz w:val="20"/>
                <w:szCs w:val="20"/>
                <w:color w:val="auto"/>
              </w:rPr>
            </w:pPr>
            <w:r>
              <w:rPr>
                <w:rFonts w:ascii="Arial" w:cs="Arial" w:eastAsia="Arial" w:hAnsi="Arial"/>
                <w:sz w:val="18"/>
                <w:szCs w:val="18"/>
                <w:color w:val="auto"/>
              </w:rPr>
              <w:t>Realized gain (loss) on derivatives</w:t>
            </w: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w:t>
            </w:r>
          </w:p>
        </w:tc>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Unrealized gain (loss) on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Natural Gas</w:t>
            </w:r>
          </w:p>
        </w:tc>
        <w:tc>
          <w:tcPr>
            <w:tcW w:w="5040" w:type="dxa"/>
            <w:vAlign w:val="bottom"/>
            <w:gridSpan w:val="2"/>
          </w:tcPr>
          <w:p>
            <w:pPr>
              <w:ind w:left="40"/>
              <w:spacing w:after="0"/>
              <w:rPr>
                <w:sz w:val="20"/>
                <w:szCs w:val="20"/>
                <w:color w:val="auto"/>
              </w:rPr>
            </w:pPr>
            <w:r>
              <w:rPr>
                <w:rFonts w:ascii="Arial" w:cs="Arial" w:eastAsia="Arial" w:hAnsi="Arial"/>
                <w:sz w:val="18"/>
                <w:szCs w:val="18"/>
                <w:color w:val="auto"/>
              </w:rPr>
              <w:t>Revenues: Unrealized loss on derivatives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60" w:type="dxa"/>
            <w:vAlign w:val="bottom"/>
            <w:tcBorders>
              <w:bottom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rPr>
              <w:t>Unrealized gain (loss) on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(21,337)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(29,715)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13,193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(10,814)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vMerge w:val="restart"/>
          </w:tcPr>
          <w:p>
            <w:pPr>
              <w:ind w:left="32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36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1 Unadjusted quoted prices for identical, unrestricted assets or liabilities in active markets.</w:t>
      </w:r>
    </w:p>
    <w:p>
      <w:pPr>
        <w:spacing w:after="0" w:line="117" w:lineRule="exact"/>
        <w:rPr>
          <w:sz w:val="20"/>
          <w:szCs w:val="20"/>
          <w:color w:val="auto"/>
        </w:rPr>
      </w:pPr>
    </w:p>
    <w:p>
      <w:pPr>
        <w:ind w:left="660" w:right="40" w:hanging="647"/>
        <w:spacing w:after="0" w:line="255" w:lineRule="auto"/>
        <w:rPr>
          <w:sz w:val="20"/>
          <w:szCs w:val="20"/>
          <w:color w:val="auto"/>
        </w:rPr>
      </w:pPr>
      <w:r>
        <w:rPr>
          <w:rFonts w:ascii="Arial" w:cs="Arial" w:eastAsia="Arial" w:hAnsi="Arial"/>
          <w:sz w:val="18"/>
          <w:szCs w:val="18"/>
          <w:color w:val="auto"/>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 that reflect a company’s own market assumptions.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7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September 30, 2019 and December 31, 2018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8"/>
              </w:rPr>
              <w:t>September 30, 2019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19,863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20,131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Fair Value Measurements at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89"/>
              </w:rPr>
              <w:t>December 31, 2018 using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Oil derivatives and basis swaps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49,562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49,562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Natural gas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37"/>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49,846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49,846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disclosures related to derivative financial instruments are provided in Note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7"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At September 30, 2019 and December 31, 2018, the carrying values reported on the interim unaudited condensed consolidated balance sheets for accounts receivable, prepaid expenses and other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3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At September 30,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7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At September 30, 2019 and December 31, 2018, the fair value of the Notes was $1.06 billion and $0.97 billion, respectively, based on quoted market prices, which represent Level 1 inputs in the fair value hierarchy.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Processing, Transportation and Salt Water Disposal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Firm Commitments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From time to time, the Company enters into agreements with third parties whereby the Company commits to deliver anticipated natural gas and oil production and salt water from certain portions of its acreage for gathering, transportation, processing, fractionation, sales and, in the case of salt water, disposal. The Company paid approximately $7.0 million and $6.7 million for deliveries under these agreements during the three months ended September 30, 2019 and 2018, respectively, and $19.9 million and $15.8 million for deliveries under these agreements during the nine months ended September 30, 2019 and 2018,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2019, the total deficiencies required to be paid by the Company under these agreements would be approximately $416.1 million, in addition to the commitments described below.</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Future Commitments</w:t>
      </w:r>
    </w:p>
    <w:p>
      <w:pPr>
        <w:spacing w:after="0" w:line="117"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In late 2017, the Company entered into a fixed-fee natural gas liquids (“NGL”) sales agreement whereby the Company committed to deliver its NGL production at the tailgate of the Black River cryogenic natural gas processing plant in Eddy County, New Mexico (the “Black River Processing Plant”) to a certain counterparty. The Company is committed to deliver a minimum amount of NGLs to the counterparty upon construction and completion of a pipeline extension and a fractionation facility by the counterparty, which is currently expected to be completed in 2020. The Company has no rights to compel the counterparty to construct this pipeline extension or fractionation facility. If the counterparty does not construct the pipeline extension and fractionation facility, then the Company does not have any minimum volume commitments under the agreement. If the counterparty constructs the pipeline extension and fractionation facility on or prior to February 28, 2021, then the Company will have a commitment to deliver a minimum amount of NGLs for seven years following the completion of the pipeline extension and fractionation facility. If the Company does not meet its NGL volume commitment in any quarter during the seven-year commitment period, it will be required to pay a deficiency fee per gallon of NGL deficiency. Should the pipeline extension and fractionation facility be completed on or prior to February 28, 2021, the minimum contractual obligation during the seven-year period would be approximately $132.3 million.</w:t>
      </w:r>
    </w:p>
    <w:p>
      <w:pPr>
        <w:spacing w:after="0" w:line="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begins when the counterparty’s pipeline is placed in service, which is anticipated to be the third quarter of 2020. Should the pipeline be placed in service, the Company will owe the fees to transport the committed volume whether or not the committed volume is transported through the counterparty’s pipeline, and the minimum contractual obligation would be approximately $106.9 million.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Delaware Basin — San Mateo</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February 2017, the Company dedicated its current and future leasehold interests in the Rustler Breaks and Wolf asset areas pursuant to 15-year, fixed-fee natural gas, oil and salt water gathering agreements and salt water disposal agreements with subsidiaries of San Mateo I. In addition, the Company dedicated its current and future leasehold interests in the Rustler Breaks asset area pursuant to a 15-year, fixed-fee natural gas processing agreement (collectively with the gathering and salt water disposal agreements, the “Operational Agreements”). San Mateo I provides the Company with firm service under each of the Operational Agreements in exchange for certain minimum volume commitments. The minimum contractual obligation under the Operational Agreements at September 30, 2019 was approximately $161.8 million.</w:t>
      </w:r>
    </w:p>
    <w:p>
      <w:pPr>
        <w:spacing w:after="0" w:line="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In connection with the February 2019 formation of San Mateo II, the Company dedicated to San Mateo II acreage in the Greater Stebbins Area and the Stateline asset area pursuant to 15-year, fixed-fee agreements for oil, natural gas and salt water gathering, natural gas processing and salt water disposal (collectively, the “San Mateo II Operational Agreements”). San Mateo II will provide the Company with firm service under each of the San Mateo II Operational Agreements in exchange for certain minimum volume commitments. The minimum contractual obligation under the San Mateo II Operational Agreements at inception was approximately $363.8 million and begins in 2020.</w:t>
      </w:r>
    </w:p>
    <w:p>
      <w:pPr>
        <w:spacing w:after="0" w:line="80"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In June 2019, a subsidiary of San Mateo II entered into an agreement with third parties for the engineering, procurement, construction and installation of an expansion of the Black River Processing Plant, including required compression. The expansion is expected to be placed in service in 2020. San Mateo II’s total commitments under this agreement are $80.3 million. San Mateo II paid approximately $9.9 million under this agreement during the three months ended September 30,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 — Continued</w:t>
      </w:r>
    </w:p>
    <w:p>
      <w:pPr>
        <w:spacing w:after="0" w:line="3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2019. As of September 30, 2019, the remaining obligations under this agreement were $62.1 million, which are expected to be paid within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Proceedings</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Accrued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current accrued liabilities at September 30, 2019 and December 31,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evaluated and unproved and unevaluated property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midstream property costs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16,808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lease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interest on debt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asset retirement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partners’ share of joint interest charges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17,037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14,189</w:t>
            </w:r>
          </w:p>
        </w:tc>
      </w:tr>
      <w:tr>
        <w:trPr>
          <w:trHeight w:val="237"/>
        </w:trPr>
        <w:tc>
          <w:tcPr>
            <w:tcW w:w="8340" w:type="dxa"/>
            <w:vAlign w:val="bottom"/>
          </w:tcPr>
          <w:p>
            <w:pPr>
              <w:ind w:left="680"/>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222,565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170,855</w:t>
            </w: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Cash Flow Information</w:t>
      </w:r>
    </w:p>
    <w:p>
      <w:pPr>
        <w:spacing w:after="0" w:line="117"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following table provides supplemental disclosures of cash flow information for the nine months ended September 30, 2019 and 2018 (in thousands).</w:t>
      </w:r>
    </w:p>
    <w:p>
      <w:pPr>
        <w:spacing w:after="0" w:line="112"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5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expense, net of amounts capitalized</w:t>
            </w:r>
          </w:p>
        </w:tc>
        <w:tc>
          <w:tcPr>
            <w:tcW w:w="3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29,773</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Increase in asset retirement obligations related to mineral properties</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1,705</w:t>
            </w: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Increase in asset retirement obligations related to midstream properties</w:t>
            </w:r>
          </w:p>
        </w:tc>
        <w:tc>
          <w:tcPr>
            <w:tcW w:w="3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w w:val="92"/>
              </w:rPr>
              <w:t>Increase in liabilities for oil and natural gas properties capital expenditures</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26,862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5,157</w:t>
            </w: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liabilities for midstream properties capital expenditures</w:t>
            </w:r>
          </w:p>
        </w:tc>
        <w:tc>
          <w:tcPr>
            <w:tcW w:w="3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Increase in liabilities for accrued cost to issue senior notes</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5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of inventory from oil and natural gas properties</w:t>
            </w:r>
          </w:p>
        </w:tc>
        <w:tc>
          <w:tcPr>
            <w:tcW w:w="3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Transfer of inventory to midstream properties</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486"/>
        </w:trPr>
        <w:tc>
          <w:tcPr>
            <w:tcW w:w="5520" w:type="dxa"/>
            <w:vAlign w:val="bottom"/>
          </w:tcPr>
          <w:p>
            <w:pPr>
              <w:spacing w:after="0"/>
              <w:rPr>
                <w:sz w:val="24"/>
                <w:szCs w:val="24"/>
                <w:color w:val="auto"/>
              </w:rPr>
            </w:pPr>
          </w:p>
        </w:tc>
        <w:tc>
          <w:tcPr>
            <w:tcW w:w="2820" w:type="dxa"/>
            <w:vAlign w:val="bottom"/>
          </w:tcPr>
          <w:p>
            <w:pPr>
              <w:jc w:val="right"/>
              <w:ind w:right="245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DISCLOSURES — Continued</w:t>
      </w:r>
    </w:p>
    <w:p>
      <w:pPr>
        <w:spacing w:after="0" w:line="200" w:lineRule="exact"/>
        <w:rPr>
          <w:sz w:val="20"/>
          <w:szCs w:val="20"/>
          <w:color w:val="auto"/>
        </w:rPr>
      </w:pPr>
    </w:p>
    <w:p>
      <w:pPr>
        <w:spacing w:after="0" w:line="380" w:lineRule="exact"/>
        <w:rPr>
          <w:sz w:val="20"/>
          <w:szCs w:val="20"/>
          <w:color w:val="auto"/>
        </w:rPr>
      </w:pPr>
    </w:p>
    <w:p>
      <w:pPr>
        <w:ind w:right="320" w:firstLine="432"/>
        <w:spacing w:after="0" w:line="308" w:lineRule="auto"/>
        <w:rPr>
          <w:sz w:val="20"/>
          <w:szCs w:val="20"/>
          <w:color w:val="auto"/>
        </w:rPr>
      </w:pPr>
      <w:r>
        <w:rPr>
          <w:rFonts w:ascii="Arial" w:cs="Arial" w:eastAsia="Arial" w:hAnsi="Arial"/>
          <w:sz w:val="17"/>
          <w:szCs w:val="17"/>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8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7,066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53,008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2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salt water gathering services and salt water disposal services to third parties. Substantially all of the Company’s midstream operations in the Rustler Breaks and Wolf asset areas in the Delaware Basin are conducted through San Mateo.</w:t>
      </w:r>
    </w:p>
    <w:p>
      <w:pPr>
        <w:spacing w:after="0" w:line="5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228,188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229,377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19,864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 - mineral acreage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164,352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30,611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193,300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81,820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3,332,910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566,551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37,178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3,936,639</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201,323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66,438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269,466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$87.7 million and $4.1 million for the exploration and production and midstream segments, respectively. Also includes corporate depletion, depreciation and amortization expenses of $0.7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$9.8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160" w:hanging="332"/>
        <w:spacing w:after="0" w:line="27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$6.5 million attributable to land and seismic acquisition expenditures related to the exploration and production segment and $47.2 million in capital expenditures attributable to non-controlling interest in subsidiaries related to the midstream segment.</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Production</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Midstream</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215,248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216,282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(21,337)</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19,041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139,325</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2,697,685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391,323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65,194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3,154,202</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716,751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764,216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$67.2 million and $2.6 million for the exploration and production and midstream segments, respectively. Also includes corporate depletion, depreciation and amortization expenses of $0.6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$7.3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$554.9 million attributable to land and seismic acquisition expenditures related to the exploration and production segment and $23.1 million in capital expenditures attributable to non-controlling interest in subsidiaries related to the midstream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2019</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629,414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633,706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Sales of purchased natural gas</w:t>
            </w:r>
          </w:p>
        </w:tc>
        <w:tc>
          <w:tcPr>
            <w:tcW w:w="2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bonus - mineral acreage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gain on derivatives</w:t>
            </w:r>
          </w:p>
        </w:tc>
        <w:tc>
          <w:tcPr>
            <w:tcW w:w="2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(29,715)</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447,844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53,349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524,564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164,427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170,431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3,332,910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566,551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37,178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3,936,639</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565,466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137,577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706,954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0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$236.0 million and $11.6 million for the exploration and production and midstream segments, respectively. Also includes corporate depletion, depreciation and amortization expenses of $1.9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$25.6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8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$37.8 million attributable to land and seismic acquisition expenditures related to the exploration and production segment and $85.1 million in capital expenditures attributable to non-controlling interest in subsidiaries related to the midstream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Exploration and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Consolidations and</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Production</w:t>
            </w:r>
          </w:p>
        </w:tc>
        <w:tc>
          <w:tcPr>
            <w:tcW w:w="18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Midstream</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Company</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Oil and natural gas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602,737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607,255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services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loss on derivatives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359,830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55,338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394,517</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232,093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215,208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2,697,685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391,323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65,194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3,154,202</w:t>
            </w: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1,105,541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1,232,881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58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$184.4 million and $6.5 million for the exploration and production and midstream segments, respectively. Also includes corporate depletion, depreciation and amortization expenses of $1.8 million.</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$18.2 million in net income attributable to non-controlling interest in subsidiaries related to the midstream segment.</w:t>
      </w:r>
    </w:p>
    <w:p>
      <w:pPr>
        <w:spacing w:after="0" w:line="109"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$613.8 million attributable to land and seismic acquisition expenditures related to the exploration and production segment and $61.6 million in capital expenditures attributable to non-controlling interest in subsidiaries related to the midstream segment.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Matador Resources Company and Subsidiaries</w:t>
      </w:r>
    </w:p>
    <w:p>
      <w:pPr>
        <w:spacing w:after="0" w:line="7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 —</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GUARANTORS</w:t>
      </w:r>
    </w:p>
    <w:p>
      <w:pPr>
        <w:spacing w:after="0" w:line="364"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Notes are jointly and severally guaranteed by certain subsidiaries of Matador (the “Guarantor Subsidiaries”) on a full and unconditional basis (except for customary release provisions). At September 30, 2019,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4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0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Condensed Consolidating Balance Sheet</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13335</wp:posOffset>
            </wp:positionV>
            <wp:extent cx="57886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8660" cy="17145"/>
                    </a:xfrm>
                    <a:prstGeom prst="rect">
                      <a:avLst/>
                    </a:prstGeom>
                    <a:noFill/>
                  </pic:spPr>
                </pic:pic>
              </a:graphicData>
            </a:graphic>
          </wp:anchor>
        </w:drawing>
      </w:r>
    </w:p>
    <w:p>
      <w:pPr>
        <w:spacing w:after="0" w:line="2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Subsidiaries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Intercompany receivable</w:t>
            </w:r>
          </w:p>
        </w:tc>
        <w:tc>
          <w:tcPr>
            <w:tcW w:w="940" w:type="dxa"/>
            <w:vAlign w:val="bottom"/>
            <w:gridSpan w:val="4"/>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1,563,060</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20,658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(1,583,718)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assets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3,762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39,545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226,009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Net property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502,082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3,058,043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3,560,125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subsidiaries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1,285,250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122,743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(1,407,993)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Long-term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3,440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1,605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111,519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(9,366)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107,198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9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2,855,512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563,890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3,518,314</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(3,001,077)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3,936,639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payable</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1,583,718</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(1,583,718)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940" w:type="dxa"/>
            <w:vAlign w:val="bottom"/>
            <w:gridSpan w:val="4"/>
            <w:vMerge w:val="continue"/>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Current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53,627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350,532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403,357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unsecured notes payable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1,039,020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1,039,020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21,185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270,409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298,814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(8,564)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581,844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840" w:type="dxa"/>
            <w:vAlign w:val="bottom"/>
            <w:gridSpan w:val="5"/>
            <w:shd w:val="clear" w:color="auto" w:fill="CCEEFF"/>
          </w:tcPr>
          <w:p>
            <w:pPr>
              <w:ind w:left="380"/>
              <w:spacing w:after="0"/>
              <w:rPr>
                <w:sz w:val="20"/>
                <w:szCs w:val="20"/>
                <w:color w:val="auto"/>
              </w:rPr>
            </w:pPr>
            <w:r>
              <w:rPr>
                <w:rFonts w:ascii="Arial" w:cs="Arial" w:eastAsia="Arial" w:hAnsi="Arial"/>
                <w:sz w:val="14"/>
                <w:szCs w:val="14"/>
                <w:color w:val="auto"/>
              </w:rPr>
              <w:t>Total equity attributable to Matador Resources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Company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1,795,307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122,743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1,285,250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(1,407,993)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1,795,307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80"/>
              <w:spacing w:after="0"/>
              <w:rPr>
                <w:sz w:val="20"/>
                <w:szCs w:val="20"/>
                <w:color w:val="auto"/>
              </w:rPr>
            </w:pPr>
            <w:r>
              <w:rPr>
                <w:rFonts w:ascii="Arial" w:cs="Arial" w:eastAsia="Arial" w:hAnsi="Arial"/>
                <w:sz w:val="14"/>
                <w:szCs w:val="14"/>
                <w:color w:val="auto"/>
              </w:rPr>
              <w:t>Non-controlling interest in subsidiaries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117,111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gridSpan w:val="3"/>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117,111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9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equity</w:t>
            </w:r>
          </w:p>
        </w:tc>
        <w:tc>
          <w:tcPr>
            <w:tcW w:w="940" w:type="dxa"/>
            <w:vAlign w:val="bottom"/>
            <w:gridSpan w:val="4"/>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2,855,512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563,890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3,518,314</w:t>
            </w:r>
          </w:p>
        </w:tc>
        <w:tc>
          <w:tcPr>
            <w:tcW w:w="60" w:type="dxa"/>
            <w:vAlign w:val="bottom"/>
            <w:shd w:val="clear" w:color="auto" w:fill="CCEEFF"/>
          </w:tcPr>
          <w:p>
            <w:pPr>
              <w:spacing w:after="0"/>
              <w:rPr>
                <w:sz w:val="15"/>
                <w:szCs w:val="15"/>
                <w:color w:val="auto"/>
              </w:rPr>
            </w:pP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(3,001,077)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3,936,639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00" w:type="dxa"/>
            <w:vAlign w:val="bottom"/>
            <w:gridSpan w:val="15"/>
          </w:tcPr>
          <w:p>
            <w:pPr>
              <w:jc w:val="center"/>
              <w:ind w:left="328"/>
              <w:spacing w:after="0"/>
              <w:rPr>
                <w:sz w:val="20"/>
                <w:szCs w:val="20"/>
                <w:color w:val="auto"/>
              </w:rPr>
            </w:pPr>
            <w:r>
              <w:rPr>
                <w:rFonts w:ascii="Arial" w:cs="Arial" w:eastAsia="Arial" w:hAnsi="Arial"/>
                <w:sz w:val="14"/>
                <w:szCs w:val="14"/>
                <w:b w:val="1"/>
                <w:bCs w:val="1"/>
                <w:color w:val="auto"/>
                <w:w w:val="90"/>
              </w:rPr>
              <w:t>Condensed Consolidating Balance Sheet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8"/>
              </w:rPr>
              <w:t>Eliminating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Matador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Guarantor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6"/>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Intercompany receivable</w:t>
            </w:r>
          </w:p>
        </w:tc>
        <w:tc>
          <w:tcPr>
            <w:tcW w:w="940" w:type="dxa"/>
            <w:vAlign w:val="bottom"/>
            <w:gridSpan w:val="4"/>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1,244,405</w:t>
            </w:r>
          </w:p>
        </w:tc>
        <w:tc>
          <w:tcPr>
            <w:tcW w:w="40" w:type="dxa"/>
            <w:vAlign w:val="bottom"/>
          </w:tcPr>
          <w:p>
            <w:pPr>
              <w:spacing w:after="0"/>
              <w:rPr>
                <w:sz w:val="16"/>
                <w:szCs w:val="16"/>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29,816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gridSpan w:val="5"/>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(1,274,221)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40" w:type="dxa"/>
            <w:vAlign w:val="bottom"/>
            <w:gridSpan w:val="5"/>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assets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4,109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34,027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267,549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305,685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Net property and equipment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379,052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2,743,812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3,122,864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Investment in subsidiaries</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1,490,401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95,346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(1,585,747)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Long-term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23,897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1,479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11,095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(9,502)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26,969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2,762,812</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444,374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3,117,802</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(2,869,470)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3,455,518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940" w:type="dxa"/>
            <w:vAlign w:val="bottom"/>
            <w:gridSpan w:val="4"/>
            <w:vMerge w:val="continue"/>
            <w:shd w:val="clear" w:color="auto" w:fill="CCEEFF"/>
          </w:tcPr>
          <w:p>
            <w:pPr>
              <w:spacing w:after="0"/>
              <w:rPr>
                <w:sz w:val="5"/>
                <w:szCs w:val="5"/>
                <w:color w:val="auto"/>
              </w:rPr>
            </w:pPr>
          </w:p>
        </w:tc>
        <w:tc>
          <w:tcPr>
            <w:tcW w:w="82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gridSpan w:val="3"/>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240" w:type="dxa"/>
            <w:vAlign w:val="bottom"/>
            <w:gridSpan w:val="5"/>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LIABILITIES AND EQUITY</w:t>
            </w: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shd w:val="clear" w:color="auto" w:fill="CCEEFF"/>
          </w:tcPr>
          <w:p>
            <w:pPr>
              <w:spacing w:after="0"/>
              <w:rPr>
                <w:sz w:val="16"/>
                <w:szCs w:val="16"/>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Intercompany payable</w:t>
            </w: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2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1,274,221</w:t>
            </w:r>
          </w:p>
        </w:tc>
        <w:tc>
          <w:tcPr>
            <w:tcW w:w="2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(1,274,221)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940" w:type="dxa"/>
            <w:vAlign w:val="bottom"/>
            <w:gridSpan w:val="4"/>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gridSpan w:val="3"/>
            <w:vMerge w:val="continue"/>
            <w:shd w:val="clear" w:color="auto" w:fill="CCEEFF"/>
          </w:tcPr>
          <w:p>
            <w:pPr>
              <w:spacing w:after="0"/>
              <w:rPr>
                <w:sz w:val="6"/>
                <w:szCs w:val="6"/>
                <w:color w:val="auto"/>
              </w:rPr>
            </w:pPr>
          </w:p>
        </w:tc>
        <w:tc>
          <w:tcPr>
            <w:tcW w:w="220" w:type="dxa"/>
            <w:vAlign w:val="bottom"/>
            <w:gridSpan w:val="3"/>
            <w:vMerge w:val="continue"/>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Current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22,874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27,988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279,884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330,022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Senior unsecured notes payable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1,037,837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1,037,837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gridSpan w:val="4"/>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color w:val="auto"/>
              </w:rPr>
              <w:t>13,221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230,263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73,296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(8,778)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308,002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84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Total equity attributable to Matador Resources</w:t>
            </w: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w:t>
            </w: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1,688,880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95,346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1,490,401</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(1,585,747)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1,688,880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900" w:type="dxa"/>
            <w:vAlign w:val="bottom"/>
          </w:tcPr>
          <w:p>
            <w:pPr>
              <w:ind w:left="340"/>
              <w:spacing w:after="0"/>
              <w:rPr>
                <w:sz w:val="20"/>
                <w:szCs w:val="20"/>
                <w:color w:val="auto"/>
              </w:rPr>
            </w:pPr>
            <w:r>
              <w:rPr>
                <w:rFonts w:ascii="Arial" w:cs="Arial" w:eastAsia="Arial" w:hAnsi="Arial"/>
                <w:sz w:val="14"/>
                <w:szCs w:val="14"/>
                <w:color w:val="auto"/>
              </w:rPr>
              <w:t>Non-controlling interest in subsidiaries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90,777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gridSpan w:val="2"/>
            <w:vMerge w:val="restart"/>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90,777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80" w:type="dxa"/>
            <w:vAlign w:val="bottom"/>
            <w:tcBorders>
              <w:bottom w:val="single" w:sz="8" w:color="CCEEFF"/>
            </w:tcBorders>
            <w:gridSpan w:val="2"/>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Total liabilities and equity</w:t>
            </w:r>
          </w:p>
        </w:tc>
        <w:tc>
          <w:tcPr>
            <w:tcW w:w="800" w:type="dxa"/>
            <w:vAlign w:val="bottom"/>
            <w:gridSpan w:val="3"/>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2,762,812</w:t>
            </w:r>
          </w:p>
        </w:tc>
        <w:tc>
          <w:tcPr>
            <w:tcW w:w="40" w:type="dxa"/>
            <w:vAlign w:val="bottom"/>
            <w:shd w:val="clear" w:color="auto" w:fill="CCEEFF"/>
          </w:tcPr>
          <w:p>
            <w:pPr>
              <w:spacing w:after="0"/>
              <w:rPr>
                <w:sz w:val="15"/>
                <w:szCs w:val="15"/>
                <w:color w:val="auto"/>
              </w:rPr>
            </w:pPr>
          </w:p>
        </w:tc>
        <w:tc>
          <w:tcPr>
            <w:tcW w:w="100" w:type="dxa"/>
            <w:vAlign w:val="bottom"/>
            <w:gridSpan w:val="2"/>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444,374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3,117,802</w:t>
            </w:r>
          </w:p>
        </w:tc>
        <w:tc>
          <w:tcPr>
            <w:tcW w:w="40" w:type="dxa"/>
            <w:vAlign w:val="bottom"/>
            <w:vMerge w:val="restart"/>
            <w:shd w:val="clear" w:color="auto" w:fill="CCEEFF"/>
          </w:tcPr>
          <w:p>
            <w:pPr>
              <w:spacing w:after="0"/>
              <w:rPr>
                <w:sz w:val="15"/>
                <w:szCs w:val="15"/>
                <w:color w:val="auto"/>
              </w:rPr>
            </w:pPr>
          </w:p>
        </w:tc>
        <w:tc>
          <w:tcPr>
            <w:tcW w:w="100" w:type="dxa"/>
            <w:vAlign w:val="bottom"/>
            <w:gridSpan w:val="3"/>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(2,869,470)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3,455,518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40" w:type="dxa"/>
            <w:vAlign w:val="bottom"/>
            <w:tcBorders>
              <w:bottom w:val="single" w:sz="8" w:color="CCEEFF"/>
            </w:tcBorders>
            <w:shd w:val="clear" w:color="auto" w:fill="CCEEFF"/>
          </w:tcPr>
          <w:p>
            <w:pPr>
              <w:spacing w:after="0"/>
              <w:rPr>
                <w:sz w:val="5"/>
                <w:szCs w:val="5"/>
                <w:color w:val="auto"/>
              </w:rPr>
            </w:pPr>
          </w:p>
        </w:tc>
        <w:tc>
          <w:tcPr>
            <w:tcW w:w="290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gridSpan w:val="3"/>
            <w:vMerge w:val="continue"/>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gridSpan w:val="3"/>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gridSpan w:val="2"/>
            <w:vMerge w:val="continue"/>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gridSpan w:val="2"/>
            <w:vMerge w:val="continue"/>
            <w:shd w:val="clear" w:color="auto" w:fill="CCEEFF"/>
          </w:tcPr>
          <w:p>
            <w:pPr>
              <w:spacing w:after="0"/>
              <w:rPr>
                <w:sz w:val="5"/>
                <w:szCs w:val="5"/>
                <w:color w:val="auto"/>
              </w:rPr>
            </w:pPr>
          </w:p>
        </w:tc>
        <w:tc>
          <w:tcPr>
            <w:tcW w:w="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980" w:type="dxa"/>
            <w:vAlign w:val="bottom"/>
            <w:gridSpan w:val="20"/>
          </w:tcPr>
          <w:p>
            <w:pPr>
              <w:jc w:val="center"/>
              <w:ind w:right="68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20"/>
          </w:tcPr>
          <w:p>
            <w:pPr>
              <w:jc w:val="center"/>
              <w:ind w:right="660"/>
              <w:spacing w:after="0"/>
              <w:rPr>
                <w:sz w:val="20"/>
                <w:szCs w:val="20"/>
                <w:color w:val="auto"/>
              </w:rPr>
            </w:pPr>
            <w:r>
              <w:rPr>
                <w:rFonts w:ascii="Arial" w:cs="Arial" w:eastAsia="Arial" w:hAnsi="Arial"/>
                <w:sz w:val="14"/>
                <w:szCs w:val="14"/>
                <w:b w:val="1"/>
                <w:bCs w:val="1"/>
                <w:color w:val="auto"/>
                <w:w w:val="93"/>
              </w:rPr>
              <w:t>For the Three Months Ended September 30, 2019</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9"/>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Guarantor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40" w:type="dxa"/>
            <w:vAlign w:val="bottom"/>
          </w:tcPr>
          <w:p>
            <w:pPr>
              <w:spacing w:after="0"/>
              <w:rPr>
                <w:sz w:val="13"/>
                <w:szCs w:val="1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Matador</w:t>
            </w:r>
          </w:p>
        </w:tc>
        <w:tc>
          <w:tcPr>
            <w:tcW w:w="11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7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4"/>
            <w:vMerge w:val="restart"/>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52,776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246,235</w:t>
            </w:r>
          </w:p>
        </w:tc>
        <w:tc>
          <w:tcPr>
            <w:tcW w:w="60" w:type="dxa"/>
            <w:vAlign w:val="bottom"/>
            <w:shd w:val="clear" w:color="auto" w:fill="CCEEFF"/>
          </w:tcPr>
          <w:p>
            <w:pPr>
              <w:spacing w:after="0"/>
              <w:rPr>
                <w:sz w:val="16"/>
                <w:szCs w:val="16"/>
                <w:color w:val="auto"/>
              </w:rPr>
            </w:pPr>
          </w:p>
        </w:tc>
        <w:tc>
          <w:tcPr>
            <w:tcW w:w="240" w:type="dxa"/>
            <w:vAlign w:val="bottom"/>
            <w:gridSpan w:val="5"/>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(19,609)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279,402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gridSpan w:val="4"/>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5"/>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Total expenses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30,317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181,558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(19,609)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193,300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tcPr>
          <w:p>
            <w:pPr>
              <w:spacing w:after="0"/>
              <w:rPr>
                <w:sz w:val="6"/>
                <w:szCs w:val="6"/>
                <w:color w:val="auto"/>
              </w:rPr>
            </w:pPr>
          </w:p>
        </w:tc>
        <w:tc>
          <w:tcPr>
            <w:tcW w:w="2900" w:type="dxa"/>
            <w:vAlign w:val="bottom"/>
            <w:tcBorders>
              <w:bottom w:val="single" w:sz="8" w:color="CCEEFF"/>
            </w:tcBorders>
          </w:tcPr>
          <w:p>
            <w:pPr>
              <w:spacing w:after="0"/>
              <w:rPr>
                <w:sz w:val="6"/>
                <w:szCs w:val="6"/>
                <w:color w:val="auto"/>
              </w:rPr>
            </w:pPr>
          </w:p>
        </w:tc>
        <w:tc>
          <w:tcPr>
            <w:tcW w:w="5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(loss) income</w:t>
            </w: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22,459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64,677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86,102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40" w:type="dxa"/>
            <w:vAlign w:val="bottom"/>
            <w:gridSpan w:val="2"/>
          </w:tcPr>
          <w:p>
            <w:pPr>
              <w:ind w:left="20"/>
              <w:spacing w:after="0"/>
              <w:rPr>
                <w:sz w:val="20"/>
                <w:szCs w:val="20"/>
                <w:color w:val="auto"/>
              </w:rPr>
            </w:pPr>
            <w:r>
              <w:rPr>
                <w:rFonts w:ascii="Arial" w:cs="Arial" w:eastAsia="Arial" w:hAnsi="Arial"/>
                <w:sz w:val="14"/>
                <w:szCs w:val="14"/>
                <w:color w:val="auto"/>
                <w:w w:val="95"/>
              </w:rPr>
              <w:t>Net loss on asset sales and inventory impairment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4"/>
            <w:vMerge w:val="restart"/>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4"/>
            <w:vMerge w:val="restart"/>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(18,175)</w:t>
            </w: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29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4"/>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5" w:right="4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80"/>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in subsidiaries</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74,193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38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57,443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74,193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(84,393)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67,243</w:t>
            </w:r>
          </w:p>
        </w:tc>
        <w:tc>
          <w:tcPr>
            <w:tcW w:w="0" w:type="dxa"/>
            <w:vAlign w:val="bottom"/>
          </w:tcPr>
          <w:p>
            <w:pPr>
              <w:spacing w:after="0"/>
              <w:rPr>
                <w:sz w:val="1"/>
                <w:szCs w:val="1"/>
                <w:color w:val="auto"/>
              </w:rPr>
            </w:pPr>
          </w:p>
        </w:tc>
      </w:tr>
      <w:tr>
        <w:trPr>
          <w:trHeight w:val="74"/>
        </w:trPr>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income tax provision</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13,490</w:t>
            </w:r>
          </w:p>
        </w:tc>
        <w:tc>
          <w:tcPr>
            <w:tcW w:w="0" w:type="dxa"/>
            <w:vAlign w:val="bottom"/>
          </w:tcPr>
          <w:p>
            <w:pPr>
              <w:spacing w:after="0"/>
              <w:rPr>
                <w:sz w:val="1"/>
                <w:szCs w:val="1"/>
                <w:color w:val="auto"/>
              </w:rPr>
            </w:pPr>
          </w:p>
        </w:tc>
      </w:tr>
      <w:tr>
        <w:trPr>
          <w:trHeight w:val="80"/>
        </w:trPr>
        <w:tc>
          <w:tcPr>
            <w:tcW w:w="30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income attributable to non-controlling interest in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0" w:type="dxa"/>
            <w:vAlign w:val="bottom"/>
          </w:tcPr>
          <w:p>
            <w:pPr>
              <w:spacing w:after="0"/>
              <w:rPr>
                <w:sz w:val="1"/>
                <w:szCs w:val="1"/>
                <w:color w:val="auto"/>
              </w:rPr>
            </w:pPr>
          </w:p>
        </w:tc>
      </w:tr>
      <w:tr>
        <w:trPr>
          <w:trHeight w:val="143"/>
        </w:trPr>
        <w:tc>
          <w:tcPr>
            <w:tcW w:w="3040" w:type="dxa"/>
            <w:vAlign w:val="bottom"/>
            <w:shd w:val="clear" w:color="auto" w:fill="CCEEFF"/>
          </w:tcPr>
          <w:p>
            <w:pPr>
              <w:ind w:left="380"/>
              <w:spacing w:after="0" w:line="143" w:lineRule="exact"/>
              <w:rPr>
                <w:sz w:val="20"/>
                <w:szCs w:val="20"/>
                <w:color w:val="auto"/>
              </w:rPr>
            </w:pPr>
            <w:r>
              <w:rPr>
                <w:rFonts w:ascii="Arial" w:cs="Arial" w:eastAsia="Arial" w:hAnsi="Arial"/>
                <w:sz w:val="14"/>
                <w:szCs w:val="14"/>
                <w:color w:val="auto"/>
                <w:w w:val="92"/>
              </w:rPr>
              <w:t>Net income attributable to Matador Resources</w:t>
            </w:r>
          </w:p>
        </w:tc>
        <w:tc>
          <w:tcPr>
            <w:tcW w:w="4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43,953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74,193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(84,393)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43,953</w:t>
            </w:r>
          </w:p>
        </w:tc>
        <w:tc>
          <w:tcPr>
            <w:tcW w:w="0" w:type="dxa"/>
            <w:vAlign w:val="bottom"/>
          </w:tcPr>
          <w:p>
            <w:pPr>
              <w:spacing w:after="0"/>
              <w:rPr>
                <w:sz w:val="1"/>
                <w:szCs w:val="1"/>
                <w:color w:val="auto"/>
              </w:rPr>
            </w:pPr>
          </w:p>
        </w:tc>
      </w:tr>
      <w:tr>
        <w:trPr>
          <w:trHeight w:val="181"/>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Company shareholders</w:t>
            </w:r>
          </w:p>
        </w:tc>
        <w:tc>
          <w:tcPr>
            <w:tcW w:w="42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040" w:type="dxa"/>
            <w:vAlign w:val="bottom"/>
          </w:tcPr>
          <w:p>
            <w:pPr>
              <w:spacing w:after="0"/>
              <w:rPr>
                <w:sz w:val="24"/>
                <w:szCs w:val="24"/>
                <w:color w:val="auto"/>
              </w:rPr>
            </w:pPr>
          </w:p>
        </w:tc>
        <w:tc>
          <w:tcPr>
            <w:tcW w:w="3940" w:type="dxa"/>
            <w:vAlign w:val="bottom"/>
            <w:gridSpan w:val="10"/>
          </w:tcPr>
          <w:p>
            <w:pPr>
              <w:jc w:val="center"/>
              <w:ind w:right="840"/>
              <w:spacing w:after="0"/>
              <w:rPr>
                <w:sz w:val="20"/>
                <w:szCs w:val="20"/>
                <w:color w:val="auto"/>
              </w:rPr>
            </w:pPr>
            <w:r>
              <w:rPr>
                <w:rFonts w:ascii="Arial" w:cs="Arial" w:eastAsia="Arial" w:hAnsi="Arial"/>
                <w:sz w:val="14"/>
                <w:szCs w:val="14"/>
                <w:b w:val="1"/>
                <w:bCs w:val="1"/>
                <w:color w:val="auto"/>
                <w:w w:val="91"/>
              </w:rPr>
              <w:t>Condensed Consolidating Statement of Operations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10"/>
          </w:tcPr>
          <w:p>
            <w:pPr>
              <w:jc w:val="center"/>
              <w:ind w:right="820"/>
              <w:spacing w:after="0"/>
              <w:rPr>
                <w:sz w:val="20"/>
                <w:szCs w:val="20"/>
                <w:color w:val="auto"/>
              </w:rPr>
            </w:pPr>
            <w:r>
              <w:rPr>
                <w:rFonts w:ascii="Arial" w:cs="Arial" w:eastAsia="Arial" w:hAnsi="Arial"/>
                <w:sz w:val="14"/>
                <w:szCs w:val="14"/>
                <w:b w:val="1"/>
                <w:bCs w:val="1"/>
                <w:color w:val="auto"/>
                <w:w w:val="93"/>
              </w:rPr>
              <w:t>For the Three Months Ended September 30, 2018</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Matador</w:t>
            </w:r>
          </w:p>
        </w:tc>
        <w:tc>
          <w:tcPr>
            <w:tcW w:w="12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584009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0095" cy="180340"/>
                    </a:xfrm>
                    <a:prstGeom prst="rect">
                      <a:avLst/>
                    </a:prstGeom>
                    <a:noFill/>
                  </pic:spPr>
                </pic:pic>
              </a:graphicData>
            </a:graphic>
          </wp:anchor>
        </w:drawing>
      </w:r>
    </w:p>
    <w:p>
      <w:pPr>
        <w:sectPr>
          <w:pgSz w:w="11900" w:h="16838" w:orient="portrait"/>
          <w:cols w:equalWidth="0" w:num="1">
            <w:col w:w="9200"/>
          </w:cols>
          <w:pgMar w:left="1360" w:top="121" w:right="1339" w:bottom="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 on asset sales and inventory impairment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380" w:right="2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25,640</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199,386</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(17,848)</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207,178</w:t>
            </w:r>
          </w:p>
        </w:tc>
      </w:tr>
      <w:tr>
        <w:trPr>
          <w:trHeight w:val="276"/>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10,708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145,281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139,325</w:t>
            </w:r>
          </w:p>
        </w:tc>
      </w:tr>
      <w:tr>
        <w:trPr>
          <w:trHeight w:val="244"/>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14,932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54,105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67,853</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(10,340)</w:t>
            </w:r>
          </w:p>
        </w:tc>
      </w:tr>
      <w:tr>
        <w:trPr>
          <w:trHeight w:val="270"/>
        </w:trPr>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(31,232)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(32,202)</w:t>
            </w:r>
          </w:p>
        </w:tc>
      </w:tr>
      <w:tr>
        <w:trPr>
          <w:trHeight w:val="276"/>
        </w:trPr>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7,619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17,794</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14,940</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25,115</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(7,321)</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17,794</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7,619</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60,550</w:t>
            </w:r>
          </w:p>
        </w:tc>
        <w:tc>
          <w:tcPr>
            <w:tcW w:w="1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(68,169)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17,794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-1491615</wp:posOffset>
            </wp:positionV>
            <wp:extent cx="584009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-1148715</wp:posOffset>
            </wp:positionV>
            <wp:extent cx="58400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-805180</wp:posOffset>
            </wp:positionV>
            <wp:extent cx="584009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0095" cy="17145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-462280</wp:posOffset>
            </wp:positionV>
            <wp:extent cx="584009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009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00"/>
            <w:col w:w="574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58058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05805" cy="17145"/>
                    </a:xfrm>
                    <a:prstGeom prst="rect">
                      <a:avLst/>
                    </a:prstGeom>
                    <a:noFill/>
                  </pic:spPr>
                </pic:pic>
              </a:graphicData>
            </a:graphic>
          </wp:anchor>
        </w:drawing>
      </w:r>
    </w:p>
    <w:p>
      <w:pPr>
        <w:spacing w:after="0" w:line="32"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580580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05805" cy="180340"/>
                    </a:xfrm>
                    <a:prstGeom prst="rect">
                      <a:avLst/>
                    </a:prstGeom>
                    <a:noFill/>
                  </pic:spPr>
                </pic:pic>
              </a:graphicData>
            </a:graphic>
          </wp:anchor>
        </w:drawing>
      </w:r>
    </w:p>
    <w:p>
      <w:pPr>
        <w:sectPr>
          <w:pgSz w:w="11900" w:h="16838"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on asset sales and inventory impairment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income tax provision</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400" w:right="4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137,372</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612,368</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(54,745)</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694,995</w:t>
            </w:r>
          </w:p>
        </w:tc>
      </w:tr>
      <w:tr>
        <w:trPr>
          <w:trHeight w:val="276"/>
        </w:trPr>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78,386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497,953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(54,745)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524,564</w:t>
            </w:r>
          </w:p>
        </w:tc>
      </w:tr>
      <w:tr>
        <w:trPr>
          <w:trHeight w:val="244"/>
        </w:trPr>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58,986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114,415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170,431</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(807)</w:t>
            </w:r>
          </w:p>
        </w:tc>
      </w:tr>
      <w:tr>
        <w:trPr>
          <w:trHeight w:val="270"/>
        </w:trPr>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(47,391)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(54,172)</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76"/>
        </w:trPr>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139,454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26,626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(166,080)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89,093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52,208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139,454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(166,080)</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114,675</w:t>
            </w:r>
          </w:p>
        </w:tc>
      </w:tr>
      <w:tr>
        <w:trPr>
          <w:trHeight w:val="270"/>
        </w:trPr>
        <w:tc>
          <w:tcPr>
            <w:tcW w:w="3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25,335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25,335</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(25,582)</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63,758</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26,626</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139,454</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(166,080)</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63,758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-1663065</wp:posOffset>
            </wp:positionV>
            <wp:extent cx="580580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-1320165</wp:posOffset>
            </wp:positionV>
            <wp:extent cx="580580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-977265</wp:posOffset>
            </wp:positionV>
            <wp:extent cx="580580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-633730</wp:posOffset>
            </wp:positionV>
            <wp:extent cx="580580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-239395</wp:posOffset>
            </wp:positionV>
            <wp:extent cx="5805805"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0580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340"/>
            <w:col w:w="576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58058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05805" cy="17145"/>
                    </a:xfrm>
                    <a:prstGeom prst="rect">
                      <a:avLst/>
                    </a:prstGeom>
                    <a:noFill/>
                  </pic:spPr>
                </pic:pic>
              </a:graphicData>
            </a:graphic>
          </wp:anchor>
        </w:drawing>
      </w:r>
    </w:p>
    <w:p>
      <w:pPr>
        <w:spacing w:after="0" w:line="32"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Matador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Guarantor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Eliminating</w:t>
            </w: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Entries</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580580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05805" cy="180340"/>
                    </a:xfrm>
                    <a:prstGeom prst="rect">
                      <a:avLst/>
                    </a:prstGeom>
                    <a:noFill/>
                  </pic:spPr>
                </pic:pic>
              </a:graphicData>
            </a:graphic>
          </wp:anchor>
        </w:drawing>
      </w:r>
    </w:p>
    <w:p>
      <w:pPr>
        <w:sectPr>
          <w:pgSz w:w="11900" w:h="16838" w:orient="portrait"/>
          <w:cols w:equalWidth="0" w:num="1">
            <w:col w:w="9200"/>
          </w:cols>
          <w:pgMar w:left="1360" w:top="121" w:right="1339" w:bottom="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expenses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on asset sales and inventory impairment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(expense)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in subsidiaries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Net income attributable to non-controlling interest in subsidiaries</w:t>
      </w:r>
    </w:p>
    <w:p>
      <w:pPr>
        <w:spacing w:after="0" w:line="12" w:lineRule="exact"/>
        <w:rPr>
          <w:sz w:val="20"/>
          <w:szCs w:val="20"/>
          <w:color w:val="auto"/>
        </w:rPr>
      </w:pPr>
    </w:p>
    <w:p>
      <w:pPr>
        <w:ind w:left="400" w:right="40"/>
        <w:spacing w:after="0" w:line="253" w:lineRule="auto"/>
        <w:rPr>
          <w:sz w:val="20"/>
          <w:szCs w:val="20"/>
          <w:color w:val="auto"/>
        </w:rPr>
      </w:pPr>
      <w:r>
        <w:rPr>
          <w:rFonts w:ascii="Arial" w:cs="Arial" w:eastAsia="Arial" w:hAnsi="Arial"/>
          <w:sz w:val="14"/>
          <w:szCs w:val="14"/>
          <w:color w:val="auto"/>
        </w:rPr>
        <w:t>Net income attributable to Matador Resources Company shareholders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64,190</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592,085</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(46,550)</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609,725</w:t>
            </w:r>
          </w:p>
        </w:tc>
      </w:tr>
      <w:tr>
        <w:trPr>
          <w:trHeight w:val="276"/>
        </w:trPr>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410,369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(46,550)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394,517</w:t>
            </w:r>
          </w:p>
        </w:tc>
      </w:tr>
      <w:tr>
        <w:trPr>
          <w:trHeight w:val="244"/>
        </w:trPr>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181,716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215,208</w:t>
            </w:r>
          </w:p>
        </w:tc>
      </w:tr>
      <w:tr>
        <w:trPr>
          <w:trHeight w:val="270"/>
        </w:trPr>
        <w:tc>
          <w:tcPr>
            <w:tcW w:w="30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70"/>
        </w:trPr>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(26,835)</w:t>
            </w:r>
          </w:p>
        </w:tc>
      </w:tr>
      <w:tr>
        <w:trPr>
          <w:trHeight w:val="270"/>
        </w:trPr>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(31,226)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(32,501)</w:t>
            </w:r>
          </w:p>
        </w:tc>
      </w:tr>
      <w:tr>
        <w:trPr>
          <w:trHeight w:val="276"/>
        </w:trPr>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199,151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18,925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(218,076)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4"/>
        </w:trPr>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37,107</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199,151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(218,076)</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155,676</w:t>
            </w:r>
          </w:p>
        </w:tc>
      </w:tr>
      <w:tr>
        <w:trPr>
          <w:trHeight w:val="357"/>
        </w:trPr>
        <w:tc>
          <w:tcPr>
            <w:tcW w:w="3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(18,182)</w:t>
            </w:r>
          </w:p>
        </w:tc>
      </w:tr>
      <w:tr>
        <w:trPr>
          <w:trHeight w:val="318"/>
        </w:trPr>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18,925</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199,151</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(218,076)</w:t>
            </w: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137,494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-1491615</wp:posOffset>
            </wp:positionV>
            <wp:extent cx="580580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-1148715</wp:posOffset>
            </wp:positionV>
            <wp:extent cx="580580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-805180</wp:posOffset>
            </wp:positionV>
            <wp:extent cx="580580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-2169795</wp:posOffset>
            </wp:positionH>
            <wp:positionV relativeFrom="paragraph">
              <wp:posOffset>-462280</wp:posOffset>
            </wp:positionV>
            <wp:extent cx="5805805"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5805"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340"/>
            <w:col w:w="5760"/>
          </w:cols>
          <w:pgMar w:left="1360" w:top="121" w:right="1339" w:bottom="0" w:gutter="0" w:footer="0" w:header="0"/>
          <w:type w:val="continuous"/>
        </w:sectPr>
      </w:pP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82,812</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270,738</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353,127</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(116,967)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(507,938)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(639,049)</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39,888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188,712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242,744</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(Decrease) increase in cash and restricted cash</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5,733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(48,488)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(43,178)</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1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83,984</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24,574</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16,199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40,806</w:t>
            </w:r>
          </w:p>
        </w:tc>
        <w:tc>
          <w:tcPr>
            <w:tcW w:w="0" w:type="dxa"/>
            <w:vAlign w:val="bottom"/>
          </w:tcPr>
          <w:p>
            <w:pPr>
              <w:spacing w:after="0"/>
              <w:rPr>
                <w:sz w:val="1"/>
                <w:szCs w:val="1"/>
                <w:color w:val="auto"/>
              </w:rPr>
            </w:pPr>
          </w:p>
        </w:tc>
      </w:tr>
      <w:tr>
        <w:trPr>
          <w:trHeight w:val="60"/>
        </w:trPr>
        <w:tc>
          <w:tcPr>
            <w:tcW w:w="3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00"/>
          </w:cols>
          <w:pgMar w:left="1360" w:top="121" w:right="1339" w:bottom="0" w:gutter="0" w:footer="0" w:header="0"/>
          <w:type w:val="continuous"/>
        </w:sectPr>
      </w:pPr>
    </w:p>
    <w:bookmarkStart w:id="28" w:name="page29"/>
    <w:bookmarkEnd w:id="28"/>
    <w:p>
      <w:pPr>
        <w:jc w:val="center"/>
        <w:ind w:right="2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58400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0095" cy="1714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Matador</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(361,016)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768,016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419,318</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(120,836)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(1,152,987)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53,295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(1,220,528)</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361,155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109,400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334,476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751,736</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Increase (decrease) in cash and restricted cash</w:t>
            </w:r>
          </w:p>
        </w:tc>
        <w:tc>
          <w:tcPr>
            <w:tcW w:w="16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(50,495)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(49,474)</w:t>
            </w:r>
          </w:p>
        </w:tc>
        <w:tc>
          <w:tcPr>
            <w:tcW w:w="0" w:type="dxa"/>
            <w:vAlign w:val="bottom"/>
          </w:tcPr>
          <w:p>
            <w:pPr>
              <w:spacing w:after="0"/>
              <w:rPr>
                <w:sz w:val="1"/>
                <w:szCs w:val="1"/>
                <w:color w:val="auto"/>
              </w:rPr>
            </w:pPr>
          </w:p>
        </w:tc>
      </w:tr>
      <w:tr>
        <w:trPr>
          <w:trHeight w:val="74"/>
        </w:trPr>
        <w:tc>
          <w:tcPr>
            <w:tcW w:w="3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restricted cash at beginning of period</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96,533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102,482</w:t>
            </w:r>
          </w:p>
        </w:tc>
        <w:tc>
          <w:tcPr>
            <w:tcW w:w="0" w:type="dxa"/>
            <w:vAlign w:val="bottom"/>
          </w:tcPr>
          <w:p>
            <w:pPr>
              <w:spacing w:after="0"/>
              <w:rPr>
                <w:sz w:val="1"/>
                <w:szCs w:val="1"/>
                <w:color w:val="auto"/>
              </w:rPr>
            </w:pPr>
          </w:p>
        </w:tc>
      </w:tr>
      <w:tr>
        <w:trPr>
          <w:trHeight w:val="80"/>
        </w:trPr>
        <w:tc>
          <w:tcPr>
            <w:tcW w:w="36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380"/>
              <w:spacing w:after="0"/>
              <w:rPr>
                <w:sz w:val="20"/>
                <w:szCs w:val="20"/>
                <w:color w:val="auto"/>
              </w:rPr>
            </w:pPr>
            <w:r>
              <w:rPr>
                <w:rFonts w:ascii="Arial" w:cs="Arial" w:eastAsia="Arial" w:hAnsi="Arial"/>
                <w:sz w:val="14"/>
                <w:szCs w:val="14"/>
                <w:color w:val="auto"/>
              </w:rPr>
              <w:t>Cash and restricted cash at end of period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6,545</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46,038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53,008</w:t>
            </w:r>
          </w:p>
        </w:tc>
        <w:tc>
          <w:tcPr>
            <w:tcW w:w="0" w:type="dxa"/>
            <w:vAlign w:val="bottom"/>
          </w:tcPr>
          <w:p>
            <w:pPr>
              <w:spacing w:after="0"/>
              <w:rPr>
                <w:sz w:val="1"/>
                <w:szCs w:val="1"/>
                <w:color w:val="auto"/>
              </w:rPr>
            </w:pPr>
          </w:p>
        </w:tc>
      </w:tr>
      <w:tr>
        <w:trPr>
          <w:trHeight w:val="60"/>
        </w:trPr>
        <w:tc>
          <w:tcPr>
            <w:tcW w:w="36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200"/>
          </w:cols>
          <w:pgMar w:left="1360" w:top="130" w:right="1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2018 (the “Annual Report”) filed with the Securities and Exchange Commission (“SEC”) on March 1, 2019, along with Management’s Discussion and Analysis of Financial Condition and Results of Operations contained in the Annual Report. The Annual Report is accessible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xml:space="preserve"> and on our website at </w:t>
      </w:r>
      <w:r>
        <w:rPr>
          <w:rFonts w:ascii="Arial" w:cs="Arial" w:eastAsia="Arial" w:hAnsi="Arial"/>
          <w:sz w:val="16"/>
          <w:szCs w:val="16"/>
          <w:i w:val="1"/>
          <w:iCs w:val="1"/>
          <w:u w:val="single" w:color="auto"/>
          <w:color w:val="auto"/>
        </w:rPr>
        <w:t>www.matadorresources.com</w:t>
      </w:r>
      <w:r>
        <w:rPr>
          <w:rFonts w:ascii="Arial" w:cs="Arial" w:eastAsia="Arial" w:hAnsi="Arial"/>
          <w:sz w:val="16"/>
          <w:szCs w:val="16"/>
          <w:i w:val="1"/>
          <w:iCs w:val="1"/>
          <w:color w:val="auto"/>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spacing w:after="0" w:line="5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i w:val="1"/>
          <w:iCs w:val="1"/>
          <w:color w:val="auto"/>
        </w:rPr>
        <w:t>In this Quarterly Report on Form 10-Q (the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For certain oil and natural gas terms used in this Quarterly Report, please see the “Glossary of Oil and Natural Gas Terms” included with the Annual Report.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8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Arial" w:cs="Arial" w:eastAsia="Arial" w:hAnsi="Arial"/>
          <w:sz w:val="17"/>
          <w:szCs w:val="17"/>
          <w:color w:val="0A0A0A"/>
        </w:rPr>
        <w:t>general economic conditions; our ability to execute</w:t>
      </w:r>
      <w:r>
        <w:rPr>
          <w:rFonts w:ascii="Arial" w:cs="Arial" w:eastAsia="Arial" w:hAnsi="Arial"/>
          <w:sz w:val="17"/>
          <w:szCs w:val="17"/>
          <w:color w:val="auto"/>
        </w:rPr>
        <w:t xml:space="preserve"> </w:t>
      </w:r>
      <w:r>
        <w:rPr>
          <w:rFonts w:ascii="Arial" w:cs="Arial" w:eastAsia="Arial" w:hAnsi="Arial"/>
          <w:sz w:val="17"/>
          <w:szCs w:val="17"/>
          <w:color w:val="0A0A0A"/>
        </w:rPr>
        <w:t xml:space="preserve">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our ability to make acquisitions on economically acceptable terms; our ability to integrate acquisitions; availability of sufficient capital to execute our business plan, including from future cash flows, increases in our borrowing base and otherwise; weather and environmental conditions; the operating results of San Mateo’s expansion of the Black River cryogenic processing plant, including the timing of the further expansion of such plant; the timing and operating results of the buildout by San Mateo of oil, natural gas and water gathering and transportation systems and the drilling of any additional salt water disposal wells, including in conjunction with the expansion of San Mateo’s services and assets into new areas in </w:t>
      </w:r>
      <w:r>
        <w:rPr>
          <w:rFonts w:ascii="Arial" w:cs="Arial" w:eastAsia="Arial" w:hAnsi="Arial"/>
          <w:sz w:val="17"/>
          <w:szCs w:val="17"/>
          <w:color w:val="000000"/>
        </w:rPr>
        <w:t>Eddy County, New Mexico</w:t>
      </w:r>
      <w:r>
        <w:rPr>
          <w:rFonts w:ascii="Arial" w:cs="Arial" w:eastAsia="Arial" w:hAnsi="Arial"/>
          <w:sz w:val="17"/>
          <w:szCs w:val="17"/>
          <w:color w:val="0A0A0A"/>
        </w:rPr>
        <w:t xml:space="preserve">; </w:t>
      </w:r>
      <w:r>
        <w:rPr>
          <w:rFonts w:ascii="Arial" w:cs="Arial" w:eastAsia="Arial" w:hAnsi="Arial"/>
          <w:sz w:val="17"/>
          <w:szCs w:val="17"/>
          <w:color w:val="000000"/>
        </w:rPr>
        <w:t>and the other factors discussed</w:t>
      </w:r>
      <w:r>
        <w:rPr>
          <w:rFonts w:ascii="Arial" w:cs="Arial" w:eastAsia="Arial" w:hAnsi="Arial"/>
          <w:sz w:val="17"/>
          <w:szCs w:val="17"/>
          <w:color w:val="0A0A0A"/>
        </w:rPr>
        <w:t xml:space="preserve"> </w:t>
      </w:r>
      <w:r>
        <w:rPr>
          <w:rFonts w:ascii="Arial" w:cs="Arial" w:eastAsia="Arial" w:hAnsi="Arial"/>
          <w:sz w:val="17"/>
          <w:szCs w:val="17"/>
          <w:color w:val="000000"/>
        </w:rPr>
        <w:t>below and elsewhere in this Quarterly Report and in other documents that we file with or furnish to the SEC, all of which are difficult to predict. Forward-looking statements may include statements about:</w:t>
      </w:r>
    </w:p>
    <w:p>
      <w:pPr>
        <w:spacing w:after="0" w:line="80"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estimated future reserves and the present value thereof;</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flows and liquidity;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financial strategy, budget, projections and operating results;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oil and natural gas realized prices;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amount of future production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drilling and production equipment;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oil field labor;</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and terms of capital;</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drilling of wells;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negotiate and consummate acquisition and divestiture opportunities;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 and taxation of the oil and natural gas industry;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marketing of oil and natural gas;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exploitation projects or property acquisitions;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integration of acquisitions with our business;</w:t>
      </w:r>
    </w:p>
    <w:p>
      <w:pPr>
        <w:spacing w:after="0" w:line="23" w:lineRule="exact"/>
        <w:rPr>
          <w:rFonts w:ascii="Arial" w:cs="Arial" w:eastAsia="Arial" w:hAnsi="Arial"/>
          <w:sz w:val="18"/>
          <w:szCs w:val="18"/>
          <w:color w:val="auto"/>
        </w:rPr>
      </w:pPr>
    </w:p>
    <w:p>
      <w:pPr>
        <w:ind w:left="640" w:right="480" w:hanging="321"/>
        <w:spacing w:after="0" w:line="250"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San Mateo to construct and operate midstream facilities, including the operation and expansion of our Black River cryogenic natural gas processing plant and the drilling of additional salt water disposal wells;</w:t>
      </w: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San Mateo to attract third-party volumes;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costs of exploiting and developing our properties and conducting other operations;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risk management and hedging activities;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technology;</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credit risk;</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oil-producing and natural gas-producing countries;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plans, objectives, expectations and intentions contained in this Quarterly Report or in our other filings with the SEC that are not historical.</w:t>
      </w:r>
    </w:p>
    <w:p>
      <w:pPr>
        <w:spacing w:after="0" w:line="11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3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salt water gathering services and salt water disposal services to third parties.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Highlights</w:t>
      </w:r>
    </w:p>
    <w:p>
      <w:pPr>
        <w:spacing w:after="0" w:line="117"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For the three months ended September 30, 2019, our total oil equivalent production was 6.4 million BOE, and our average daily oil equivalent production was 69,645 BOE per day, of which 39,776 Bbl per day, or 57%, was oil and 179.2 MMcf per day, or 43%, was natural gas. Our oil production of</w:t>
      </w:r>
    </w:p>
    <w:p>
      <w:pPr>
        <w:ind w:right="20"/>
        <w:spacing w:after="0" w:line="269" w:lineRule="auto"/>
        <w:rPr>
          <w:sz w:val="20"/>
          <w:szCs w:val="20"/>
          <w:color w:val="auto"/>
        </w:rPr>
      </w:pPr>
      <w:r>
        <w:rPr>
          <w:rFonts w:ascii="Arial" w:cs="Arial" w:eastAsia="Arial" w:hAnsi="Arial"/>
          <w:sz w:val="17"/>
          <w:szCs w:val="17"/>
          <w:color w:val="auto"/>
        </w:rPr>
        <w:t>3.7 million Bbl for the three months ended September 30, 2019 increased 23% year-over-year from 3.0 million Bbl for the three months ended September 30, 2018. Our natural gas production of 16.5 Bcf for the three months ended September 30, 2019 increased 34% year-over-year from 12.3 Bcf for the three months ended September 30, 2018. For the nine months ended September 30, 2019, our total oil equivalent production was 17.4 million BOE, and our average daily oil equivalent production was 63,661 BOE per day, of which 37,039 Bbl per day, or 58%, was oil and 159.7 MMcf per day, or 42%, was natural gas. Our oil production of 10.1 million Bbl for the nine months ended September 30, 2019 increased 25% year-over-year from 8.1 million Bbl for the nine months ended September 30, 2018. Our natural gas production of 43.6 Bcf for the nine months ended September 30, 2019 increased 24% year-over-year from 35.1 Bcf for the nine months ended September 30, 2018.</w:t>
      </w:r>
    </w:p>
    <w:p>
      <w:pPr>
        <w:spacing w:after="0" w:line="73"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For the third quarter of 2019, we reported net income attributable to Matador shareholders of approximately $44.0 million, or $0.38 per diluted common share, on a generally accepted accounting principles in the United States (“GAAP”) basis, as compared to net income attributable to Matador shareholders of $17.8 million, or $0.15 per diluted common share, for the third quarter of 2018. For the third quarter of 2019, our Adjusted EBITDA attributable to Matador shareholders (“Adjusted EBITDA”), a non-GAAP financial measure, was $160.8 million, as compared to Adjusted EBITDA of $155.4 million during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third quarter of 2018. For a definition of Adjusted EBITDA and a reconciliation of Adjusted EBITDA to our net income and net cash provided by operating activities, see “— Liquidity and Capital Resources — Non-GAAP Financial Measures.” For more information regarding our financial results for the third quarter of 2019, see “— Results of Operations” below.</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the nine months ended September 30, 2019, we reported net income attributable to Matador shareholders of approximately $63.8 million, or $0.54 per diluted common share, on a GAAP basis, as compared to net income attributable to Matador shareholders of $137.5 million, or $1.21 per diluted common share, for the nine months ended September 30, 2018. For the nine months ended September 30, 2019, our Adjusted EBITDA, a non-GAAP financial measure, was $429.7 million, as compared to Adjusted EBITDA of $410.0 million during the nine months ended September 30, 2018. For a definition of Adjusted EBITDA and a reconciliation of Adjusted EBITDA to our net income and net cash provided by operating activities, see “— Liquidity and Capital Resources — Non-GAAP Financial Measures.” For more information regarding our financial results for the nine months ended September 30, 2019, see “— Results of Operations”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Update</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During the third quarter of 2019, we continued our focus on the exploration, delineation and development of our Delaware Basin acreage in Loving County, Texas and Lea and Eddy Counties, New Mexico. We began 2019 operating six drilling rigs in the Delaware Basin and continued to do so at September 30, 2019. During the third quarter of 2019, these six operated drilling rigs were deployed across our Delaware Basin asset areas. We expect to operate six rigs in the Delaware Basin throughout the remainder of 2019, with four rigs operating between the Rustler Breaks and Antelope Ridge asset areas, one rig operating in the Wolf and Jackson Trust asset areas and one rig operating in the Arrowhead, Ranger and Twin Lakes asset areas, although this rig is expected to operate primarily in the Stebbins area and surrounding leaseholds in the southern portion of the Arrowhead asset area (the “Greater Stebbins Area”) for the remainder of 2019.</w:t>
      </w:r>
    </w:p>
    <w:p>
      <w:pPr>
        <w:spacing w:after="0" w:line="8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During the third quarter of 2019, we received approval for six drilling permits in our western Antelope Ridge asset area from the Bureau of Land Management (“BLM”) and have initiated drilling operations on these “Rodney Robinson” wells. The 1,200 gross and net acre Rodney Robinson tract is one of the key tracts we acquired in the BLM New Mexico Oil and Gas Lease Sale in September 2018 (the “BLM Acquisition”). We are currently drilling these first six wells, all two-mile laterals, from two separate three-well pads. These wells are scheduled to be completed and turned to sales late in the first quarter of 2020.</w:t>
      </w:r>
    </w:p>
    <w:p>
      <w:pPr>
        <w:spacing w:after="0" w:line="8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During the third quarter of 2019, we did not conduct any operated drilling and completion activities on our leasehold properties in the Eagle Ford shale play in South Texas or in the Haynesville shale and Cotton Valley plays in Northwest Louisiana. We did participate in the drilling and completion of 11 gross (1.1 net) non-operated Haynesville shale wells that were turned to sales in the third quarter of 2019.</w:t>
      </w:r>
    </w:p>
    <w:p>
      <w:pPr>
        <w:spacing w:after="0" w:line="73"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We completed and turned to sales a total of 39 gross (22.6 net) wells in the Delaware Basin during the third quarter of 2019, including 27 gross (22.2 net) operated horizontal wells and 12 gross (0.4 net) non-operated horizontal wells. During the third quarter of 2019, we began producing oil and natural gas from a total of 17 gross (8.8 net) wells in the Antelope Ridge asset area, including 10 gross (8.7 net) operated wells and seven gross (0.1 net) non-operated wells. Of the 10 gross operated wells in the Antelope Ridge asset area, one was a Wolfcamp A-XY completion, four were Wolfcamp A-Lower completions, one was a Second Bone Spring completion, three were Third Bone Spring completions and one was a Brushy Canyon completion. In the Rustler Breaks asset area, we began producing oil and natural gas from a total of 14 gross (8.9 net) wells, including 10 gross (8.6 net) operated wells and four gross (0.3 net) non-operated wells. Of the 10 gross operated wells in the Rustler Breaks asset area, five were Wolfcamp A-XY completions, one was a Wolfcamp A-Lower completion, three were Wolfcamp B completions and one was a First Bone Spring completion. In the Arrowhead asset area, we began producing oil and natural gas from a total of four gross (2.9 net) operated wells, of which two were Wolfcamp A-XY completions, one was a Second Bone Spring completion and one was a Third Bone Spring completion. In the Wolf and Jackson Trust asset areas, we began producing oil and natural gas from three gross (2.0 net) operated wells during the third quarter of 2019, including two Wolfcamp A-XY completions and one Wolfcamp A-Lower completion. In addition, we began producing oil and natural gas from one gross (less than 0.1 net) non-operated well in the Ranger asset area during the third quarter of 2019.</w:t>
      </w:r>
    </w:p>
    <w:p>
      <w:pPr>
        <w:spacing w:after="0" w:line="6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a result of our ongoing drilling and completion operations in these asset areas, our Delaware Basin production has continued to increase over the past 12 months. Our total Delaware Basin production for the third quarter of 2019 was 56,422 BOE per day, consisting of 36,421 Bbl of oil per day and 120.0 MMcf of natural gas per day, an 18% increase from production of 47,831 BOE per day, consisting of 29,931 Bbl of oil per day and 107.4 MMcf of natural gas per day, in the third quarter of 2018. The Delaware Basin contributed approximately 92% of our daily oil production and approximately 67% of our daily natural gas production in the third quarter of 2019, as compared to approximately 93% of our daily oil production and approximately 80% of our daily natural gas production in the third quarter of 2018.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 Update</w:t>
      </w:r>
    </w:p>
    <w:p>
      <w:pPr>
        <w:spacing w:after="0" w:line="117" w:lineRule="exact"/>
        <w:rPr>
          <w:sz w:val="20"/>
          <w:szCs w:val="20"/>
          <w:color w:val="auto"/>
        </w:rPr>
      </w:pPr>
    </w:p>
    <w:p>
      <w:pPr>
        <w:ind w:right="200" w:firstLine="392"/>
        <w:spacing w:after="0" w:line="302" w:lineRule="auto"/>
        <w:rPr>
          <w:sz w:val="20"/>
          <w:szCs w:val="20"/>
          <w:color w:val="auto"/>
        </w:rPr>
      </w:pPr>
      <w:r>
        <w:rPr>
          <w:rFonts w:ascii="Arial" w:cs="Arial" w:eastAsia="Arial" w:hAnsi="Arial"/>
          <w:sz w:val="16"/>
          <w:szCs w:val="16"/>
          <w:color w:val="auto"/>
        </w:rPr>
        <w:t>In October 2019, the lenders under our revolving credit agreement (the “Credit Agreement”), led by Royal Bank of Canada, completed their review of our proved oil and natural gas reserves at June 30, 2019, and as a result, the borrowing base was affirmed at $900.0 million with the elected borrowing commitment remaining at $500.0 million. This October 2019 redetermination constituted the regularly scheduled November 1 redetermination. Borrowings under the Credit Agreement are limited to the lowest of the borrowing base, the maximum facility amount and the elected borrowing commitment.</w:t>
      </w:r>
    </w:p>
    <w:p>
      <w:pPr>
        <w:spacing w:after="0" w:line="4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In October 2019, the lender commitments under San Mateo I’s revolving credit facility (the “San Mateo Credit Facility”), led by The Bank of Nova Scotia, were increased by $50.0 million to $375.0 million, using the accordion feature, which provides for potential increases to up to $400.0 million. The San Mateo Credit Facility is guaranteed by San Mateo I’s subsidiaries, secured by substantially all of San Mateo I’s assets, including real property, and is non-recourse with respect to Matador and its wholly-owned subsidiaries, as well as San Mateo II and its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Other than as discussed in Note 2 to the interim unaudited condensed consolidated financial statements in this Quarterly Report related to the adoption of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the amendments provided for in ASU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along with the adoption of ASU 2018-07, </w:t>
      </w:r>
      <w:r>
        <w:rPr>
          <w:rFonts w:ascii="Arial" w:cs="Arial" w:eastAsia="Arial" w:hAnsi="Arial"/>
          <w:sz w:val="17"/>
          <w:szCs w:val="17"/>
          <w:i w:val="1"/>
          <w:iCs w:val="1"/>
          <w:color w:val="auto"/>
        </w:rPr>
        <w:t>Compensation - Stock Compensation (Topic 718): Improvements to Nonemployee Share-Based Payment Accounting</w:t>
      </w:r>
      <w:r>
        <w:rPr>
          <w:rFonts w:ascii="Arial" w:cs="Arial" w:eastAsia="Arial" w:hAnsi="Arial"/>
          <w:sz w:val="17"/>
          <w:szCs w:val="17"/>
          <w:color w:val="auto"/>
        </w:rPr>
        <w:t>, there have been no changes to our critical accounting policies and estimates from those set forth in the Annual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See Note 2 to the interim unaudited condensed consolidated financial statements in this Quarterly Report for a summary of recent accounting pronouncements and the impact of the adoption of these pronouncements on our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revenues and production data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3"/>
        </w:trPr>
        <w:tc>
          <w:tcPr>
            <w:tcW w:w="4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2018</w:t>
            </w:r>
          </w:p>
        </w:tc>
      </w:tr>
      <w:tr>
        <w:trPr>
          <w:trHeight w:val="230"/>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Revenues (in thousands):</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Oil</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198,302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169,913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541,590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484,343</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w:t>
            </w:r>
          </w:p>
        </w:tc>
        <w:tc>
          <w:tcPr>
            <w:tcW w:w="1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122,912</w:t>
            </w:r>
          </w:p>
        </w:tc>
      </w:tr>
      <w:tr>
        <w:trPr>
          <w:trHeight w:val="237"/>
        </w:trPr>
        <w:tc>
          <w:tcPr>
            <w:tcW w:w="4840" w:type="dxa"/>
            <w:vAlign w:val="bottom"/>
          </w:tcPr>
          <w:p>
            <w:pPr>
              <w:ind w:left="720"/>
              <w:spacing w:after="0"/>
              <w:rPr>
                <w:sz w:val="20"/>
                <w:szCs w:val="20"/>
                <w:color w:val="auto"/>
              </w:rPr>
            </w:pPr>
            <w:r>
              <w:rPr>
                <w:rFonts w:ascii="Arial" w:cs="Arial" w:eastAsia="Arial" w:hAnsi="Arial"/>
                <w:sz w:val="18"/>
                <w:szCs w:val="18"/>
                <w:color w:val="auto"/>
              </w:rPr>
              <w:t>Total oil and natural gas revenues</w:t>
            </w:r>
          </w:p>
        </w:tc>
        <w:tc>
          <w:tcPr>
            <w:tcW w:w="16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229,377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216,282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633,706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607,255</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Third-party midstream services revenues</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13,284</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Sales of purchased natural gas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19,864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40,058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 - mineral acreage</w:t>
            </w:r>
          </w:p>
        </w:tc>
        <w:tc>
          <w:tcPr>
            <w:tcW w:w="1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Realized gain (loss) on derivatives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derivatives</w:t>
            </w:r>
          </w:p>
        </w:tc>
        <w:tc>
          <w:tcPr>
            <w:tcW w:w="1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(21,337)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r>
      <w:tr>
        <w:trPr>
          <w:trHeight w:val="237"/>
        </w:trPr>
        <w:tc>
          <w:tcPr>
            <w:tcW w:w="4840" w:type="dxa"/>
            <w:vAlign w:val="bottom"/>
          </w:tcPr>
          <w:p>
            <w:pPr>
              <w:ind w:left="1140"/>
              <w:spacing w:after="0"/>
              <w:rPr>
                <w:sz w:val="20"/>
                <w:szCs w:val="20"/>
                <w:color w:val="auto"/>
              </w:rPr>
            </w:pPr>
            <w:r>
              <w:rPr>
                <w:rFonts w:ascii="Arial" w:cs="Arial" w:eastAsia="Arial" w:hAnsi="Arial"/>
                <w:sz w:val="18"/>
                <w:szCs w:val="18"/>
                <w:color w:val="auto"/>
              </w:rPr>
              <w:t>Total revenues</w:t>
            </w:r>
          </w:p>
        </w:tc>
        <w:tc>
          <w:tcPr>
            <w:tcW w:w="16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279,402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207,178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694,995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609,725</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Net Production Volumes:</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70"/>
        </w:trPr>
        <w:tc>
          <w:tcPr>
            <w:tcW w:w="4840" w:type="dxa"/>
            <w:vAlign w:val="bottom"/>
          </w:tcPr>
          <w:p>
            <w:pPr>
              <w:ind w:left="380"/>
              <w:spacing w:after="0" w:line="270" w:lineRule="exact"/>
              <w:rPr>
                <w:sz w:val="20"/>
                <w:szCs w:val="20"/>
                <w:color w:val="auto"/>
              </w:rPr>
            </w:pPr>
            <w:r>
              <w:rPr>
                <w:rFonts w:ascii="Arial" w:cs="Arial" w:eastAsia="Arial" w:hAnsi="Arial"/>
                <w:sz w:val="18"/>
                <w:szCs w:val="18"/>
                <w:color w:val="auto"/>
              </w:rPr>
              <w:t>Oil (MBbl)</w:t>
            </w:r>
            <w:r>
              <w:rPr>
                <w:rFonts w:ascii="Arial" w:cs="Arial" w:eastAsia="Arial" w:hAnsi="Arial"/>
                <w:sz w:val="25"/>
                <w:szCs w:val="25"/>
                <w:color w:val="auto"/>
                <w:vertAlign w:val="superscript"/>
              </w:rPr>
              <w:t>(2)</w:t>
            </w: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8,061</w:t>
            </w:r>
          </w:p>
        </w:tc>
      </w:tr>
      <w:tr>
        <w:trPr>
          <w:trHeight w:val="270"/>
        </w:trPr>
        <w:tc>
          <w:tcPr>
            <w:tcW w:w="48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(Bcf)</w:t>
            </w:r>
            <w:r>
              <w:rPr>
                <w:rFonts w:ascii="Arial" w:cs="Arial" w:eastAsia="Arial" w:hAnsi="Arial"/>
                <w:sz w:val="25"/>
                <w:szCs w:val="25"/>
                <w:color w:val="auto"/>
                <w:vertAlign w:val="superscript"/>
              </w:rPr>
              <w:t>(3)</w:t>
            </w:r>
          </w:p>
        </w:tc>
        <w:tc>
          <w:tcPr>
            <w:tcW w:w="1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70"/>
        </w:trPr>
        <w:tc>
          <w:tcPr>
            <w:tcW w:w="4840" w:type="dxa"/>
            <w:vAlign w:val="bottom"/>
          </w:tcPr>
          <w:p>
            <w:pPr>
              <w:ind w:left="760"/>
              <w:spacing w:after="0" w:line="270" w:lineRule="exact"/>
              <w:rPr>
                <w:sz w:val="20"/>
                <w:szCs w:val="20"/>
                <w:color w:val="auto"/>
              </w:rPr>
            </w:pPr>
            <w:r>
              <w:rPr>
                <w:rFonts w:ascii="Arial" w:cs="Arial" w:eastAsia="Arial" w:hAnsi="Arial"/>
                <w:sz w:val="18"/>
                <w:szCs w:val="18"/>
                <w:color w:val="auto"/>
              </w:rPr>
              <w:t>Total oil equivalent (MBOE)</w:t>
            </w:r>
            <w:r>
              <w:rPr>
                <w:rFonts w:ascii="Arial" w:cs="Arial" w:eastAsia="Arial" w:hAnsi="Arial"/>
                <w:sz w:val="25"/>
                <w:szCs w:val="25"/>
                <w:color w:val="auto"/>
                <w:vertAlign w:val="superscript"/>
              </w:rPr>
              <w:t>(4)</w:t>
            </w: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17,379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13,917</w:t>
            </w:r>
          </w:p>
        </w:tc>
      </w:tr>
      <w:tr>
        <w:trPr>
          <w:trHeight w:val="270"/>
        </w:trPr>
        <w:tc>
          <w:tcPr>
            <w:tcW w:w="4840" w:type="dxa"/>
            <w:vAlign w:val="bottom"/>
            <w:shd w:val="clear" w:color="auto" w:fill="CCEEFF"/>
          </w:tcPr>
          <w:p>
            <w:pPr>
              <w:ind w:left="760"/>
              <w:spacing w:after="0" w:line="270" w:lineRule="exact"/>
              <w:rPr>
                <w:sz w:val="20"/>
                <w:szCs w:val="20"/>
                <w:color w:val="auto"/>
              </w:rPr>
            </w:pPr>
            <w:r>
              <w:rPr>
                <w:rFonts w:ascii="Arial" w:cs="Arial" w:eastAsia="Arial" w:hAnsi="Arial"/>
                <w:sz w:val="18"/>
                <w:szCs w:val="18"/>
                <w:color w:val="auto"/>
              </w:rPr>
              <w:t>Average daily production (BOE/d)</w:t>
            </w:r>
            <w:r>
              <w:rPr>
                <w:rFonts w:ascii="Arial" w:cs="Arial" w:eastAsia="Arial" w:hAnsi="Arial"/>
                <w:sz w:val="25"/>
                <w:szCs w:val="25"/>
                <w:color w:val="auto"/>
                <w:vertAlign w:val="superscript"/>
              </w:rPr>
              <w:t>(5)</w:t>
            </w:r>
          </w:p>
        </w:tc>
        <w:tc>
          <w:tcPr>
            <w:tcW w:w="1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69,645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54,625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63,661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50,979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Average Sales Prices:</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without realized derivatives (per Bbl)</w:t>
            </w:r>
          </w:p>
        </w:tc>
        <w:tc>
          <w:tcPr>
            <w:tcW w:w="19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60.08</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Oil, with realized derivatives (per Bbl)</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54.29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59.91</w:t>
            </w:r>
          </w:p>
        </w:tc>
      </w:tr>
      <w:tr>
        <w:trPr>
          <w:trHeight w:val="27"/>
        </w:trPr>
        <w:tc>
          <w:tcPr>
            <w:tcW w:w="4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without realized derivatives (per Mcf)</w:t>
            </w:r>
          </w:p>
        </w:tc>
        <w:tc>
          <w:tcPr>
            <w:tcW w:w="19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Natural gas, with realized derivatives (per Mcf)</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_________________</w:t>
            </w: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459"/>
        </w:trPr>
        <w:tc>
          <w:tcPr>
            <w:tcW w:w="4840" w:type="dxa"/>
            <w:vAlign w:val="bottom"/>
          </w:tcPr>
          <w:p>
            <w:pPr>
              <w:spacing w:after="0"/>
              <w:rPr>
                <w:sz w:val="24"/>
                <w:szCs w:val="24"/>
                <w:color w:val="auto"/>
              </w:rPr>
            </w:pPr>
          </w:p>
        </w:tc>
        <w:tc>
          <w:tcPr>
            <w:tcW w:w="1680" w:type="dxa"/>
            <w:vAlign w:val="bottom"/>
          </w:tcPr>
          <w:p>
            <w:pPr>
              <w:jc w:val="right"/>
              <w:ind w:right="63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0" w:right="20" w:hanging="332"/>
        <w:spacing w:after="0" w:line="273"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barrels of oil.</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billion cubic feet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thousand barrels of oil equivalent, estimated using a conversion ratio of one Bbl of oil per six Mcf of natural gas.</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Barrels of oil equivalent per day, estimated using a conversion ratio of one Bbl of oil per six Mcf of natural gas.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2019 as Compared to Three Months Ended September 30, 2018</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i w:val="1"/>
          <w:iCs w:val="1"/>
          <w:color w:val="auto"/>
        </w:rPr>
        <w:t xml:space="preserve">Oil and natural gas revenues. </w:t>
      </w:r>
      <w:r>
        <w:rPr>
          <w:rFonts w:ascii="Arial" w:cs="Arial" w:eastAsia="Arial" w:hAnsi="Arial"/>
          <w:sz w:val="16"/>
          <w:szCs w:val="16"/>
          <w:color w:val="auto"/>
        </w:rPr>
        <w:t>Our oil and natural gas revenues increased $13.1 million, or 6%, to $229.4 million for the three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2019, as compared to $216.3 million for the three months ended September 30, 2018. Our oil revenues increased $28.4 million, or 17%, to $198.3 million for the three months ended September 30, 2019, as compared to $169.9 million for the three months ended September 30, 2018. The increase in oil revenues resulted from the 23% increase in our oil production to 3.7 million Bbl of oil for the three months ended September 30, 2019, as compared to 3.0 million Bbl of oil for the three months ended September 30, 2018. The increase in oil production was primarily attributable to our ongoing delineation and development drilling activities in the Delaware Basin. This increase was partially offset by a lower weighted average oil price realized for the three months ended September 30, 2019 of $54.19 per Bbl, a decrease of 5% as compared to $57.15 per Bbl realized for the three months ended September 30, 2018. Our natural gas revenues decreased by $15.3 million, or 33%, to $31.1 million for the three months ended September 30, 2019, as compared to $46.4 million for the three months ended September 30, 2018. The decrease in natural gas revenues resulted from a 50% decrease in realized natural gas prices to $1.88 per Mcf for the three months ended September 30, 2019, as compared to $3.77 per Mcf realized for the three months ended September 30, 2018. This decrease was partially offset by the 34% increase in our natural gas production to 16.5 Bcf for the three months ended September 30, 2019, as compared to 12.3 Bcf for the three months ended September 30, 2018. The increase in natural gas production was primarily attributable to our ongoing delineation and development drilling activities in the Delaware Basin as well as from non-operated Haynesville shale wells completed and placed on production during the third quarter of 2019.</w:t>
      </w:r>
    </w:p>
    <w:p>
      <w:pPr>
        <w:spacing w:after="0" w:line="6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Third-party midstream services revenues. </w:t>
      </w:r>
      <w:r>
        <w:rPr>
          <w:rFonts w:ascii="Arial" w:cs="Arial" w:eastAsia="Arial" w:hAnsi="Arial"/>
          <w:sz w:val="17"/>
          <w:szCs w:val="17"/>
          <w:color w:val="auto"/>
        </w:rPr>
        <w:t>Our third-party midstream services revenues increased $8.4 million, or more than two-fold, to $15.3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30, 2019, as compared to $6.8 million for the three months ended September 30, 2018. Third-party midstream services revenues are those revenues from midstream operations related to third parties, including working interest owners in our operated wells. This increase was primarily attributable to (i) an increase in our third-party salt water gathering and disposal revenues to approximately $6.7 million for the three months ended September 30, 2019, as compared to approximately $3.3 million for the three months ended September 30, 2018, and (ii) an increase in our third-party natural gas gathering, transportation and processing revenues to approximately $6.7 million for the three months ended September 30, 2019, as compared to $2.6 million for the three months ended September 30, 2018.</w:t>
      </w:r>
    </w:p>
    <w:p>
      <w:pPr>
        <w:spacing w:after="0" w:line="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i w:val="1"/>
          <w:iCs w:val="1"/>
          <w:color w:val="auto"/>
        </w:rPr>
        <w:t xml:space="preserve">Sales of purchased natural gas. </w:t>
      </w:r>
      <w:r>
        <w:rPr>
          <w:rFonts w:ascii="Arial" w:cs="Arial" w:eastAsia="Arial" w:hAnsi="Arial"/>
          <w:sz w:val="17"/>
          <w:szCs w:val="17"/>
          <w:color w:val="auto"/>
        </w:rPr>
        <w:t>Our sales of purchased natural gas were $19.9 million for the three months ended September 30, 2019. We had no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purchased natural gas for the three months ended September 30, 2018. Sales of purchased natural gas primarily reflect those natural gas purchase transactions that we periodically enter into with third parties whereby we purchase natural gas, process the natural gas at the Black River cryogenic natural gas processing plant in Eddy County, New Mexico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 of operations.</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 xml:space="preserve">Lease bonus - mineral acreage. </w:t>
      </w:r>
      <w:r>
        <w:rPr>
          <w:rFonts w:ascii="Arial" w:cs="Arial" w:eastAsia="Arial" w:hAnsi="Arial"/>
          <w:sz w:val="17"/>
          <w:szCs w:val="17"/>
          <w:color w:val="auto"/>
        </w:rPr>
        <w:t>Our lease bonus - mineral acreage revenues were $1.7 million for the three months ended September 30, 2019. We had</w:t>
      </w:r>
      <w:r>
        <w:rPr>
          <w:rFonts w:ascii="Arial" w:cs="Arial" w:eastAsia="Arial" w:hAnsi="Arial"/>
          <w:sz w:val="17"/>
          <w:szCs w:val="17"/>
          <w:i w:val="1"/>
          <w:iCs w:val="1"/>
          <w:color w:val="auto"/>
        </w:rPr>
        <w:t xml:space="preserve"> </w:t>
      </w:r>
      <w:r>
        <w:rPr>
          <w:rFonts w:ascii="Arial" w:cs="Arial" w:eastAsia="Arial" w:hAnsi="Arial"/>
          <w:sz w:val="17"/>
          <w:szCs w:val="17"/>
          <w:color w:val="auto"/>
        </w:rPr>
        <w:t>no lease bonus revenues for the three months ended September 30, 2018. Lease bonus - mineral acreage revenues reflect the payments we receive to enter into or extend leases to third-party lessees to develop the oil and natural gas attributable to certain of our mineral interests.</w:t>
      </w:r>
    </w:p>
    <w:p>
      <w:pPr>
        <w:spacing w:after="0" w:line="57"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i w:val="1"/>
          <w:iCs w:val="1"/>
          <w:color w:val="auto"/>
        </w:rPr>
        <w:t xml:space="preserve">Realized gain (loss) on derivatives. </w:t>
      </w:r>
      <w:r>
        <w:rPr>
          <w:rFonts w:ascii="Arial" w:cs="Arial" w:eastAsia="Arial" w:hAnsi="Arial"/>
          <w:sz w:val="16"/>
          <w:szCs w:val="16"/>
          <w:color w:val="auto"/>
        </w:rPr>
        <w:t>Our realized net gain on derivatives was $3.3 million for the three months ended September 30, 2019,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 realized net gain of $5.4 million for the three months ended September 30, 2018. We realized a net gain of $2.3 million related to our oil costless collar contracts for the three months ended September 30, 2019, resulting from oil prices that were below the floor prices of certain of our oil costless collar contracts. We realized a net gain of $0.5 million related to our oil basis swap contracts for the three months ended September 30, 2019, resulting from oil basis prices that were below the fixed prices of certain of our oil basis swap contracts. We realized an average gain on our oil derivatives contracts of approximately $0.78 per Bbl produced during the three months ended September 30, 2019, as compared to an average gain of approximately $1.82 per Bbl produced during the three months ended September 30, 2018. Our total oil volumes hedged for the three months ended September 30, 2019 represented 62% of our total oil production, as compared to 47% of our total oil production for the three months ended September 30, 2018. We realized a net gain of $0.5 million related to our natural gas costless collar contracts for the three months ended September 30, 2019, resulting from natural gas prices that were below the floor prices of certain of our natural gas costless collar contracts. We realized an average gain on our natural gas derivative contracts of $0.03 per Mcf produced during the three months ended September 30, 2019, as compared to no gain or loss realized on our natural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gas costless collar contracts for the three months ended September 30, 2018. Our total natural gas volumes hedged for the three months ended September 30, 2019 represented 11% of our total natural gas production, as compared to 34% of our total natural gas production for the three months ended September 30, 2018.</w:t>
      </w:r>
    </w:p>
    <w:p>
      <w:pPr>
        <w:spacing w:after="0" w:line="7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i w:val="1"/>
          <w:iCs w:val="1"/>
          <w:color w:val="auto"/>
        </w:rPr>
        <w:t xml:space="preserve">Unrealized gain (loss) on derivatives. </w:t>
      </w:r>
      <w:r>
        <w:rPr>
          <w:rFonts w:ascii="Arial" w:cs="Arial" w:eastAsia="Arial" w:hAnsi="Arial"/>
          <w:sz w:val="16"/>
          <w:szCs w:val="16"/>
          <w:color w:val="auto"/>
        </w:rPr>
        <w:t>Our unrealized net gain on derivatives was $9.8 million for the three months ended September 30,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unrealized net loss of $21.3 million for the three months ended September 30, 2018. During the three months ended September 30, 2019, the net fair value of our open oil and natural gas derivative contracts increased to a net asset of $20.1 million from a net asset of $10.3 million at June 30, 2019, resulting in an unrealized gain on derivatives of $9.8 million for the three months ended September 30, 2019. During the three months ended September 30, 2018, the net fair value of our open oil and natural gas derivative contracts decreased to a net liability of $24.7 million from a net liability of $3.4 million at June 30, 2018, resulting in an unrealized loss on derivatives of $21.3 million for the three months ended September 30, 2018.</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Nine Months Ended September 30, 2019 as Compared to Nine Months Ended September 30, 2018</w:t>
      </w:r>
    </w:p>
    <w:p>
      <w:pPr>
        <w:spacing w:after="0" w:line="117"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i w:val="1"/>
          <w:iCs w:val="1"/>
          <w:color w:val="auto"/>
        </w:rPr>
        <w:t xml:space="preserve">Oil and natural gas revenues. </w:t>
      </w:r>
      <w:r>
        <w:rPr>
          <w:rFonts w:ascii="Arial" w:cs="Arial" w:eastAsia="Arial" w:hAnsi="Arial"/>
          <w:sz w:val="17"/>
          <w:szCs w:val="17"/>
          <w:color w:val="auto"/>
        </w:rPr>
        <w:t>Our oil and natural gas revenues increased $26.5 million, or 4%, to $633.7 million for the nine months ended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as compared to $607.3 million for the nine months ended September 30, 2018. Our oil revenues increased $57.2 million, or 12%, to $541.6 million for the nine months ended September 30, 2019, as compared to $484.3 million for the nine months ended September 30, 2018. This increase in our oil revenues resulted from the 25% increase in our oil production to 10.1 million Bbl of oil for the nine months ended September 30, 2019, as compared to 8.1 million Bbl of oil for the nine months ended September 30, 2018. The increase in oil production was primarily attributable to our ongoing delineation and development drilling activities in the Delaware Basin. This increase was partially offset by a lower weighted average oil price realized for the nine months ended September 30, 2019 of $53.56 per Bbl, a decrease of 11% as compared to $60.08 per Bbl realized for the nine months ended September 30, 2018. Our natural gas revenues decreased by $30.8 million, or 25%, to $92.1 million for the nine months ended September 30, 2019, as compared to $122.9 million for the nine months ended September 30, 2018. The decrease in natural gas revenues resulted from a lower weighted average natural gas price realized for the nine months ended September 30, 2019 of $2.11 per Mcf, a decrease of 40% as compared to $3.50 per Mcf realized for the nine months ended September 30, 2018. This decrease was partially offset by the 24% increase in our natural gas production to 43.6 Bcf for the nine months ended September 30, 2019, as compared to 35.1 Bcf for the nine months ended September 30, 2018. The increase in natural gas production was primarily attributable to our ongoing delineation and development drilling activities in the Delaware Basin as well as from non-operated Haynesville shale wells completed and placed on production during the third quarter of 2019.</w:t>
      </w:r>
    </w:p>
    <w:p>
      <w:pPr>
        <w:spacing w:after="0" w:line="77"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i w:val="1"/>
          <w:iCs w:val="1"/>
          <w:color w:val="auto"/>
        </w:rPr>
        <w:t xml:space="preserve">Third-party midstream services revenues. </w:t>
      </w:r>
      <w:r>
        <w:rPr>
          <w:rFonts w:ascii="Arial" w:cs="Arial" w:eastAsia="Arial" w:hAnsi="Arial"/>
          <w:sz w:val="16"/>
          <w:szCs w:val="16"/>
          <w:color w:val="auto"/>
        </w:rPr>
        <w:t>Our third-party midstream services revenues increased $28.2 million to $41.5 million, or just over three-fold,</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nine months ended September 30, 2019, as compared to $13.3 million for the nine months ended September 30, 2018. This increase was primarily attributable to (i) an increase in our third-party salt water gathering and disposal revenues to approximately $18.7 million for the nine months ended September 30, 2019, as compared to approximately $6.3 million for the nine months ended September 30, 2018, (ii) an increase in natural gas gathering, transportation and processing revenues to approximately $17.7 million for the nine months ended September 30, 2019, as compared to $6.8 million for the nine months ended September 30, 2018, and (iii) an increase in our third-party oil transportation revenues to approximately $5.0 million for the nine months ended September 30, 2019, as compared to $0.2 million for the nine months ended September 30, 2018.</w:t>
      </w:r>
    </w:p>
    <w:p>
      <w:pPr>
        <w:spacing w:after="0" w:line="5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Our sales of purchased natural gas were $40.1 million for the nine months ended September 30, 2019. We had no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purchased natural gas for the nine months ended September 30, 2018.</w:t>
      </w:r>
    </w:p>
    <w:p>
      <w:pPr>
        <w:spacing w:after="0" w:line="6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Lease bonus - mineral acreage. </w:t>
      </w:r>
      <w:r>
        <w:rPr>
          <w:rFonts w:ascii="Arial" w:cs="Arial" w:eastAsia="Arial" w:hAnsi="Arial"/>
          <w:sz w:val="18"/>
          <w:szCs w:val="18"/>
          <w:color w:val="auto"/>
        </w:rPr>
        <w:t>Our lease bonus - mineral acreage revenues were $1.7 million for the nine months ended September 30, 2019. We had</w:t>
      </w:r>
      <w:r>
        <w:rPr>
          <w:rFonts w:ascii="Arial" w:cs="Arial" w:eastAsia="Arial" w:hAnsi="Arial"/>
          <w:sz w:val="18"/>
          <w:szCs w:val="18"/>
          <w:i w:val="1"/>
          <w:iCs w:val="1"/>
          <w:color w:val="auto"/>
        </w:rPr>
        <w:t xml:space="preserve"> </w:t>
      </w:r>
      <w:r>
        <w:rPr>
          <w:rFonts w:ascii="Arial" w:cs="Arial" w:eastAsia="Arial" w:hAnsi="Arial"/>
          <w:sz w:val="18"/>
          <w:szCs w:val="18"/>
          <w:color w:val="auto"/>
        </w:rPr>
        <w:t>no lease bonus revenues for the nine months ended September 30, 2018.</w:t>
      </w:r>
    </w:p>
    <w:p>
      <w:pPr>
        <w:spacing w:after="0" w:line="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i w:val="1"/>
          <w:iCs w:val="1"/>
          <w:color w:val="auto"/>
        </w:rPr>
        <w:t xml:space="preserve">Realized gain (loss) on derivatives. </w:t>
      </w:r>
      <w:r>
        <w:rPr>
          <w:rFonts w:ascii="Arial" w:cs="Arial" w:eastAsia="Arial" w:hAnsi="Arial"/>
          <w:sz w:val="17"/>
          <w:szCs w:val="17"/>
          <w:color w:val="auto"/>
        </w:rPr>
        <w:t>Our realized net gain on derivatives was $7.8 million for the nine months ended September 30, 2019,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a realized net loss of $1.3 million for the nine months ended September 30, 2018. We realized a net gain of $6.9 million related to our oil costless collar contracts for the nine months ended September 30, 2019, resulting from oil prices that were below the floor prices of certain of our oil costless collar contracts. We realized a net gain of $0.5 million related to our oil basis swap contracts for the nine months ended September 30, 2019, resulting from oil basis prices that were below the fixed prices of certain of our oil basis swaps contracts. We realized a net gain of $0.4 million related to our natural gas costless collar contracts for the nine months ended September 30, 2019, resulting from natural gas prices that were below the floor prices of certain of our natural gas costless collar contracts. We realized net losses of $1.3 million from our oil and natural gas derivative contracts for the nine months ended September 30, 2018, primarily resulting from oil prices that were above the short call/ceiling prices of certain of our oil costless collar contracts. We realized an average gain on our oil derivatives of approximately $0.73 per Bbl produced during the nine months ended September 30, 2019, as compared to an average loss of $0.17 per Bbl produced during the nine months ended September 30, 2018. Our total oil volumes hedged for the nine months ended September 30, 2019 represented 59% of our total oil production, as compared to 50% of our total oil production for the nine months ended September 30, 2018. Our total natural gas volumes hedged for the nine months ended September 30, 2019 represented 12% of our total natural gas production, as compared to 36% of our total natural gas production for the nine months ended September 30,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i w:val="1"/>
          <w:iCs w:val="1"/>
          <w:color w:val="auto"/>
        </w:rPr>
        <w:t xml:space="preserve">Unrealized gain (loss) on derivatives. </w:t>
      </w:r>
      <w:r>
        <w:rPr>
          <w:rFonts w:ascii="Arial" w:cs="Arial" w:eastAsia="Arial" w:hAnsi="Arial"/>
          <w:sz w:val="16"/>
          <w:szCs w:val="16"/>
          <w:color w:val="auto"/>
        </w:rPr>
        <w:t>Our unrealized net loss on derivatives was $29.7 million for the nine months ended September 30,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unrealized net loss of $9.5 million for the nine months ended September 30, 2018. During the period from December 31, 2018 through September 30, 2019, the aggregate net fair value of our open oil and natural gas derivative contracts decreased to a net asset of approximately $20.1 million from a net asset of approximately $49.8 million, resulting in an unrealized loss on derivatives of approximately $29.7 million for the nine months ended September 30, 2019. During the period from December 31, 2017 through September 30, 2018, the aggregate net fair value of our open oil and natural gas derivative contracts decreased from a net liability of approximately $15.2 million to a net liability of approximately $24.7 million, resulting in an unrealized loss on derivatives of approximately $9.5 million for the nine months ended September 30, 2018.</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unaudited operating expenses and other income (expense) for the periods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expenses per BOE)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2018</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1"/>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58,116</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29,714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87,228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69,685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17,187</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Purchased natural gas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35,414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192,664</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58,547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55,739</w:t>
            </w:r>
          </w:p>
        </w:tc>
      </w:tr>
      <w:tr>
        <w:trPr>
          <w:trHeight w:val="237"/>
        </w:trPr>
        <w:tc>
          <w:tcPr>
            <w:tcW w:w="6520" w:type="dxa"/>
            <w:vAlign w:val="bottom"/>
          </w:tcPr>
          <w:p>
            <w:pPr>
              <w:ind w:left="11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193,300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139,325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524,564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394,517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215,208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loss on asset sales and inventory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(26,835)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(32,202)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(32,501)</w:t>
            </w:r>
          </w:p>
        </w:tc>
      </w:tr>
      <w:tr>
        <w:trPr>
          <w:trHeight w:val="237"/>
        </w:trPr>
        <w:tc>
          <w:tcPr>
            <w:tcW w:w="6520" w:type="dxa"/>
            <w:vAlign w:val="bottom"/>
          </w:tcPr>
          <w:p>
            <w:pPr>
              <w:ind w:left="1140"/>
              <w:spacing w:after="0"/>
              <w:rPr>
                <w:sz w:val="20"/>
                <w:szCs w:val="20"/>
                <w:color w:val="auto"/>
              </w:rPr>
            </w:pPr>
            <w:r>
              <w:rPr>
                <w:rFonts w:ascii="Arial" w:cs="Arial" w:eastAsia="Arial" w:hAnsi="Arial"/>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(42,738)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(55,756)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(59,532)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114,675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155,676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25,335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(18,182)</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43,953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63,758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137,494</w:t>
            </w: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Expenses per BOE: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Production taxes, transportation and processing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Lease operating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Plant and other midstream services operating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Depletion, 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43"/>
        </w:trPr>
        <w:tc>
          <w:tcPr>
            <w:tcW w:w="652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4.00</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Three Months Ended September 30, 2019 as Compared to Three Months Ended September 30, 2018</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Production taxes, transportation and processing. </w:t>
      </w:r>
      <w:r>
        <w:rPr>
          <w:rFonts w:ascii="Arial" w:cs="Arial" w:eastAsia="Arial" w:hAnsi="Arial"/>
          <w:sz w:val="17"/>
          <w:szCs w:val="17"/>
          <w:color w:val="auto"/>
        </w:rPr>
        <w:t>Our production taxes, transportation and processing expenses increased $4.5 million, or 22%, to $24.8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2019, as compared to $20.2 million for the three months ended September 30, 2018. This increase was primarily attributable to the $4.2 million increase in transportation and processing fees to $8.5 million for the three months ended September 30, 2019, as compared to $4.3 million for the three months ended September 30, 2018, principally due to the 34% increase in our natural gas production to 16.5 Bcf of natural gas for the three months ended September 30, 2019, as compared to 12.3 Bcf of natural gas for the three months ended September 30, 2018. On a unit-of-production basis, our production taxes, transportation and processing expenses decreased 4% to $3.86 per BOE for the three months ended September 30, 2019, as compared to $4.02 per BOE for the three months ended September 30, 2018. This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decrease was primarily attributable to lower production taxes on a per unit basis as a result of the decrease in the weighted average oil and natural gas prices realized between the two periods.</w:t>
      </w:r>
    </w:p>
    <w:p>
      <w:pPr>
        <w:spacing w:after="0" w:line="62"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i w:val="1"/>
          <w:iCs w:val="1"/>
          <w:color w:val="auto"/>
        </w:rPr>
        <w:t xml:space="preserve">Lease operating. </w:t>
      </w:r>
      <w:r>
        <w:rPr>
          <w:rFonts w:ascii="Arial" w:cs="Arial" w:eastAsia="Arial" w:hAnsi="Arial"/>
          <w:sz w:val="16"/>
          <w:szCs w:val="16"/>
          <w:color w:val="auto"/>
        </w:rPr>
        <w:t>Our lease operating expenses increased $7.2 million, or 32%, to $29.7 million for the three months ended September 30,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$22.5 million for the three months ended September 30, 2018. On a unit-of-production basis, our lease operating expenses increased 4% to $4.64 per BOE for the three months ended September 30, 2019, as compared to $4.48 per BOE for the three months ended September 30, 2018. These increases were largely attributable to increases in compression, repairs and maintenance and equipment rental expenses of approximately $3.9 million, as well as an increase in salt water disposal expenses of approximately $0.8 million for wells where we do not yet have connections to salt water disposal pipelines.</w:t>
      </w:r>
    </w:p>
    <w:p>
      <w:pPr>
        <w:spacing w:after="0" w:line="50" w:lineRule="exact"/>
        <w:rPr>
          <w:sz w:val="20"/>
          <w:szCs w:val="20"/>
          <w:color w:val="auto"/>
        </w:rPr>
      </w:pPr>
    </w:p>
    <w:p>
      <w:pPr>
        <w:jc w:val="both"/>
        <w:ind w:right="380" w:firstLine="432"/>
        <w:spacing w:after="0" w:line="297" w:lineRule="auto"/>
        <w:rPr>
          <w:sz w:val="20"/>
          <w:szCs w:val="20"/>
          <w:color w:val="auto"/>
        </w:rPr>
      </w:pPr>
      <w:r>
        <w:rPr>
          <w:rFonts w:ascii="Arial" w:cs="Arial" w:eastAsia="Arial" w:hAnsi="Arial"/>
          <w:sz w:val="16"/>
          <w:szCs w:val="16"/>
          <w:i w:val="1"/>
          <w:iCs w:val="1"/>
          <w:color w:val="auto"/>
        </w:rPr>
        <w:t xml:space="preserve">Plant and other midstream services operating. </w:t>
      </w:r>
      <w:r>
        <w:rPr>
          <w:rFonts w:ascii="Arial" w:cs="Arial" w:eastAsia="Arial" w:hAnsi="Arial"/>
          <w:sz w:val="16"/>
          <w:szCs w:val="16"/>
          <w:color w:val="auto"/>
        </w:rPr>
        <w:t>Our plant and other midstream services operating expenses increased $1.5 million, or 21%, to $8.8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2019, as compared to $7.3 million for the three months ended September 30, 2018. This increase was primarily attributable to increased expenses associated with our expanded commercial salt water disposal operations of $4.8 million for the three months ended September 30, 2019, as compared to $3.7 million for the three months ended September 30, 2018, and increased expenses associated with pipeline operations of $2.0 million for the three months ended September 30, 2019, as compared to $1.5 million for the three months ended September 30, 2018.</w:t>
      </w:r>
    </w:p>
    <w:p>
      <w:pPr>
        <w:spacing w:after="0" w:line="5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$22.0 million, or 31%, to $92.5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2019, as compared to $70.5 million for the three months ended September 30, 2018. On a unit-of-production basis, our depletion, depreciation and amortization expenses increased 3% to $14.44 per BOE for the three months ended September 30, 2019, as compared to $14.02 per BOE for the three months ended September 30, 2018. These increases were primarily attributable to (i) the 28% increase in our total oil equivalent production to 6.4 million BOE for the three months ended September 30, 2019, as compared to 5.0 million BOE for the three months ended September 30, 2018, and (ii) increased depreciation expenses attributable to our midstream segment to approximately $4.1 million for the three months ended September 30, 2019, as compared to $2.6 million for the three months ended September 30, 2018. On a unit-of-production basis, the impact of the increases in total oil equivalent production and midstream depreciation expenses was largely offset by higher total proved oil and natural gas reserves at September 30, 2019, as compared to September 30, 2018, primarily attributable to our ongoing delineation and development activities in the Delaware Basin.</w:t>
      </w:r>
    </w:p>
    <w:p>
      <w:pPr>
        <w:spacing w:after="0" w:line="59"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$1.9 million, or 11%, to $20.4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as compared to $18.4 million for the three months ended September 30, 2018. This increase was primarily attributable to increased payroll and related expenses. Primarily as a result of the 28% increase in oil and natural gas production for the three months ended September 30, 2019, as compared to the three months ended September 30, 2018, our general and administrative expenses decreased 13% on a unit-of-production basis to $3.18 per BOE for the three months ended September 30, 2019, as compared to $3.67 per BOE for the three months ended September 30, 2018.</w:t>
      </w:r>
    </w:p>
    <w:p>
      <w:pPr>
        <w:spacing w:after="0" w:line="5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three months ended September 30, 2019, we incurred total interest expense of approximately $20.9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$2.7 million of our interest expense on certain qualifying projects for the three months ended September 30, 2019 and expensed the remaining $18.2 million to operations. For the three months ended September 30, 2018, we incurred total interest expense of approximately $12.1 million. We capitalized approximately $1.7 million of our interest expense on certain qualifying projects for the three months ended September 30, 2018 and expensed the remaining $10.3 million to operations.</w:t>
      </w:r>
    </w:p>
    <w:p>
      <w:pPr>
        <w:spacing w:after="0" w:line="8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i w:val="1"/>
          <w:iCs w:val="1"/>
          <w:color w:val="auto"/>
        </w:rPr>
        <w:t xml:space="preserve">Total income tax provision. </w:t>
      </w:r>
      <w:r>
        <w:rPr>
          <w:rFonts w:ascii="Arial" w:cs="Arial" w:eastAsia="Arial" w:hAnsi="Arial"/>
          <w:sz w:val="17"/>
          <w:szCs w:val="17"/>
          <w:color w:val="auto"/>
        </w:rPr>
        <w:t>We recorded a total income tax expense of $13.5 million for the three months ended September 30, 2019, which differs from</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computed by applying the U.S. federal statutory rate to pre-tax income primarily due to the impact of permanent differences between book and tax income. Due to a variety of factors, including our significant net income in 2017 and 2018, our federal valuation allowance and a portion of our state valuation allowance were reversed at December 31, 2018, as the deferred tax assets were determined to be more likely than not to be utilized. As a portion of our state net operating loss carryforwards are not expected to be utilized before expiration, a valuation allowance will continue to be recognized until the state deferred tax assets are determined to be more likely than not to be utilized. At September 30, 2018, our deferred tax assets exceeded our deferred tax liabilities due to the deferred tax amounts generated by full-cost ceiling impairment charges recorded in prior periods. As a result, we established a valuation allowance against the deferred tax assets beginning in the third quarter of 2015. We retained a full valuation allowance at September 30, 2018 due to uncertainties regarding the future realization of our deferred tax assets.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Nine Months Ended September 30, 2019 as Compared to Nine Months Ended September 30, 2018</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i w:val="1"/>
          <w:iCs w:val="1"/>
          <w:color w:val="auto"/>
        </w:rPr>
        <w:t xml:space="preserve">Production taxes, transportation and processing. </w:t>
      </w:r>
      <w:r>
        <w:rPr>
          <w:rFonts w:ascii="Arial" w:cs="Arial" w:eastAsia="Arial" w:hAnsi="Arial"/>
          <w:sz w:val="16"/>
          <w:szCs w:val="16"/>
          <w:color w:val="auto"/>
        </w:rPr>
        <w:t>Our production taxes, transportation and processing expenses increased $7.9 million, or 14%, to $66.0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2019, as compared to $58.1 million for the nine months ended September 30, 2018. This increase was primarily attributable to the $7.0 million increase in our transportation and processing expenses for the nine months ended September 30, 2019, as compared to the nine months ended September 30, 2018, principally due to the 24% increase in our natural gas production to 43.6 Bcf of natural gas for the nine months ended September 30, 2019, as compared to 35.1 Bcf of natural gas for the nine months ended September 30, 2018. On a unit-of-production basis, our production taxes, transportation and processing expenses decreased 9% to $3.80 per BOE for the nine months ended September 30, 2019, as compared to $4.18 per BOE for the nine months ended September 30, 2018. This decrease was primarily attributable to lower production taxes on a per unit basis as a result of the decrease in weighted average oil and natural gas prices realized between the two periods.</w:t>
      </w:r>
    </w:p>
    <w:p>
      <w:pPr>
        <w:spacing w:after="0" w:line="58"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 xml:space="preserve">Lease operating. </w:t>
      </w:r>
      <w:r>
        <w:rPr>
          <w:rFonts w:ascii="Arial" w:cs="Arial" w:eastAsia="Arial" w:hAnsi="Arial"/>
          <w:sz w:val="18"/>
          <w:szCs w:val="18"/>
          <w:color w:val="auto"/>
        </w:rPr>
        <w:t>Our lease operating expenses increased $17.5 million, or 25%, to $87.2 million for the nine months ended September 30,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$69.7 million for the nine months ended September 30, 2018. This increase was largely attributable to increases in compression, repairs and maintenance and equipment rental expenses of approximately $7.0 million, as well as an increase in salt water disposal expenses of approximately $3.0 million for wells where we do not yet have connections to salt water disposal pipelines. Our lease operating expenses on a unit-of-production basis remained essentially flat at $5.02 per BOE for the nine months ended September 30, 2019, as compared to $5.01 per BOE for the nine months ended September 30, 2018.</w:t>
      </w:r>
    </w:p>
    <w:p>
      <w:pPr>
        <w:spacing w:after="0" w:line="85"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i w:val="1"/>
          <w:iCs w:val="1"/>
          <w:color w:val="auto"/>
        </w:rPr>
        <w:t xml:space="preserve">Plant and other midstream services operating. </w:t>
      </w:r>
      <w:r>
        <w:rPr>
          <w:rFonts w:ascii="Arial" w:cs="Arial" w:eastAsia="Arial" w:hAnsi="Arial"/>
          <w:sz w:val="16"/>
          <w:szCs w:val="16"/>
          <w:color w:val="auto"/>
        </w:rPr>
        <w:t>Our plant and other midstream services operating expenses increased $9.4 million, or 55%, to $26.6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2019, as compared to $17.2 million for the nine months ended September 30, 2018. This increase was primarily attributable to (i) increased expenses associated with our expanded commercial salt water disposal operations of $12.9 million for the nine months ended September 30, 2019, as compared to $8.8 million for the nine months ended September 30, 2018, (ii) increased expenses associated with the Black River Processing Plant, which was expanded late in the first quarter of 2018, of $8.2 million for the nine months ended September 30, 2019, as compared to $5.3 million for the nine months ended September 30, 2018, and (iii) increased expenses associated with pipeline operations of $5.7 million for the nine months ended September 30, 2019, as compared to $3.1 million for the nine months ended September 30, 2018.</w:t>
      </w:r>
    </w:p>
    <w:p>
      <w:pPr>
        <w:spacing w:after="0" w:line="59"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i w:val="1"/>
          <w:iCs w:val="1"/>
          <w:color w:val="auto"/>
        </w:rPr>
        <w:t xml:space="preserve">Depletion, depreciation and amortization. </w:t>
      </w:r>
      <w:r>
        <w:rPr>
          <w:rFonts w:ascii="Arial" w:cs="Arial" w:eastAsia="Arial" w:hAnsi="Arial"/>
          <w:sz w:val="16"/>
          <w:szCs w:val="16"/>
          <w:color w:val="auto"/>
        </w:rPr>
        <w:t>Our depletion, depreciation and amortization expenses increased $56.8 million, or 29%, to $249.5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2019, as compared to $192.7 million for the nine months ended September 30, 2018. On a unit-of-production basis, our depletion, depreciation and amortization expenses increased 4% to $14.36 per BOE for the nine months ended September 30, 2019, as compared to $13.84 per BOE for the nine months ended September 30, 2018. These increases were primarily attributable to (i) the 25% increase in our total oil equivalent production to 17.4 million BOE for the nine months ended September 30, 2019, as compared to 13.9 million BOE for the nine months ended September 30, 2018, and (ii) the increase in depreciation expenses attributable to our midstream segment to approximately $11.6 million for the nine months ended September 30, 2019, as compared to $6.5 million for the nine months ended September 30, 2018. On a unit-of-production basis, the impact of the increases in total oil equivalent production and midstream depreciation expenses was largely offset by higher total proved oil and natural gas reserves at September 30, 2019, as compared to September 30, 2018, primarily attributable to our ongoing delineation and development activities in the Delaware Basin.</w:t>
      </w:r>
    </w:p>
    <w:p>
      <w:pPr>
        <w:spacing w:after="0" w:line="59" w:lineRule="exact"/>
        <w:rPr>
          <w:sz w:val="20"/>
          <w:szCs w:val="20"/>
          <w:color w:val="auto"/>
        </w:rPr>
      </w:pPr>
    </w:p>
    <w:p>
      <w:pPr>
        <w:ind w:right="220" w:firstLine="405"/>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$2.8 million, or 5%, to $58.5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as compared to $55.7 million for the nine months ended September 30, 2018. This increase was primarily attributable to increased payroll and related expenses. Primarily as a result of the 25% increase in total oil equivalent production for the nine months ended September 30, 2019, as compared to the nine months ended September 30, 2018, our general and administrative expenses decreased 16% on a unit-of-production basis to $3.37 per BOE for the nine months ended September 30, 2019, as compared to $4.00 per BOE for the nine months ended September 30, 2018.</w:t>
      </w:r>
    </w:p>
    <w:p>
      <w:pPr>
        <w:spacing w:after="0" w:line="5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nine months ended September 30, 2019, we incurred total interest expense of approximately $61.1 million. We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$7.0 million of our interest expense on certain qualifying projects for the nine months ended September 30, 2019 and expensed the remaining $54.2 million to operations. For the nine months ended September 30, 2018, we incurred total interest expense of approximately $33.0 million. We capitalized approximately $6.2 million of our interest expense on certain qualifying projects for the nine months ended September 30, 2018 and expensed the remaining $26.8 million to operations.</w:t>
      </w:r>
    </w:p>
    <w:p>
      <w:pPr>
        <w:spacing w:after="0" w:line="8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i w:val="1"/>
          <w:iCs w:val="1"/>
          <w:color w:val="auto"/>
        </w:rPr>
        <w:t xml:space="preserve">Total income tax provision. </w:t>
      </w:r>
      <w:r>
        <w:rPr>
          <w:rFonts w:ascii="Arial" w:cs="Arial" w:eastAsia="Arial" w:hAnsi="Arial"/>
          <w:sz w:val="16"/>
          <w:szCs w:val="16"/>
          <w:color w:val="auto"/>
        </w:rPr>
        <w:t>We recorded a total income tax expense of $25.3 million for the nine months ended September 30, 2019, which differs from</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computed by applying the U.S. federal statutory rate to pre-tax income primarily due to the impact of permanent differences between book and tax income. Due to a variety of factors, including our significant net income in 2017 and 2018, our federal valuation allowance and a portion of our state valuation allowance were reversed at December 31, 2018, as the deferred tax assets were determined to be more likely than not to be utilized. As a portion of our state net operating loss carryforwards are not expected to be utilized before expiration, a valuation allowance will continue to be recognized until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state deferred tax assets are determined to be more likely than not to be utilized. At September 30, 2018, our deferred tax assets exceeded our deferred tax liabilities due to the deferred tax amounts generated by full-cost ceiling impairment charges recorded in prior periods. As a result, we established a valuation allowance against the deferred tax assets beginning in the third quarter of 2015. We retained a full valuation allowance at September 30, 2018 due to uncertainties regarding the future realization of our deferred tax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primary use of capital has been, and we expect will continue to be during the remainder of 2019 and for the foreseeable future, for the acquisition, exploration and development of oil and natural gas properties and for midstream investments. Excluding any possible significant acquisitions, we expect to fund our capital expenditure requirements for the remainder of 2019 and for 2020 through a combination of cash on hand, operating cash flows, performance incentives in connection with San Mateo, borrowings under the Credit Agreement (assuming availability under our borrowing base) and borrowings under the San Mateo Credit Facility. We continually evaluate other capital sources, including borrowings under additional credit arrangements, the sale or joint venture of midstream assets or oil and natural gas producing assets or leasehold interests, particularly in our non-core asset areas, the sale or joint venture of oil and natural gas mineral interests, as well as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7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September 30, 2019, we had (i) $1.05 billion of outstanding 5.875% senior notes due 2026 (the “Notes”), (ii) $215.0 million in borrowings outstanding under the Credit Agreement and (iii) approximately $13.6 million in outstanding letters of credit issued pursuant to the Credit Agreement, and San Mateo I had $260.0 million in borrowings outstanding under the San Mateo Credit Facility and approximately $16.2 million in outstanding letters of credit issued pursuant to the San Mateo Credit Facility.</w:t>
      </w:r>
    </w:p>
    <w:p>
      <w:pPr>
        <w:spacing w:after="0" w:line="7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At October 29, 2019, we had (i) $1.05 billion of outstanding Notes, (ii) $255.0 million in borrowings outstanding under the Credit Agreement and (iii) approximately $35.0 million in outstanding letters of credit issued pursuant to the Credit Agreement, and San Mateo I had $260.0 million in borrowings outstanding under the San Mateo Credit Facility and approximately $16.2 million in outstanding letters of credit issued pursuant to the San Mateo Credit Facility.</w:t>
      </w:r>
    </w:p>
    <w:p>
      <w:pPr>
        <w:spacing w:after="0" w:line="79"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At September 30, 2019, we had cash totaling approximately $15.7 million and restricted cash, most of which was associated with San Mateo, totaling approximately $25.1 million.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57" w:lineRule="exact"/>
        <w:rPr>
          <w:sz w:val="20"/>
          <w:szCs w:val="20"/>
          <w:color w:val="auto"/>
        </w:rPr>
      </w:pPr>
    </w:p>
    <w:p>
      <w:pPr>
        <w:ind w:right="320" w:firstLine="392"/>
        <w:spacing w:after="0" w:line="279" w:lineRule="auto"/>
        <w:rPr>
          <w:sz w:val="20"/>
          <w:szCs w:val="20"/>
          <w:color w:val="auto"/>
        </w:rPr>
      </w:pPr>
      <w:r>
        <w:rPr>
          <w:rFonts w:ascii="Arial" w:cs="Arial" w:eastAsia="Arial" w:hAnsi="Arial"/>
          <w:sz w:val="17"/>
          <w:szCs w:val="17"/>
          <w:color w:val="auto"/>
        </w:rPr>
        <w:t>In October 2019, the lenders under our Credit Agreement, led by Royal Bank of Canada, completed their review of our proved oil and natural gas reserves at June 30, 2019, and as a result, the borrowing base was affirmed at $900.0 million with the elected borrowing commitment remaining at $500.0 million. This October 2019 redetermination constituted the regularly scheduled November 1 redetermination. Borrowings under the Credit Agreement are limited to the lowest of the borrowing base, the maximum facility amount and the elected borrowing commitment.</w:t>
      </w:r>
    </w:p>
    <w:p>
      <w:pPr>
        <w:spacing w:after="0" w:line="63"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In October 2019, the lender commitments under the San Mateo Credit Facility, led by The Bank of Nova Scotia, were increased by $50.0 million to $375.0 million, using the accordion feature. The San Mateo Credit Facility is guaranteed by San Mateo I’s subsidiaries, secured by substantially all of San Mateo I’s assets, including real property, and is non-recourse with respect to Matador and its wholly-owned subsidiaries, as well as San Mateo II and its subsidiaries.</w:t>
      </w:r>
    </w:p>
    <w:p>
      <w:pPr>
        <w:spacing w:after="0" w:line="79"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During the third quarter of 2019, we continued our focus on the exploration, delineation and development of our Delaware Basin acreage in Loving County, Texas and Lea and Eddy Counties, New Mexico. We began 2019 operating six drilling rigs in the Delaware Basin and continued to do so at September 30, 2019. During the third quarter, these six operated drilling rigs were deployed across our Delaware Basin asset areas. We expect to operate six rigs in the Delaware Basin throughout the remainder of 2019, with four rigs operating between the Rustler Breaks and Antelope Ridge asset areas, one rig operating in the Wolf and Jackson Trust asset areas and one rig operating in the Arrowhead, Ranger and Twin Lakes asset areas, although this rig is expected to operate in the Greater Stebbins Area for most of the remainder of 2019. We expect that development of our Delaware Basin assets will be the primary focus of our operations and capital expenditures for the remainder of 2019 and for 2020.</w:t>
      </w:r>
    </w:p>
    <w:p>
      <w:pPr>
        <w:spacing w:after="0" w:line="70" w:lineRule="exact"/>
        <w:rPr>
          <w:sz w:val="20"/>
          <w:szCs w:val="20"/>
          <w:color w:val="auto"/>
        </w:rPr>
      </w:pPr>
    </w:p>
    <w:p>
      <w:pPr>
        <w:ind w:right="620" w:firstLine="392"/>
        <w:spacing w:after="0" w:line="277" w:lineRule="auto"/>
        <w:rPr>
          <w:sz w:val="20"/>
          <w:szCs w:val="20"/>
          <w:color w:val="auto"/>
        </w:rPr>
      </w:pPr>
      <w:r>
        <w:rPr>
          <w:rFonts w:ascii="Arial" w:cs="Arial" w:eastAsia="Arial" w:hAnsi="Arial"/>
          <w:sz w:val="18"/>
          <w:szCs w:val="18"/>
          <w:color w:val="auto"/>
        </w:rPr>
        <w:t>We had no operated drilling activities in the Eagle Ford shale or Haynesville shale during the third quarter of 2019 and have no operated drilling activities planned there for the remainder of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Capital Expenditure Budget</w:t>
      </w:r>
    </w:p>
    <w:p>
      <w:pPr>
        <w:spacing w:after="0" w:line="117" w:lineRule="exact"/>
        <w:rPr>
          <w:sz w:val="20"/>
          <w:szCs w:val="20"/>
          <w:color w:val="auto"/>
        </w:rPr>
      </w:pPr>
    </w:p>
    <w:p>
      <w:pPr>
        <w:ind w:right="60" w:firstLine="392"/>
        <w:spacing w:after="0" w:line="277" w:lineRule="auto"/>
        <w:rPr>
          <w:sz w:val="20"/>
          <w:szCs w:val="20"/>
          <w:color w:val="auto"/>
        </w:rPr>
      </w:pPr>
      <w:r>
        <w:rPr>
          <w:rFonts w:ascii="Arial" w:cs="Arial" w:eastAsia="Arial" w:hAnsi="Arial"/>
          <w:sz w:val="18"/>
          <w:szCs w:val="18"/>
          <w:color w:val="auto"/>
        </w:rPr>
        <w:t>At October 31, 2019, our 2019 estimated capital expenditures for drilling, completing and equipping wells (“D/C/E”) remained $640 to $680 million, as originally estimated. As a result of improved drilling and completion and capital efficiencies,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an accelerated pace of activity and our expectations for acquiring additional working interests primarily through acreage trades in certain of our operated wells throughout 2019, we expect to complete and turn to sales 7.9 net additional operated wells in 2019, as compared to our original 2019 plan. Due to the lower well costs and facilities savings achieved thus far in 2019, however, we anticipate that we should be able to deliver these additional well completions within our originally budgeted estimates for D/C/E capital expenditures of $640 to $680 million.</w:t>
      </w:r>
    </w:p>
    <w:p>
      <w:pPr>
        <w:spacing w:after="0" w:line="6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July 31, 2019, we increased our anticipated 2019 midstream capital expenditures from $55 to $75 million to $70 to $90 million, primarily for capital expenditures necessary to accommodate new customers and increased commitments from existing customers. During the first nine months of 2019, San Mateo received an increased natural gas gathering and processing commitment from an existing natural gas customer, plus other interruptible volumes, obtained significant additional acreage dedications from existing salt water customers and added an acreage dedication from a new oil customer. In addition, San Mateo is also in negotiations with other third parties to provide oil, natural gas and salt water gathering services, natural gas processing services and salt water disposal services. In order to provide the midstream services under these executed and anticipated agreements, San Mateo expects to undertake additional projects that will require added compression, oil, natural gas and water gathering lines and water disposal infrastructure not originally budgeted for in 2019. During the third quarter of 2019, San Mateo also acquired an existing commercial salt water disposal well and facility, a salt water disposal permit and surface acreage near the Greater Stebbins Area. The anticipated total 2019 midstream capital expenditures of $70 to $90 million reflect our proportionate share of San Mateo’s estimated 2019 capital expenditures and also account for portions of the $50 million capital carry that Five Point Energy LLC agreed to provide to us in conjunction with the formation of San Mateo II.</w:t>
      </w:r>
    </w:p>
    <w:p>
      <w:pPr>
        <w:spacing w:after="0" w:line="7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Substantially all of our remaining 2019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 To narrow any potential difference between our 2019 capital expenditures and operating cash flows, we may divest portions of our non-core assets, particularly in our South Texas and Haynesville shale positions, as well as consider monetizing other assets, such as certain mineral, royalty and midstream interests, as value-creating opportunities arise. We intend to continue evaluating the opportunistic acquisition of acreage and mineral interests, principally in the Delaware Basin, during 2019. These monetizations, divestitures and expenditures are opportunity-specific, and purchase price multiples and per-acre prices can vary significantly based on the asset or prospect. As a result, it is difficult to estimate these 2019 monetizations, divestitures and capital expenditures with any degree of certainty; therefore, we have not provided estimated proceeds related to monetizations or divestitures or estimated capital expenditures related to acreage and mineral acquisitions for 2019.</w:t>
      </w:r>
    </w:p>
    <w:p>
      <w:pPr>
        <w:spacing w:after="0" w:line="6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2019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 In addition, we attempt to avoid long-term service agreements where possible to minimize ongoing future commitments.</w:t>
      </w:r>
    </w:p>
    <w:p>
      <w:pPr>
        <w:spacing w:after="0" w:line="7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2019 is expected to come from producing wells and development activities on currently proved properties in the Wolfcamp and Bone Spring plays in the Delaware Basin, the Eagle Ford shale in South Texas and the Haynesville shale in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2019 and the hedges we currently have in place.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 at September 30, 2019.</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unaudited cash flows for the nine months ended September 30, 2019 and 2018 are presented below:</w:t>
      </w:r>
    </w:p>
    <w:p>
      <w:pPr>
        <w:spacing w:after="0" w:line="172"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419,318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(1,220,528)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242,744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751,736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restricted cash</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(49,474)</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834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Adjusted EBITDA attributable to Matador Resources Company shareholders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429,732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409,984</w:t>
            </w: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__________________</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75" w:lineRule="exact"/>
        <w:rPr>
          <w:sz w:val="20"/>
          <w:szCs w:val="20"/>
          <w:color w:val="auto"/>
        </w:rPr>
      </w:pPr>
    </w:p>
    <w:p>
      <w:pPr>
        <w:ind w:left="340" w:right="460" w:hanging="332"/>
        <w:spacing w:after="0" w:line="27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Net cash provided by operating activities decreased $66.2 million to $353.1 million for the nine months ended September 30, 2019 from $419.3 million for the nine months ended September 30, 2018. Excluding changes in operating assets and liabilities, net cash provided by operating activities increased to $411.6 million for the nine months ended September 30, 2019 from $405.0 million for the nine months ended September 30, 2018, primarily attributable to the increase in our total oil equivalent production, which was partially offset by the decrease in realized oil and natural gas prices between the two periods. Changes in our operating assets and liabilities between the two periods resulted in a net decrease of approximately $72.8 million in net cash provided by operating activities for the nine months ended September 30, 2019, as compared to the nine months ended September 30, 2018.</w:t>
      </w:r>
    </w:p>
    <w:p>
      <w:pPr>
        <w:spacing w:after="0" w:line="5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Our operating cash flows are sensitive to a number of variables, including changes in our production and volatility of oil and natural gas prices between reporting periods. Regional and worldwide economic activity, the actions of the Organization of Petroleum Exporting Countries (OPEC), weather, infrastructure capacity to reach markets and other variable factors significantly impact the prices of oil and natural gas. These factors are beyond our control and are difficult to predict. We use commodity derivative financial instruments to mitigate our exposure to fluctuations in oil, natural gas and NGL prices.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Net cash used in investing activities decreased by $581.5 million to $639.0 million for the nine months ended September 30, 2019 from $1.22 billion for the nine months ended September 30, 2018. This decrease in net cash used in investing activities is due in part to a decrease of $570.5 million in oil and natural gas properties capital expenditures for the nine months ended September 30, 2019, as compared to the nine months ended September 30, 2018. Cash used for oil and natural gas properties capital expenditures for the nine months ended September 30, 2019 was primarily attributable to our operated and non-operated drilling and completion activities in the Delaware Basin and in South Texas. Cash used for oil and natural gas properties capital expenditures for the nine months ended September 30, 2018 was primarily attributable to the acquisition of additional leasehold and mineral interests including, primarily, the BLM Acquisition, and to our operated and non-operated drilling and completion activities in the Delaware Basin. The remaining decrease in net cash used in investing activities was primarily attributable to an increase of $13.4 million in proceeds from the sale of assets.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Net cash provided by financing activities decreased by $509.0 million to $242.7 million for the nine months ended September 30, 2019 from $751.7 million for the nine months ended September 30, 2018. During the nine months ended September 30, 2019, our primary sources of cash from financing activities included net borrowings under our Credit Agreement of $175.0 million, borrowings under the San Mateo Credit Facility of $40.0 million and net contributions related to the formation of San Mateo I and from non-controlling interest owners in less-than-wholly-owned subsidiaries of $29.3 million. During the nine months ended September 30, 2018, we (i) received net proceeds from the issuance of common stock of $226.5 million, (ii) had net borrowings under our Credit Agreement of $325.0 million, (iii) received net proceeds from the Notes offering of $740.5 million and (iv) had $70.8 million in net contributions related to the formation of San Mateo I and from non-controlling interest owners in less-than-wholly-owned subsidiaries. These cash inflows during the nine months ended September 30, 2018 were offset by the purchase of our senior unsecured notes of $605.8 million.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inventory impairment. Adjusted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3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740" w:type="dxa"/>
            <w:vAlign w:val="bottom"/>
            <w:gridSpan w:val="3"/>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gridSpan w:val="2"/>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860" w:type="dxa"/>
            <w:vAlign w:val="bottom"/>
          </w:tcPr>
          <w:p>
            <w:pPr>
              <w:jc w:val="right"/>
              <w:ind w:right="828"/>
              <w:spacing w:after="0"/>
              <w:rPr>
                <w:sz w:val="20"/>
                <w:szCs w:val="20"/>
                <w:color w:val="auto"/>
              </w:rPr>
            </w:pPr>
            <w:r>
              <w:rPr>
                <w:rFonts w:ascii="Arial" w:cs="Arial" w:eastAsia="Arial" w:hAnsi="Arial"/>
                <w:sz w:val="14"/>
                <w:szCs w:val="14"/>
                <w:b w:val="1"/>
                <w:bCs w:val="1"/>
                <w:color w:val="auto"/>
                <w:w w:val="98"/>
              </w:rPr>
              <w:t>September 30,</w:t>
            </w:r>
          </w:p>
        </w:tc>
      </w:tr>
      <w:tr>
        <w:trPr>
          <w:trHeight w:val="258"/>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86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Unaudited Adjusted EBITDA Reconciliation to Net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40"/>
              <w:spacing w:after="0"/>
              <w:rPr>
                <w:sz w:val="20"/>
                <w:szCs w:val="20"/>
                <w:color w:val="auto"/>
              </w:rPr>
            </w:pPr>
            <w:r>
              <w:rPr>
                <w:rFonts w:ascii="Arial" w:cs="Arial" w:eastAsia="Arial" w:hAnsi="Arial"/>
                <w:sz w:val="18"/>
                <w:szCs w:val="18"/>
                <w:color w:val="auto"/>
              </w:rPr>
              <w:t>Net income attributable to Matador Resources Company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43,953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17,794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63,758</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137,494</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25,582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18,182</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89,340</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155,676</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25,335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192,664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Accretion of asset retirement obligations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1,126</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29,715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13,787</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on asset sales and inventory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Prepayment premium on extinguishment of debt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31,226</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Adjusted EBITDA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173,692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463,960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431,002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(21,018)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160,789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429,732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409,984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268"/>
        </w:trPr>
        <w:tc>
          <w:tcPr>
            <w:tcW w:w="5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3"/>
                <w:szCs w:val="23"/>
                <w:color w:val="auto"/>
              </w:rPr>
            </w:pPr>
          </w:p>
        </w:tc>
        <w:tc>
          <w:tcPr>
            <w:tcW w:w="24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2018</w:t>
            </w:r>
          </w:p>
        </w:tc>
      </w:tr>
      <w:tr>
        <w:trPr>
          <w:trHeight w:val="211"/>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Unaudited Adjusted EBITDA Reconciliation to Net Cash Provided by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1"/>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158,630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165,111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353,127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419,318</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Interest expense, net of non-cash portion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17,550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52,358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25,984</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attributable to non-controlling interest in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(21,018)</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w w:val="94"/>
              </w:rPr>
              <w:t>Adjusted EBITDA attributable to Matador Resources Company shareholders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160,789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155,392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429,732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409,984</w:t>
            </w: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Net income attributable to Matador shareholders increased by $26.2 million to $44.0 million for the three months ended September 30, 2019, as compared to $17.8 million for the three months ended September 30, 2018. This increase in net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attributable to Matador shareholders is primarily attributable to an increase of $13.1 million in oil and natural gas revenues, an increase of $8.4 million in third-party midstream services revenues, an increase of $31.2 million in unrealized gain on derivatives and the absence of a prepayment premium of $31.2 million to repurchase our debt, which only occurred during the three months ended September 30, 2018. These increases were offset by an aggregate $35.7 million increase in production taxes, transportation and processing, lease operating, general and administrative and depletion, depreciation and amortization expenses, a $7.8 million increase in interest expense and a $13.5 million increase in the deferred income tax provision.</w:t>
      </w:r>
    </w:p>
    <w:p>
      <w:pPr>
        <w:spacing w:after="0" w:line="6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Net income attributable to Matador shareholders decreased by $73.7 million to $63.8 million for the nine months ended September 30, 2019, as compared to $137.5 million for the nine months ended September 30, 2018. This decrease in net income attributable to Matador shareholders is primarily attributable to a $20.2 million increase in unrealized loss on derivatives, a $17.5 million increase in lease operating expenses, a $56.8 million increase in depletion, depreciation and amortization expenses, a $27.3 million increase in interest expense and a $25.3 million increase in the deferred income tax provision. This decrease was partially offset by a $9.1 million increase from a realized loss to a realized gain on derivatives, a $26.5 million increase in oil and natural gas revenues, an increase of $28.2 million in third-party midstream services revenues and the absence of a prepayment premium of $31.2 million to repurchase our debt, which only occurred during the three months ended September 30, 2018.</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Adjusted EBITDA, a non-GAAP financial measure, increased by $5.4 million to $160.8 million for the three months ended September 30, 2019, as compared to $155.4 million for the three months ended September 30, 2018. This increase is primarily attributable to higher oil and natural gas production, which was partially offset by lower realized oil and natural gas prices for the three months ended September 30, 2019, as compared to the three months ended September 30, 2018.</w:t>
      </w:r>
    </w:p>
    <w:p>
      <w:pPr>
        <w:spacing w:after="0" w:line="7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Adjusted EBITDA, a non-GAAP financial measure, increased by $19.7 million to $429.7 million for the nine months ended September 30, 2019, as compared to $410.0 million for the nine months ended September 30, 2018. This increase is primarily attributable to higher oil and natural gas production, which was partially offset by lower realized oil and natural gas prices for the nine months ended September 30, 2019, as compared to the nine months ended September 30,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time-to-time, we enter into off-balance sheet arrangements and transactions that can give rise to material off-balance sheet obligations.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September 30, 2019, the material off-balance sheet arrangements and transactions that we have entered into include (i) non-operated drilling commitments,</w:t>
      </w:r>
    </w:p>
    <w:p>
      <w:pPr>
        <w:spacing w:after="0" w:line="32" w:lineRule="exact"/>
        <w:rPr>
          <w:sz w:val="20"/>
          <w:szCs w:val="20"/>
          <w:color w:val="auto"/>
        </w:rPr>
      </w:pPr>
    </w:p>
    <w:p>
      <w:pPr>
        <w:ind w:right="80" w:firstLine="8"/>
        <w:spacing w:after="0" w:line="268"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termination obligations under short-term drilling rig contracts, (iii) firm transportation, gathering, processing and disposal commitments and (iv)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10 to the interim unaudited condensed consolidated financial statements in this Quarterly Report for more information regarding our off-balance sheet arrangements. Such information is incorporated herein by reference.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the following material contractual obligations and commitments at September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1"/>
              </w:rPr>
              <w:t>Payments Due by Period</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7"/>
              </w:rPr>
              <w:t>Less</w:t>
            </w:r>
          </w:p>
        </w:tc>
        <w:tc>
          <w:tcPr>
            <w:tcW w:w="220" w:type="dxa"/>
            <w:vAlign w:val="bottom"/>
          </w:tcPr>
          <w:p>
            <w:pPr>
              <w:spacing w:after="0"/>
              <w:rPr>
                <w:sz w:val="13"/>
                <w:szCs w:val="13"/>
                <w:color w:val="auto"/>
              </w:rPr>
            </w:pPr>
          </w:p>
        </w:tc>
        <w:tc>
          <w:tcPr>
            <w:tcW w:w="8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Than</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Borrowings under credit agreements and facilities, including letters of</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line="257" w:lineRule="exact"/>
              <w:rPr>
                <w:sz w:val="20"/>
                <w:szCs w:val="20"/>
                <w:color w:val="auto"/>
              </w:rPr>
            </w:pPr>
            <w:r>
              <w:rPr>
                <w:rFonts w:ascii="Arial" w:cs="Arial" w:eastAsia="Arial" w:hAnsi="Arial"/>
                <w:sz w:val="18"/>
                <w:szCs w:val="18"/>
                <w:color w:val="auto"/>
              </w:rPr>
              <w:t>credit</w:t>
            </w:r>
            <w:r>
              <w:rPr>
                <w:rFonts w:ascii="Arial" w:cs="Arial" w:eastAsia="Arial" w:hAnsi="Arial"/>
                <w:sz w:val="25"/>
                <w:szCs w:val="25"/>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504,871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504,871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unsecured notes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1,050,000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1,050,000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Office leases</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Non-operated drilling commitments</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27,956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Drilling rig contracts</w:t>
            </w:r>
            <w:r>
              <w:rPr>
                <w:rFonts w:ascii="Arial" w:cs="Arial" w:eastAsia="Arial" w:hAnsi="Arial"/>
                <w:sz w:val="25"/>
                <w:szCs w:val="25"/>
                <w:color w:val="auto"/>
                <w:vertAlign w:val="superscript"/>
              </w:rPr>
              <w:t>(4)</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48,198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28,982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19,216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3"/>
              </w:rPr>
              <w:t>Natural gas transportation, gathering and processing agreements with non-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line="257" w:lineRule="exact"/>
              <w:rPr>
                <w:sz w:val="20"/>
                <w:szCs w:val="20"/>
                <w:color w:val="auto"/>
              </w:rPr>
            </w:pPr>
            <w:r>
              <w:rPr>
                <w:rFonts w:ascii="Arial" w:cs="Arial" w:eastAsia="Arial" w:hAnsi="Arial"/>
                <w:sz w:val="18"/>
                <w:szCs w:val="18"/>
                <w:color w:val="auto"/>
              </w:rPr>
              <w:t>affiliates</w:t>
            </w:r>
            <w:r>
              <w:rPr>
                <w:rFonts w:ascii="Arial" w:cs="Arial" w:eastAsia="Arial" w:hAnsi="Arial"/>
                <w:sz w:val="25"/>
                <w:szCs w:val="25"/>
                <w:color w:val="auto"/>
                <w:vertAlign w:val="superscript"/>
              </w:rPr>
              <w:t>(5)</w:t>
            </w:r>
          </w:p>
        </w:tc>
        <w:tc>
          <w:tcPr>
            <w:tcW w:w="2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548,432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54,159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113,476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113,507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267,290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Gathering, processing and disposal agreements with San Mateo</w:t>
            </w:r>
            <w:r>
              <w:rPr>
                <w:rFonts w:ascii="Arial" w:cs="Arial" w:eastAsia="Arial" w:hAnsi="Arial"/>
                <w:sz w:val="25"/>
                <w:szCs w:val="25"/>
                <w:color w:val="auto"/>
                <w:vertAlign w:val="superscript"/>
              </w:rPr>
              <w:t>(6)</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525,612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163,614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287,764</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Natural gas engineering, construction and installation contract</w:t>
            </w:r>
            <w:r>
              <w:rPr>
                <w:rFonts w:ascii="Arial" w:cs="Arial" w:eastAsia="Arial" w:hAnsi="Arial"/>
                <w:sz w:val="25"/>
                <w:szCs w:val="25"/>
                <w:color w:val="auto"/>
                <w:vertAlign w:val="superscript"/>
              </w:rPr>
              <w:t>(7)</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62,131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2,828,623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177,783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217,974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792,101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1,640,765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60" w:hanging="332"/>
        <w:spacing w:after="0" w:line="273"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amounts included in the table above represent principal maturities only. At September 30, 2019, we had $215.0 million in borrowings outstanding under our Credit Agreement and approximately $13.6 million in outstanding letters of credit issued pursuant to the Credit Agreement. The Credit Agreement matures in October 2023. At September 30, 2019, San Mateo I had $260.0 million of borrowings outstanding under the San Mateo Credit Facility and approximately $16.2 million in outstanding letters of credit issued pursuant to the San Mateo Credit Facility. The San Mateo Credit Facility matures in December 2023. Assuming the amounts outstanding and interest rates of 3.56% and 3.80% (for the Credit Agreement and the San Mateo Credit Facility), respectively, at September 30, 2019, the interest expense is expected to be approximately $7.8 million and $10.0 million each year until maturity.</w:t>
      </w:r>
    </w:p>
    <w:p>
      <w:pPr>
        <w:spacing w:after="0" w:line="68" w:lineRule="exact"/>
        <w:rPr>
          <w:rFonts w:ascii="Arial" w:cs="Arial" w:eastAsia="Arial" w:hAnsi="Arial"/>
          <w:sz w:val="13"/>
          <w:szCs w:val="13"/>
          <w:color w:val="auto"/>
        </w:rPr>
      </w:pPr>
    </w:p>
    <w:p>
      <w:pPr>
        <w:ind w:left="340" w:right="280" w:hanging="332"/>
        <w:spacing w:after="0" w:line="27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$1.05 billion of Notes that were outstanding as of September 30, 2019 is expected to be approximately $61.7 million each year until maturity.</w:t>
      </w:r>
    </w:p>
    <w:p>
      <w:pPr>
        <w:spacing w:after="0" w:line="65"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 September 30, 2019, we had outstanding commitments to participate in the drilling and completion of various non-operated wells. Our working interests in these wells are typically small, and certain of these wells were in progress at September 30, 2019. If all of these wells are drilled and completed, we will have minimum outstanding aggregate commitments for our participation in these wells of approximately $28.0 million at September 30, 2019, which we expect to incur within the next 12 months.</w:t>
      </w:r>
    </w:p>
    <w:p>
      <w:pPr>
        <w:spacing w:after="0" w:line="77"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enter into contracts with third parties for such drilling rigs.</w:t>
      </w:r>
    </w:p>
    <w:p>
      <w:pPr>
        <w:spacing w:after="0" w:line="109"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salt water from certain portions of our acreage for gathering, transportation, processing, fractionation, sales and, in the case of salt water, disposal. Certain of these agreements contain minimum volume commitments. If we do not meet the minimum volume commitments under these agreements, we will be required to pay certain deficiency fees. See Note 10 to the interim unaudited condensed consolidated financial statements in this Quarterly Report for more information about these contractual commitments.</w:t>
      </w:r>
    </w:p>
    <w:p>
      <w:pPr>
        <w:spacing w:after="0" w:line="80" w:lineRule="exact"/>
        <w:rPr>
          <w:rFonts w:ascii="Arial" w:cs="Arial" w:eastAsia="Arial" w:hAnsi="Arial"/>
          <w:sz w:val="14"/>
          <w:szCs w:val="14"/>
          <w:color w:val="auto"/>
        </w:rPr>
      </w:pPr>
    </w:p>
    <w:p>
      <w:pPr>
        <w:ind w:left="340" w:right="60" w:hanging="332"/>
        <w:spacing w:after="0" w:line="24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February 2017, in connection with the formation of San Mateo I, we dedicated our current and certain future leasehold interests in the Rustler Breaks and Wolf asset areas pursuant to 15-year, fixed-fee natural gas, oil and salt water gathering agreements and salt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salt water gathering, natural gas processing and salt water disposal. See Note 10 to the interim unaudited condensed consolidated financial statements in this Quarterly Report for more information about these contractual commitments.</w:t>
      </w:r>
    </w:p>
    <w:p>
      <w:pPr>
        <w:spacing w:after="0" w:line="86" w:lineRule="exact"/>
        <w:rPr>
          <w:rFonts w:ascii="Arial" w:cs="Arial" w:eastAsia="Arial" w:hAnsi="Arial"/>
          <w:sz w:val="14"/>
          <w:szCs w:val="14"/>
          <w:color w:val="auto"/>
        </w:rPr>
      </w:pPr>
    </w:p>
    <w:p>
      <w:pPr>
        <w:ind w:left="340" w:right="80" w:hanging="332"/>
        <w:spacing w:after="0" w:line="25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Beginning in June 2019, a subsidiary of San Mateo II entered into an agreement with third parties for the engineering, procurement, construction and installation of an expansion of the Black River Processing Plant, including required compression. See Note 10 to the interim unaudited condensed consolidated financial statements in this Quarterly Report for more information about these contractual commitments.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Outlook and Trends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2018 and 2019, oil prices generally improved from the lower prices we experienced in 2016 and 2017, although oil prices remained significantly below their most recent highs in 2014. For the three months ended September 30, 2019, oil prices averaged $56.43 per Bbl, ranging from a low of $51.09 per Bbl in early August to a high of $62.90 per Bbl in mid-September, based upon the NYMEX West Texas Intermediate oil futures contract price for the earliest delivery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realized a weighted average oil price of $54.19 per Bbl ($54.97 per Bbl including realized gains from oil derivatives) for our oil production for the three months ended September 30, 2019, as compared to $57.15 per Bbl ($58.97 per Bbl including realized gains from oil derivatives) for our oil production for the three months ended September 30, 2018. At October 29, 2019, the NYMEX West Texas Intermediate oil futures contract for the earliest delivery date had decreased from the average price for the third quarter of 2019, settling at $55.54 per Bbl, which was also a decrease as compared to $67.04 per Bbl at October 29, 2018.</w:t>
      </w:r>
    </w:p>
    <w:p>
      <w:pPr>
        <w:spacing w:after="0" w:line="8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For the three months ended September 30, 2019, natural gas prices averaged $2.33 per MMBtu, ranging from a low of approximately $2.07 per MMBtu in early August to a high of approximately $2.68 per MMBtu in mid-September, based upon the NYMEX Henry Hub natural gas futures contract price for the earliest delivery date.</w:t>
      </w:r>
    </w:p>
    <w:p>
      <w:pPr>
        <w:spacing w:after="0" w:line="7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realized a weighted average natural gas price of $1.88 per Mcf ($1.91 per Mcf including realized gains from natural gas derivatives) for our natural gas production (including revenues attributable to NGLs) for the three months ended September 30, 2019, as compared to $3.77 per Mcf (with no realized gains or losses from natural gas derivatives) for our natural gas production (including revenues attributable to NGLs) for the three months ended September 30, 2018. At October 29, 2019, the NYMEX Henry Hub natural gas futures contract price for the earliest delivery date had decreased from the average price for the third quarter of 2019, settling at $2.60 per MMBtu, which was also a decrease as compared to $3.19 per MMBtu at October 29, 2018.</w:t>
      </w:r>
    </w:p>
    <w:p>
      <w:pPr>
        <w:spacing w:after="0" w:line="5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prices we receive for oil, natural gas and NGLs heavily influence our revenue, profitability, cash flow available for capital expenditures, access to capital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We are uncertain if oil and natural gas prices may rise from their current levels, and, in fact, oil and natural gas prices may decrease in future periods.</w:t>
      </w:r>
    </w:p>
    <w:p>
      <w:pPr>
        <w:spacing w:after="0" w:line="70"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our Credit Agreement and through the capital markets.</w:t>
      </w:r>
    </w:p>
    <w:p>
      <w:pPr>
        <w:spacing w:after="0" w:line="6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prices we receive for our oil and natural gas production often reflect a discount to the relevant benchmark prices, such as the NYMEX West Texas Intermediate oil price or the NYMEX Henry Hub natural gas price. The difference between the benchmark price and the price we receive is called a differential. At September 30, 2019, most of our oil production from the Delaware Basin was sold based on prices established in Midland, Texas. For most of the first nine months of 2019, most of our natural gas production from the Delaware Basin was sold based on prices established at the Waha Hub in far West Texas. At the end of September 2019, the Kinder Morgan Gulf Coast Express Pipeline Project (the “GCX Pipeline”) became operational. We have secured firm natural gas transportation and sales on the GCX Pipeline for an average of approximately 110,000 to 115,000 MMBtu per day at a natural gas price based upon Houston Ship Channel pricing.</w:t>
      </w:r>
    </w:p>
    <w:p>
      <w:pPr>
        <w:spacing w:after="0" w:line="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During the second quarter of 2018, the price differentials for oil sold in Midland and natural gas sold at Waha compared to the benchmark prices for oil and natural gas, respectively, began to widen significantly and continued to widen throughout most of the year. These widening basis differentials negatively impacted our oil and natural gas revenues in 2018 and throughout most of 2019.</w:t>
      </w:r>
    </w:p>
    <w:p>
      <w:pPr>
        <w:spacing w:after="0" w:line="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2018, the Midland-Cushing (Oklahoma) oil price differential increased substantially from essentially no difference in the first quarter to as much as $16.00 per Bbl in late September but narrowed to about $5.00 per Bbl at the beginning of 2019. The Midland-Cushing (Oklahoma) oil price differential narrowed further to less than $1.00 per Bbl during the first quarter of 2019 but widened again during the second quarter to levels experienced at the beginning of the year. The Midland-Cushing (Oklahoma) oil price differential narrowed again in the third quarter of 2019, became positive late in the third quarter and remained positive early in the fourth quarter, although it is possible that this differential could turn negative and widen again at certain times during the remainder of 2019.</w:t>
      </w:r>
    </w:p>
    <w:p>
      <w:pPr>
        <w:spacing w:after="0" w:line="8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realized price for our Delaware Basin natural gas production is exposed to the Waha-Henry Hub basis differential. This natural gas price differential increased significantly throughout 2018 from about $0.50 per MMBtu at the beginning of the year to between $1.00 and $2.00 per MMBtu for most of 2018, but reaching highs of greater than $4.00 per MMBtu for a brief period near the end of the year. The natural gas price differential narrowed to between $1.00 and $2.00 per MMBtu at the beginning of 2019 and remained there throughout much of the first quarter.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natural gas basis differentials widened significantly in April 2019 for a short period of time, including a few days when natural gas was being sold at Waha for negative prices as high as ($7.00) to ($9.00) per MMBtu on a daily market basis, resulting, in part, from a number of simultaneous outages and maintenance projects impacting major pipelines in the area. Natural gas prices at Waha were positive for most of the latter part of April 2019, but daily market prices for natural gas sold at Waha reached negative levels of ($2.00) to ($3.00) per MMBtu in late May. In response to these basis differentials, we temporarily shut in certain high gas-oil ratio wells and took other actions to mitigate the impact of these negative prices on our results.</w:t>
      </w:r>
    </w:p>
    <w:p>
      <w:pPr>
        <w:spacing w:after="0" w:line="50"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During the third quarter of 2019, the Waha basis differentials improved, and natural gas prices at the Waha hub averaged approximately $0.89 per MMBtu in the third quarter. As a result, we did not need to shut in certain high gas-to-oil ratio wells or take other actions to curtail our Delaware Basin natural gas production during the third quarter. Early in the fourth quarter, however, the Waha basis differentials have widened further at times, and natural gas prices at the Waha hub were less than $0.10 per MMBtu on certain days in October 2019.</w:t>
      </w:r>
    </w:p>
    <w:p>
      <w:pPr>
        <w:spacing w:after="0" w:line="6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Beginning in late September 2019, as the GCX Pipeline became operational, we began selling a majority of our produced Delaware Basin natural gas at Houston Ship Channel pricing and, as of October 29, 2019, we have seen an improvement in the natural gas pricing received despite higher transportation charges we incur to transport the natural gas to the Gulf Coast. Further, approximately 33% of our reported natural gas production in the third quarter of 2019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These widening oil and natural gas basis differentials are largely attributable to industry concerns regarding the near-term sufficiency of pipeline takeaway capacity for oil, natural gas and NGL production in the Delaware Basin. At October 29, 2019, we had not experienced material pipeline-related interruptions to our oil, natural gas or NGL production. During the third quarter of 2018, shortages of NGL fractionation capacity were experienced by certain operators in the Delaware Basin and elsewhere. Although we did not encounter fractionation capacity problems then and do not expect to encounter such problems going forward, we can provide no assurances that such problems will not arise. If we do experience any interruptions with takeaway capacity or NGL fractionation, our oil and natural gas revenues, business, financial condition, results of operations and cash flows could be adversely affected.</w:t>
      </w:r>
    </w:p>
    <w:p>
      <w:pPr>
        <w:spacing w:after="0" w:line="5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anticipate that the volatility in these oil and natural gas price differentials could persist throughout much of the remainder of 2019 or longer until additional oil and natural gas pipeline capacity from West Texas to the Texas Gulf Coast and other end markets is completed. We can provide no assurances as to how long these volatile differentials may persist, and as noted above, these price differentials could widen further in future periods. Should we experience future periods of negative pricing for natural gas as we did during the second quarter of 2019, we may temporarily shut in certain high gas-oil ratio wells and take other actions to mitigate the impact on our realized natural gas prices and results. In addition, we have no derivative contracts in place to mitigate our exposure to these natural gas price differentials during the remainder of 2019 and have limited oil basis hedges in place for the remainder of 2019.</w:t>
      </w:r>
    </w:p>
    <w:p>
      <w:pPr>
        <w:spacing w:after="0" w:line="57"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in early 2019, separate bills were introduced in the New Mexico Senate proposing to add a surtax on natural gas processors and proposing to place a moratorium on hydraulic fracturing. New Mexico’s governor also signed an executive order requiring a regulatory framework to ensure reductions of methane emissions. Although the bills relating to the moratorium on hydraulic fracturing and the tax on natural gas processors were not passed in the most recent legislative session,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w:t>
      </w:r>
    </w:p>
    <w:p>
      <w:pPr>
        <w:spacing w:after="0" w:line="5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availability under our Credit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Except as set forth below, there have been no material changes to the sources and effects of our market risk since December 31, 2018, which are disclosed in Part II, Item 7A of the Annual Report and incorporated herein by reference.</w:t>
      </w:r>
    </w:p>
    <w:p>
      <w:pPr>
        <w:spacing w:after="0" w:line="6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Commodity price exposure. </w:t>
      </w:r>
      <w:r>
        <w:rPr>
          <w:rFonts w:ascii="Arial" w:cs="Arial" w:eastAsia="Arial" w:hAnsi="Arial"/>
          <w:sz w:val="17"/>
          <w:szCs w:val="17"/>
          <w:color w:val="auto"/>
        </w:rPr>
        <w:t>We are exposed to market risk as the prices of oil, natural gas and NGLs fluctuate as a result of changes in supply and</w:t>
      </w:r>
      <w:r>
        <w:rPr>
          <w:rFonts w:ascii="Arial" w:cs="Arial" w:eastAsia="Arial" w:hAnsi="Arial"/>
          <w:sz w:val="17"/>
          <w:szCs w:val="17"/>
          <w:i w:val="1"/>
          <w:iCs w:val="1"/>
          <w:color w:val="auto"/>
        </w:rPr>
        <w:t xml:space="preserve"> </w:t>
      </w:r>
      <w:r>
        <w:rPr>
          <w:rFonts w:ascii="Arial" w:cs="Arial" w:eastAsia="Arial" w:hAnsi="Arial"/>
          <w:sz w:val="17"/>
          <w:szCs w:val="17"/>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the Company with downside price protection through the purchase of a put option, but they also allow the Company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the Company.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5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record all derivative financial instruments at fair value. The fair value of our derivative financial instruments is determined using purchase and sale information available for similarly traded securities. At September 30, 2019, The Bank of Nova Scotia, BMO Harris Financing (Bank of Montreal) and SunTrust Bank (or affiliates thereof) were the counterparties for all of our derivative instruments. We have considered the credit standing of the counterparties in determining the fair value of our derivative financial instruments. See Note 8 to the interim unaudited condensed consolidated financial statements in this Quarterly Report for a summary of our open derivative financial instruments at September 30, 2019. Such information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2019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9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There were no changes in our internal controls during the three months ended September 30, 2019 that have materially affected or are reasonably likely to have a material effect on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subject to various risks and uncertainties in the course of our business. For a discussion of such risks and uncertainties, please see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During the quarter ended September 30, 2019, the Company re-acquired shares of common stock from certain employees in order to satisfy the employees’ tax liability in connection with the vesting of restricted stock.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 as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Part of Publicly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 Per</w:t>
            </w:r>
          </w:p>
        </w:tc>
        <w:tc>
          <w:tcPr>
            <w:tcW w:w="1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5"/>
                <w:szCs w:val="25"/>
                <w:b w:val="1"/>
                <w:bCs w:val="1"/>
                <w:color w:val="auto"/>
                <w:w w:val="83"/>
                <w:vertAlign w:val="superscript"/>
              </w:rPr>
              <w:t>(1)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2019 to July 31,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August 1, 2019 to August 31, 2019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18,087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1"/>
                <w:szCs w:val="21"/>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2019 to September 30, 2019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80" w:type="dxa"/>
            <w:vAlign w:val="bottom"/>
            <w:gridSpan w:val="14"/>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8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2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17"/>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Report on Form 10-Q for the quarter ended June 30, 2017).</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FF"/>
                <w:w w:val="97"/>
              </w:rPr>
            </w:pPr>
            <w:hyperlink r:id="rId80">
              <w:r>
                <w:rPr>
                  <w:rFonts w:ascii="Arial" w:cs="Arial" w:eastAsia="Arial" w:hAnsi="Arial"/>
                  <w:sz w:val="18"/>
                  <w:szCs w:val="18"/>
                  <w:color w:val="0000FF"/>
                  <w:w w:val="97"/>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(incorporated by reference to Exhibit 3.3 to the Quarterly Report on Form 10-Q for the quarter ended June 30, 2017).</w:t>
              </w:r>
            </w:hyperlink>
          </w:p>
        </w:tc>
        <w:tc>
          <w:tcPr>
            <w:tcW w:w="1220" w:type="dxa"/>
            <w:vAlign w:val="bottom"/>
            <w:tcBorders>
              <w:top w:val="single" w:sz="8" w:color="0000FF"/>
            </w:tcBorders>
            <w:gridSpan w:val="4"/>
          </w:tcPr>
          <w:p>
            <w:pPr>
              <w:spacing w:after="0"/>
              <w:rPr>
                <w:sz w:val="17"/>
                <w:szCs w:val="17"/>
                <w:color w:val="auto"/>
              </w:rPr>
            </w:pPr>
          </w:p>
        </w:tc>
        <w:tc>
          <w:tcPr>
            <w:tcW w:w="6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60" w:type="dxa"/>
            <w:vAlign w:val="bottom"/>
            <w:tcBorders>
              <w:bottom w:val="single" w:sz="8" w:color="0000FF"/>
            </w:tcBorders>
            <w:gridSpan w:val="10"/>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Certificate of Amendment to the Amended and Restated Certificate of Formation of Matador Resources Company effective June 2, 2017</w:t>
              </w:r>
            </w:hyperlink>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(incorporated by reference to Exhibit 3.4 to the Quarterly Report on Form 10-Q for the quarter ended June 30, 2017).</w:t>
              </w:r>
            </w:hyperlink>
          </w:p>
        </w:tc>
        <w:tc>
          <w:tcPr>
            <w:tcW w:w="19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53"/>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tcBorders>
              <w:bottom w:val="single" w:sz="8" w:color="0000FF"/>
            </w:tcBorders>
            <w:gridSpan w:val="14"/>
          </w:tcPr>
          <w:p>
            <w:pPr>
              <w:spacing w:after="0"/>
              <w:rPr>
                <w:rFonts w:ascii="Arial" w:cs="Arial" w:eastAsia="Arial" w:hAnsi="Arial"/>
                <w:sz w:val="18"/>
                <w:szCs w:val="18"/>
                <w:color w:val="0000FF"/>
                <w:w w:val="89"/>
              </w:rPr>
            </w:pPr>
            <w:hyperlink r:id="rId82">
              <w:r>
                <w:rPr>
                  <w:rFonts w:ascii="Arial" w:cs="Arial" w:eastAsia="Arial" w:hAnsi="Arial"/>
                  <w:sz w:val="18"/>
                  <w:szCs w:val="18"/>
                  <w:color w:val="0000FF"/>
                  <w:w w:val="89"/>
                </w:rPr>
                <w:t>Amended and Restated Bylaws of Matador Resources Company, as amended (incorporated by reference to Exhibit 3.1 to the Current Report</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on Form 8-K filed on February 22, 2018).</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10.1†</w:t>
            </w:r>
          </w:p>
        </w:tc>
        <w:tc>
          <w:tcPr>
            <w:tcW w:w="40" w:type="dxa"/>
            <w:vAlign w:val="bottom"/>
          </w:tcPr>
          <w:p>
            <w:pPr>
              <w:spacing w:after="0"/>
              <w:rPr>
                <w:sz w:val="24"/>
                <w:szCs w:val="24"/>
                <w:color w:val="auto"/>
              </w:rPr>
            </w:pPr>
          </w:p>
        </w:tc>
        <w:tc>
          <w:tcPr>
            <w:tcW w:w="9940" w:type="dxa"/>
            <w:vAlign w:val="bottom"/>
            <w:tcBorders>
              <w:bottom w:val="single" w:sz="8" w:color="0000FF"/>
            </w:tcBorders>
            <w:gridSpan w:val="11"/>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First Amendment to the Employment Agreement between Matador Resources Company and G. Gregg Krug (incorporated by reference to</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Exhibit 10.4 to the Quarterly Report on Form 10-Q for the quarter ended June 30, 2019).</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10.2†</w:t>
            </w:r>
          </w:p>
        </w:tc>
        <w:tc>
          <w:tcPr>
            <w:tcW w:w="40" w:type="dxa"/>
            <w:vAlign w:val="bottom"/>
          </w:tcPr>
          <w:p>
            <w:pPr>
              <w:spacing w:after="0"/>
              <w:rPr>
                <w:sz w:val="24"/>
                <w:szCs w:val="24"/>
                <w:color w:val="auto"/>
              </w:rPr>
            </w:pPr>
          </w:p>
        </w:tc>
        <w:tc>
          <w:tcPr>
            <w:tcW w:w="9980" w:type="dxa"/>
            <w:vAlign w:val="bottom"/>
            <w:tcBorders>
              <w:bottom w:val="single" w:sz="8" w:color="0000FF"/>
            </w:tcBorders>
            <w:gridSpan w:val="12"/>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First Amendment to the Amended and Restated Employment Agreement between Matador Resources Company and Bradley M. Robinson</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40" w:type="dxa"/>
            <w:vAlign w:val="bottom"/>
            <w:gridSpan w:val="17"/>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(incorporated by reference to Exhibit 10.5 to the Quarterly Report on Form 10-Q for the quarter ended June 30,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4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Principal Financial Officer pursuant to Section 302 of the Sarbanes-Oxley Act of 2002 (filed herewith).</w:t>
              </w:r>
            </w:hyperlink>
          </w:p>
        </w:tc>
        <w:tc>
          <w:tcPr>
            <w:tcW w:w="40" w:type="dxa"/>
            <w:vAlign w:val="bottom"/>
            <w:tcBorders>
              <w:top w:val="single" w:sz="8" w:color="0000FF"/>
            </w:tcBorders>
          </w:tcPr>
          <w:p>
            <w:pPr>
              <w:spacing w:after="0"/>
              <w:rPr>
                <w:sz w:val="24"/>
                <w:szCs w:val="24"/>
                <w:color w:val="auto"/>
              </w:rPr>
            </w:pPr>
          </w:p>
        </w:tc>
        <w:tc>
          <w:tcPr>
            <w:tcW w:w="17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Certification of Principal Executive Officer pursuant to 18 U.S.C. Section 1350, as adopted pursuant to Section 906 of the Sarbanes-Oxley Act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of 2002 (furnished herewith).</w:t>
              </w:r>
            </w:hyperlink>
          </w:p>
        </w:tc>
        <w:tc>
          <w:tcPr>
            <w:tcW w:w="8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jc w:val="center"/>
              <w:ind w:left="73"/>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of 2002 (furnished herewith).</w:t>
              </w:r>
            </w:hyperlink>
          </w:p>
        </w:tc>
        <w:tc>
          <w:tcPr>
            <w:tcW w:w="8100" w:type="dxa"/>
            <w:vAlign w:val="bottom"/>
            <w:tcBorders>
              <w:top w:val="single" w:sz="8" w:color="0000FF"/>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80" w:right="80" w:hanging="680"/>
        <w:spacing w:after="0" w:line="27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Quarterly Report on Form 10-Q for the quarter ended September 30, 2019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132" w:lineRule="exact"/>
        <w:rPr>
          <w:sz w:val="20"/>
          <w:szCs w:val="20"/>
          <w:color w:val="auto"/>
        </w:rPr>
      </w:pPr>
    </w:p>
    <w:p>
      <w:pPr>
        <w:ind w:left="1080" w:hanging="680"/>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as Exhibit 101).</w:t>
      </w:r>
    </w:p>
    <w:p>
      <w:pPr>
        <w:spacing w:after="0" w:line="184"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392"/>
        </w:trPr>
        <w:tc>
          <w:tcPr>
            <w:tcW w:w="3340" w:type="dxa"/>
            <w:vAlign w:val="bottom"/>
          </w:tcPr>
          <w:p>
            <w:pPr>
              <w:spacing w:after="0"/>
              <w:rPr>
                <w:sz w:val="20"/>
                <w:szCs w:val="20"/>
                <w:color w:val="auto"/>
              </w:rPr>
            </w:pPr>
            <w:r>
              <w:rPr>
                <w:rFonts w:ascii="Arial" w:cs="Arial" w:eastAsia="Arial" w:hAnsi="Arial"/>
                <w:sz w:val="18"/>
                <w:szCs w:val="18"/>
                <w:color w:val="auto"/>
              </w:rPr>
              <w:t>Date: November 1, 2019</w:t>
            </w:r>
          </w:p>
        </w:tc>
        <w:tc>
          <w:tcPr>
            <w:tcW w:w="2020" w:type="dxa"/>
            <w:vAlign w:val="bottom"/>
          </w:tcPr>
          <w:p>
            <w:pPr>
              <w:ind w:left="15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Joseph Wm. Foran</w:t>
            </w:r>
          </w:p>
        </w:tc>
      </w:tr>
      <w:tr>
        <w:trPr>
          <w:trHeight w:val="27"/>
        </w:trPr>
        <w:tc>
          <w:tcPr>
            <w:tcW w:w="3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Joseph Wm. Foran</w:t>
            </w:r>
          </w:p>
        </w:tc>
      </w:tr>
      <w:tr>
        <w:trPr>
          <w:trHeight w:val="270"/>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405"/>
        </w:trPr>
        <w:tc>
          <w:tcPr>
            <w:tcW w:w="3340" w:type="dxa"/>
            <w:vAlign w:val="bottom"/>
          </w:tcPr>
          <w:p>
            <w:pPr>
              <w:spacing w:after="0"/>
              <w:rPr>
                <w:sz w:val="20"/>
                <w:szCs w:val="20"/>
                <w:color w:val="auto"/>
              </w:rPr>
            </w:pPr>
            <w:r>
              <w:rPr>
                <w:rFonts w:ascii="Arial" w:cs="Arial" w:eastAsia="Arial" w:hAnsi="Arial"/>
                <w:sz w:val="18"/>
                <w:szCs w:val="18"/>
                <w:color w:val="auto"/>
              </w:rPr>
              <w:t>Date: November 1, 2019</w:t>
            </w:r>
          </w:p>
        </w:tc>
        <w:tc>
          <w:tcPr>
            <w:tcW w:w="2020" w:type="dxa"/>
            <w:vAlign w:val="bottom"/>
          </w:tcPr>
          <w:p>
            <w:pPr>
              <w:ind w:left="1560"/>
              <w:spacing w:after="0"/>
              <w:rPr>
                <w:sz w:val="20"/>
                <w:szCs w:val="20"/>
                <w:color w:val="auto"/>
              </w:rPr>
            </w:pPr>
            <w:r>
              <w:rPr>
                <w:rFonts w:ascii="Arial" w:cs="Arial" w:eastAsia="Arial" w:hAnsi="Arial"/>
                <w:sz w:val="18"/>
                <w:szCs w:val="18"/>
                <w:color w:val="auto"/>
              </w:rPr>
              <w:t>By:</w:t>
            </w:r>
          </w:p>
        </w:tc>
        <w:tc>
          <w:tcPr>
            <w:tcW w:w="32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 David E. Lancaster</w:t>
            </w:r>
          </w:p>
        </w:tc>
      </w:tr>
      <w:tr>
        <w:trPr>
          <w:trHeight w:val="27"/>
        </w:trPr>
        <w:tc>
          <w:tcPr>
            <w:tcW w:w="3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David E. Lancaster</w:t>
            </w:r>
          </w:p>
        </w:tc>
      </w:tr>
      <w:tr>
        <w:trPr>
          <w:trHeight w:val="270"/>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02"/>
        </w:trPr>
        <w:tc>
          <w:tcPr>
            <w:tcW w:w="3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0" w:type="dxa"/>
            <w:vAlign w:val="bottom"/>
            <w:gridSpan w:val="2"/>
          </w:tcPr>
          <w:p>
            <w:pPr>
              <w:jc w:val="right"/>
              <w:ind w:right="553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171" w:lineRule="exact"/>
        <w:rPr>
          <w:sz w:val="20"/>
          <w:szCs w:val="20"/>
          <w:color w:val="auto"/>
        </w:rPr>
      </w:pPr>
    </w:p>
    <w:p>
      <w:pPr>
        <w:ind w:left="620" w:hanging="180"/>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4900" w:val="left"/>
        </w:tabs>
        <w:rPr>
          <w:sz w:val="20"/>
          <w:szCs w:val="20"/>
          <w:color w:val="auto"/>
        </w:rPr>
      </w:pPr>
      <w:r>
        <w:rPr>
          <w:rFonts w:ascii="Arial" w:cs="Arial" w:eastAsia="Arial" w:hAnsi="Arial"/>
          <w:sz w:val="18"/>
          <w:szCs w:val="18"/>
          <w:color w:val="auto"/>
        </w:rPr>
        <w:t>November 1, 2019</w:t>
      </w:r>
      <w:r>
        <w:rPr>
          <w:sz w:val="20"/>
          <w:szCs w:val="20"/>
          <w:color w:val="auto"/>
        </w:rPr>
        <w:tab/>
      </w:r>
      <w:r>
        <w:rPr>
          <w:rFonts w:ascii="Arial" w:cs="Arial" w:eastAsia="Arial" w:hAnsi="Arial"/>
          <w:sz w:val="15"/>
          <w:szCs w:val="15"/>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2400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E. Lancaster, certify that:</w:t>
      </w:r>
    </w:p>
    <w:p>
      <w:pPr>
        <w:spacing w:after="0" w:line="171"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Matador Resources Company;</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160" w:firstLine="886"/>
        <w:spacing w:after="0" w:line="264" w:lineRule="auto"/>
        <w:tabs>
          <w:tab w:leader="none" w:pos="10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886"/>
        <w:spacing w:after="0" w:line="264"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660" w:firstLine="886"/>
        <w:spacing w:after="0" w:line="334" w:lineRule="auto"/>
        <w:tabs>
          <w:tab w:leader="none" w:pos="1048"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right="140" w:firstLine="886"/>
        <w:spacing w:after="0" w:line="264"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440"/>
        <w:spacing w:after="0" w:line="308" w:lineRule="auto"/>
        <w:tabs>
          <w:tab w:leader="none" w:pos="6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60" w:firstLine="886"/>
        <w:spacing w:after="0" w:line="277" w:lineRule="auto"/>
        <w:tabs>
          <w:tab w:leader="none" w:pos="10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firstLine="886"/>
        <w:spacing w:after="0" w:line="277"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November 1,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573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David E. Lancaster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2019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8"/>
          <w:szCs w:val="18"/>
          <w:color w:val="auto"/>
        </w:rPr>
        <w:t>November 1, 2019</w:t>
      </w:r>
      <w:r>
        <w:rPr>
          <w:sz w:val="20"/>
          <w:szCs w:val="20"/>
          <w:color w:val="auto"/>
        </w:rPr>
        <w:tab/>
      </w:r>
      <w:r>
        <w:rPr>
          <w:rFonts w:ascii="Arial" w:cs="Arial" w:eastAsia="Arial" w:hAnsi="Arial"/>
          <w:sz w:val="16"/>
          <w:szCs w:val="16"/>
          <w:color w:val="auto"/>
        </w:rPr>
        <w:t>/s/ Joseph Wm. Foran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31750</wp:posOffset>
            </wp:positionV>
            <wp:extent cx="2383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Joseph Wm. Foran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quarterly report of Matador Resources Company (the “Company”) on Form 10-Q for the period ended September 30, 2019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33"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18"/>
          <w:szCs w:val="18"/>
          <w:color w:val="auto"/>
        </w:rPr>
        <w:t>November 1, 2019</w:t>
      </w:r>
      <w:r>
        <w:rPr>
          <w:sz w:val="20"/>
          <w:szCs w:val="20"/>
          <w:color w:val="auto"/>
        </w:rPr>
        <w:tab/>
      </w:r>
      <w:r>
        <w:rPr>
          <w:rFonts w:ascii="Arial" w:cs="Arial" w:eastAsia="Arial" w:hAnsi="Arial"/>
          <w:sz w:val="16"/>
          <w:szCs w:val="16"/>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470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David E. Lancaster</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emdash "/>
      <w:numFmt w:val="bullet"/>
      <w:start w:val="1"/>
    </w:lvl>
  </w:abstractNum>
  <w:abstractNum w:abstractNumId="3">
    <w:nsid w:val="7FDCC233"/>
    <w:multiLevelType w:val="hybridMultilevel"/>
    <w:lvl w:ilvl="0">
      <w:lvlJc w:val="left"/>
      <w:lvlText w:val="(%1)"/>
      <w:numFmt w:val="decimal"/>
      <w:start w:val="291"/>
    </w:lvl>
  </w:abstractNum>
  <w:abstractNum w:abstractNumId="4">
    <w:nsid w:val="1BEFD79F"/>
    <w:multiLevelType w:val="hybridMultilevel"/>
    <w:lvl w:ilvl="0">
      <w:lvlJc w:val="left"/>
      <w:lvlText w:val="(%1)"/>
      <w:numFmt w:val="decimal"/>
      <w:start w:val="613"/>
    </w:lvl>
  </w:abstractNum>
  <w:abstractNum w:abstractNumId="5">
    <w:nsid w:val="41A7C4C9"/>
    <w:multiLevelType w:val="hybridMultilevel"/>
    <w:lvl w:ilvl="0">
      <w:lvlJc w:val="left"/>
      <w:lvlText w:val="(%1)"/>
      <w:numFmt w:val="decimal"/>
      <w:start w:val="623"/>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Roman"/>
      <w:start w:val="2"/>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79" Type="http://schemas.openxmlformats.org/officeDocument/2006/relationships/hyperlink" Target="http://www.sec.gov/Archives/edgar/data/1520006/000152000617000188/a20170630mtdr10q-exhibit32.htm" TargetMode="External"/><Relationship Id="rId80" Type="http://schemas.openxmlformats.org/officeDocument/2006/relationships/hyperlink" Target="http://www.sec.gov/Archives/edgar/data/1520006/000152000617000188/a20170630mtdr10q-exhibit33.htm" TargetMode="External"/><Relationship Id="rId81" Type="http://schemas.openxmlformats.org/officeDocument/2006/relationships/hyperlink" Target="http://www.sec.gov/Archives/edgar/data/1520006/000152000617000188/a20170630mtdr10q-exhibit34.htm" TargetMode="External"/><Relationship Id="rId82" Type="http://schemas.openxmlformats.org/officeDocument/2006/relationships/hyperlink" Target="http://www.sec.gov/Archives/edgar/data/1520006/000152000618000051/a20171231mtdr8k-amendedbyl.htm" TargetMode="External"/><Relationship Id="rId83" Type="http://schemas.openxmlformats.org/officeDocument/2006/relationships/hyperlink" Target="http://www.sec.gov/Archives/edgar/data/1520006/000152000619000115/a20190630mtdr10q-exhibit104.htm" TargetMode="External"/><Relationship Id="rId84" Type="http://schemas.openxmlformats.org/officeDocument/2006/relationships/hyperlink" Target="http://www.sec.gov/Archives/edgar/data/1520006/000152000619000115/a20190630mtdr10q-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2019-12-28T03:51:53Z</dcterms:created>
  <dcterms:modified xsi:type="dcterms:W3CDTF">2019-12-28T03:51:53Z</dcterms:modified>
</cp:coreProperties>
</file>