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23, 2024, there were 124,816,171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2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2024</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2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2024 and December 31, 2023</w:t>
            </w:r>
          </w:p>
        </w:tc>
        <w:tc>
          <w:tcPr>
            <w:tcW w:w="384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30, 2024 and 2023</w:t>
            </w:r>
          </w:p>
        </w:tc>
        <w:tc>
          <w:tcPr>
            <w:tcW w:w="192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30, 2024 and 2023</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0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40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8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Repurchase of Equity by the Company or Affiliates</w:t>
            </w: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400" w:type="dxa"/>
            <w:vAlign w:val="bottom"/>
            <w:tcBorders>
              <w:left w:val="single" w:sz="8" w:color="0000FF"/>
            </w:tcBorders>
            <w:gridSpan w:val="5"/>
            <w:shd w:val="clear" w:color="auto" w:fill="0000FF"/>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2400" w:type="dxa"/>
            <w:vAlign w:val="bottom"/>
            <w:gridSpan w:val="5"/>
          </w:tcPr>
          <w:p>
            <w:pPr>
              <w:spacing w:after="0"/>
              <w:rPr>
                <w:sz w:val="18"/>
                <w:szCs w:val="18"/>
                <w:color w:val="auto"/>
              </w:rPr>
            </w:pPr>
          </w:p>
        </w:tc>
        <w:tc>
          <w:tcPr>
            <w:tcW w:w="582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274,192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163,660</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92,700</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715,872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10,376,411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9,633,757</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1,478,247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1,193,257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1,448,343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1,318,015</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(5,667,208)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(5,228,963)</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7,677,788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6,956,441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54,125</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Total other assets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54,683</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8,518,391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7,726,996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96,241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365,848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161,983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85,433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40,617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685,275</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1,184,627</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581,439</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56,742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38,482</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2,914,033</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 $0.01 par value, 160,000,000 shares authorized; 124,885,730 and 119,478,282 shares issued;</w:t>
            </w:r>
          </w:p>
        </w:tc>
        <w:tc>
          <w:tcPr>
            <w:tcW w:w="2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9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and 124,811,349 and 119,458,674 shares outstanding, respectively</w:t>
            </w: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2,483,075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2,133,172</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2,150,292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74,381 and 19,608 shares,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4,631,626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4,855,605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8,518,391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7,726,996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6160" w:type="dxa"/>
            <w:vAlign w:val="bottom"/>
            <w:gridSpan w:val="5"/>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770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 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160" w:type="dxa"/>
            <w:vAlign w:val="bottom"/>
            <w:gridSpan w:val="5"/>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1,090,826</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56,586</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66,152</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1,198,359</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117,477</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105,450</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61,702</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303,839</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694,658</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503,701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impairment</w:t>
            </w: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(50,405)</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469,997</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113,978</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113,978</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0" w:type="dxa"/>
            <w:vAlign w:val="bottom"/>
          </w:tcPr>
          <w:p>
            <w:pPr>
              <w:spacing w:after="0"/>
              <w:rPr>
                <w:sz w:val="1"/>
                <w:szCs w:val="1"/>
                <w:color w:val="auto"/>
              </w:rPr>
            </w:pPr>
          </w:p>
        </w:tc>
      </w:tr>
      <w:tr>
        <w:trPr>
          <w:trHeight w:val="223"/>
        </w:trPr>
        <w:tc>
          <w:tcPr>
            <w:tcW w:w="6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327,796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124,896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119,842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122,438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119,856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1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0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p>
      <w:pPr>
        <w:ind w:left="854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29"/>
        </w:trPr>
        <w:tc>
          <w:tcPr>
            <w:tcW w:w="3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96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00" w:type="dxa"/>
            <w:vAlign w:val="bottom"/>
          </w:tcPr>
          <w:p>
            <w:pPr>
              <w:spacing w:after="0"/>
              <w:rPr>
                <w:sz w:val="8"/>
                <w:szCs w:val="8"/>
                <w:color w:val="auto"/>
              </w:rPr>
            </w:pPr>
          </w:p>
        </w:tc>
        <w:tc>
          <w:tcPr>
            <w:tcW w:w="9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$ 2,133,172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1,776,541</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3,910,862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4,127,688</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public offering</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344,663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to issue equity</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$0.3</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(25,725)</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193,729</w:t>
            </w: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213,190</w:t>
            </w:r>
          </w:p>
        </w:tc>
        <w:tc>
          <w:tcPr>
            <w:tcW w:w="0" w:type="dxa"/>
            <w:vAlign w:val="bottom"/>
          </w:tcPr>
          <w:p>
            <w:pPr>
              <w:spacing w:after="0"/>
              <w:rPr>
                <w:sz w:val="1"/>
                <w:szCs w:val="1"/>
                <w:color w:val="auto"/>
              </w:rPr>
            </w:pPr>
          </w:p>
        </w:tc>
      </w:tr>
      <w:tr>
        <w:trPr>
          <w:trHeight w:val="221"/>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$ 2,472,681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1,946,412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4,418,250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4,636,162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Dividends declared ($0.20 per share)</w:t>
            </w: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60" w:type="dxa"/>
            <w:vAlign w:val="bottom"/>
            <w:tcBorders>
              <w:top w:val="single" w:sz="8" w:color="CCEEFF"/>
            </w:tcBorders>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to issue equity</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directors’ compensation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$1.8</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(24,451)</w:t>
            </w:r>
          </w:p>
        </w:tc>
        <w:tc>
          <w:tcPr>
            <w:tcW w:w="0" w:type="dxa"/>
            <w:vAlign w:val="bottom"/>
          </w:tcPr>
          <w:p>
            <w:pPr>
              <w:spacing w:after="0"/>
              <w:rPr>
                <w:sz w:val="1"/>
                <w:szCs w:val="1"/>
                <w:color w:val="auto"/>
              </w:rPr>
            </w:pPr>
          </w:p>
        </w:tc>
      </w:tr>
      <w:tr>
        <w:trPr>
          <w:trHeight w:val="195"/>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247,527</w:t>
            </w:r>
          </w:p>
        </w:tc>
        <w:tc>
          <w:tcPr>
            <w:tcW w:w="0" w:type="dxa"/>
            <w:vAlign w:val="bottom"/>
          </w:tcPr>
          <w:p>
            <w:pPr>
              <w:spacing w:after="0"/>
              <w:rPr>
                <w:sz w:val="1"/>
                <w:szCs w:val="1"/>
                <w:color w:val="auto"/>
              </w:rPr>
            </w:pPr>
          </w:p>
        </w:tc>
      </w:tr>
      <w:tr>
        <w:trPr>
          <w:trHeight w:val="19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124,886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$ 2,483,075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2,150,292</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4,631,626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223,979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4,855,605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4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$ 2,101,999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1,007,642</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3,110,797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3,317,091</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(17,768)</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(17,590)</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$3.1</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7)</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(19,110)</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178,924</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119,232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$ 2,099,926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1,153,004</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3,252,852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202,978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3,455,830</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pursuant to directors' compensation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less-than-wholly-</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(25,333)</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164,666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177,095</w:t>
            </w:r>
          </w:p>
        </w:tc>
        <w:tc>
          <w:tcPr>
            <w:tcW w:w="0" w:type="dxa"/>
            <w:vAlign w:val="bottom"/>
          </w:tcPr>
          <w:p>
            <w:pPr>
              <w:spacing w:after="0"/>
              <w:rPr>
                <w:sz w:val="1"/>
                <w:szCs w:val="1"/>
                <w:color w:val="auto"/>
              </w:rPr>
            </w:pPr>
          </w:p>
        </w:tc>
      </w:t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119,272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$ 2,106,987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1,299,753</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3,402,856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214,574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3,617,430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2"/>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88"/>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460,717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356,019</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9,754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15,726</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438,245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303,839</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5,812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97,388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113,978</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 and other debt-related costs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9,586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Other non-cash changes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(15,682)</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56,407</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(24,124)</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14,832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(28,232)</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33,811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36,485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13,846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196"/>
        </w:trPr>
        <w:tc>
          <w:tcPr>
            <w:tcW w:w="906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1,061,489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788,511</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(539,511)</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Advance</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(1,608,427)</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Ameredev</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(55,897)</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(32,871)</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89"/>
        </w:trPr>
        <w:tc>
          <w:tcPr>
            <w:tcW w:w="1280" w:type="dxa"/>
            <w:vAlign w:val="bottom"/>
          </w:tcPr>
          <w:p>
            <w:pPr>
              <w:spacing w:after="0"/>
              <w:rPr>
                <w:sz w:val="16"/>
                <w:szCs w:val="16"/>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(1,120,147)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(2,238,733)</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1,315,000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126,000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(8,645)</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to issue senior unsecured notes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(8,255)</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senior unsecured notes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344,663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to issue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(35,685)</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10,250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tc>
        <w:tc>
          <w:tcPr>
            <w:tcW w:w="2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19,110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(44,443)</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89"/>
        </w:trPr>
        <w:tc>
          <w:tcPr>
            <w:tcW w:w="1280" w:type="dxa"/>
            <w:vAlign w:val="bottom"/>
            <w:tcBorders>
              <w:bottom w:val="single" w:sz="8" w:color="CCEEFF"/>
            </w:tcBorders>
          </w:tcPr>
          <w:p>
            <w:pPr>
              <w:spacing w:after="0"/>
              <w:rPr>
                <w:sz w:val="16"/>
                <w:szCs w:val="16"/>
                <w:color w:val="auto"/>
              </w:rPr>
            </w:pPr>
          </w:p>
        </w:tc>
        <w:tc>
          <w:tcPr>
            <w:tcW w:w="7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16,263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968,730</w:t>
            </w:r>
          </w:p>
        </w:tc>
      </w:tr>
      <w:tr>
        <w:trPr>
          <w:trHeight w:val="20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and restricted cash</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(481,492)</w:t>
            </w:r>
          </w:p>
        </w:tc>
      </w:tr>
      <w:tr>
        <w:trPr>
          <w:trHeight w:val="196"/>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106,298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547,330</w:t>
            </w:r>
          </w:p>
        </w:tc>
      </w:tr>
      <w:tr>
        <w:trPr>
          <w:trHeight w:val="221"/>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63,903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and Pronto Midstream, LLC and its subsidiary (“Pronto”)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2023 filed with the SEC on February 27, 2024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less-than-wholly-owned and are involved in oil and natural gas exploration. All intercompany balances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2024. Amounts as of December 31, 2023 are derived from the Company’s audited consolidated financial statements included in the Annual Report.</w:t>
      </w:r>
    </w:p>
    <w:p>
      <w:pPr>
        <w:spacing w:after="0" w:line="8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and six months ended June 30, 2024 and 2023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1,213,564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1,198,359</w:t>
            </w:r>
          </w:p>
        </w:tc>
      </w:tr>
      <w:tr>
        <w:trPr>
          <w:trHeight w:val="21"/>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912,141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56,586</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66,152</w:t>
            </w:r>
          </w:p>
        </w:tc>
      </w:tr>
      <w:tr>
        <w:trPr>
          <w:trHeight w:val="248"/>
        </w:trPr>
        <w:tc>
          <w:tcPr>
            <w:tcW w:w="52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1,213,564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six months ended June 30, 2024 and 2023, the cost center ceiling was higher than the capitalized costs of oil and natural gas properties, and, as a result, no impairment charge was necessary.</w:t>
      </w:r>
    </w:p>
    <w:p>
      <w:pPr>
        <w:spacing w:after="0" w:line="75" w:lineRule="exact"/>
        <w:rPr>
          <w:sz w:val="20"/>
          <w:szCs w:val="20"/>
          <w:color w:val="auto"/>
        </w:rPr>
      </w:pPr>
    </w:p>
    <w:p>
      <w:pPr>
        <w:jc w:val="both"/>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capitalized approximately $15.1 million and $14.5 million of its general and administrative costs for the three months ended June 30, 2024 and 2023, respectively, and $32.2 million and $27.1 million of its general and administrative costs for the six months ended June 30, 2024 and 2023, respectively. The Company capitalized approximately $9.3 million and $5.3 million of its interest expense for the three months ended June 30, 2024 and 2023, respectively, and $15.2 million and $8.7 million of its interest expense for the six months ended June 30,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and six months ended June 30, 2024 and 2023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2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r>
      <w:tr>
        <w:trPr>
          <w:trHeight w:val="239"/>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119,856</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11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In November 2023, the Financial Accounting Standards Board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which enhances the disclosures required for operating segments in the Company’s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This ASU is effective retrospectively for fiscal years beginning after December 15, 2023 and for interim periods within fiscal years beginning after December 15, 2024. The Company is currently evaluating the impact of this standard on its disclosures.</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Climate-Related Disclosures. </w:t>
      </w:r>
      <w:r>
        <w:rPr>
          <w:rFonts w:ascii="Times New Roman" w:cs="Times New Roman" w:eastAsia="Times New Roman" w:hAnsi="Times New Roman"/>
          <w:sz w:val="18"/>
          <w:szCs w:val="18"/>
          <w:color w:val="auto"/>
        </w:rPr>
        <w:t>On March 6, 2024, the SEC adopted a new set of rules that require a wide range of climate-related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 The Company is currently evaluating the impact of the final rules on its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Ameredev Acquisition</w:t>
      </w:r>
    </w:p>
    <w:p>
      <w:pPr>
        <w:spacing w:after="0" w:line="119" w:lineRule="exact"/>
        <w:rPr>
          <w:sz w:val="20"/>
          <w:szCs w:val="20"/>
          <w:color w:val="auto"/>
        </w:rPr>
      </w:pPr>
    </w:p>
    <w:p>
      <w:pPr>
        <w:ind w:right="100" w:firstLine="486"/>
        <w:spacing w:after="0" w:line="245" w:lineRule="auto"/>
        <w:rPr>
          <w:sz w:val="20"/>
          <w:szCs w:val="20"/>
          <w:color w:val="auto"/>
        </w:rPr>
      </w:pPr>
      <w:r>
        <w:rPr>
          <w:rFonts w:ascii="Times New Roman" w:cs="Times New Roman" w:eastAsia="Times New Roman" w:hAnsi="Times New Roman"/>
          <w:sz w:val="18"/>
          <w:szCs w:val="18"/>
          <w:color w:val="auto"/>
        </w:rPr>
        <w:t>On June 12, 2024, a wholly-owned subsidiary of the Company entered into a definitive agreement to acquire a subsidiary of Ameredev II Parent, LLC (“Ameredev”) from affiliates of EnCap Investments L.P., including certain oil and natural gas producing properties and undeveloped acreage located in Lea County, New Mexico and Loving and Winkler Counties, Texas (the “Ameredev Acquisition”). The Ameredev Acquisition also includes an approximate 19% stake in Piñon Midstream, LLC, which has midstream assets in southern Lea County, New Mexico. The consideration for the Ameredev Acquisition will consist of a cash payment of $1.905 billion, subject to customary closing adjustments. The consummation of the Ameredev Acquisition is subject to customary closing conditions, including regulatory approval, and is expected to close late in the third quarter of 2024 with an effective date of June 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Q1 2024 Acquisition</w:t>
      </w:r>
    </w:p>
    <w:p>
      <w:pPr>
        <w:spacing w:after="0" w:line="106"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On February 15, 2024, a wholly-owned subsidiary of the Company acquired oil and natural gas producing properties and undeveloped acreage located in Lea County, New Mexico (the “Q1 2024 Acquisition”). The Q1 2024 Acquisition had an effective date of October 1, 2023 and consideration for the acquisition consisted of an amount in cash equal to approximately $155.1 million (which amount was subject to certain customary post-closing adjustments).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 Continued</w:t>
      </w:r>
    </w:p>
    <w:p>
      <w:pPr>
        <w:spacing w:after="0" w:line="200" w:lineRule="exact"/>
        <w:rPr>
          <w:sz w:val="20"/>
          <w:szCs w:val="20"/>
          <w:color w:val="auto"/>
        </w:rPr>
      </w:pPr>
    </w:p>
    <w:p>
      <w:pPr>
        <w:spacing w:after="0" w:line="39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Q1 2024 Acquisition was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acquisition date, with any excess purchase price allocated to goodwill.</w:t>
      </w:r>
    </w:p>
    <w:p>
      <w:pPr>
        <w:spacing w:after="0" w:line="16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total purchase price for the Q1 2024 Acquisition is set forth below (in thousands). The Company anticipates that the allocation of the purchase price should be finalized during 2024 upon determination of the final purchase price adjustments.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80" w:type="dxa"/>
            <w:vAlign w:val="bottom"/>
          </w:tcPr>
          <w:p>
            <w:pPr>
              <w:spacing w:after="0"/>
              <w:rPr>
                <w:sz w:val="17"/>
                <w:szCs w:val="17"/>
                <w:color w:val="auto"/>
              </w:rPr>
            </w:pPr>
          </w:p>
        </w:tc>
        <w:tc>
          <w:tcPr>
            <w:tcW w:w="17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given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1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91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Evaluated</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Unproved and unevaluated</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18"/>
          <w:szCs w:val="18"/>
          <w:color w:val="auto"/>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spacing w:after="0" w:line="8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Significant inputs to the valuation of oil and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spacing w:after="0" w:line="68"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Q1 2024 Acquisition since the closing date have been included in the Company’s interim unaudited condensed consolidated financial statements for the three and six months ended June 30, 2024. The pro forma impact of this business combination to revenues and net income for 2024 would not be material to the Company’s 2024 revenues and net income as reported.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 Acquisition</w:t>
      </w:r>
    </w:p>
    <w:p>
      <w:pPr>
        <w:spacing w:after="0" w:line="10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“Initial Advance Acquisition”).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Company’s reserves-based revolving credit facility (the “Credit Agreement”). In the fourth quarter of 2023, the Company paid Contingent Consideration of $15.0 million, as the average oil price for the months of September and October 2023 exceeded $85 per barrel.</w:t>
      </w:r>
    </w:p>
    <w:p>
      <w:pPr>
        <w:spacing w:after="0" w:line="17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is subject to certain customary post-closing adjustments), and was funded by cash on hand.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 Continued</w:t>
      </w:r>
    </w:p>
    <w:p>
      <w:pPr>
        <w:spacing w:after="0" w:line="200" w:lineRule="exact"/>
        <w:rPr>
          <w:sz w:val="20"/>
          <w:szCs w:val="20"/>
          <w:color w:val="auto"/>
        </w:rPr>
      </w:pPr>
    </w:p>
    <w:p>
      <w:pPr>
        <w:spacing w:after="0" w:line="3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Initial Advance Acquisition and Advance Royalty Acquisition (collectively, the “Advance Acquisition”) were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The final allocation of the total purchase price for the Advance Acquisition is set forth below (in thousands).</w:t>
            </w: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80" w:type="dxa"/>
            <w:vAlign w:val="bottom"/>
          </w:tcPr>
          <w:p>
            <w:pPr>
              <w:spacing w:after="0"/>
              <w:rPr>
                <w:sz w:val="24"/>
                <w:szCs w:val="24"/>
                <w:color w:val="auto"/>
              </w:rPr>
            </w:pPr>
          </w:p>
        </w:tc>
        <w:tc>
          <w:tcPr>
            <w:tcW w:w="17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1,676,132</w:t>
            </w:r>
          </w:p>
        </w:tc>
      </w:tr>
      <w:tr>
        <w:trPr>
          <w:trHeight w:val="229"/>
        </w:trPr>
        <w:tc>
          <w:tcPr>
            <w:tcW w:w="20" w:type="dxa"/>
            <w:vAlign w:val="bottom"/>
          </w:tcPr>
          <w:p>
            <w:pPr>
              <w:spacing w:after="0"/>
              <w:rPr>
                <w:sz w:val="19"/>
                <w:szCs w:val="19"/>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30"/>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Contingent Consideration at April 12, 2023</w:t>
            </w:r>
          </w:p>
        </w:tc>
        <w:tc>
          <w:tcPr>
            <w:tcW w:w="3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r>
      <w:tr>
        <w:trPr>
          <w:trHeight w:val="223"/>
        </w:trPr>
        <w:tc>
          <w:tcPr>
            <w:tcW w:w="20" w:type="dxa"/>
            <w:vAlign w:val="bottom"/>
          </w:tcPr>
          <w:p>
            <w:pPr>
              <w:spacing w:after="0"/>
              <w:rPr>
                <w:sz w:val="19"/>
                <w:szCs w:val="19"/>
                <w:color w:val="auto"/>
              </w:rPr>
            </w:pPr>
          </w:p>
        </w:tc>
        <w:tc>
          <w:tcPr>
            <w:tcW w:w="9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consideration given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1,693,223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91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3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9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79,287</w:t>
            </w:r>
          </w:p>
        </w:tc>
      </w:tr>
      <w:tr>
        <w:trPr>
          <w:trHeight w:val="230"/>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Evaluated</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1,418,668</w:t>
            </w:r>
          </w:p>
        </w:tc>
      </w:tr>
      <w:tr>
        <w:trPr>
          <w:trHeight w:val="229"/>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Unproved and unevaluated</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213,835</w:t>
            </w:r>
          </w:p>
        </w:tc>
      </w:tr>
      <w:tr>
        <w:trPr>
          <w:trHeight w:val="230"/>
        </w:trPr>
        <w:tc>
          <w:tcPr>
            <w:tcW w:w="20" w:type="dxa"/>
            <w:vAlign w:val="bottom"/>
          </w:tcPr>
          <w:p>
            <w:pPr>
              <w:spacing w:after="0"/>
              <w:rPr>
                <w:sz w:val="19"/>
                <w:szCs w:val="19"/>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Midstream assets</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63,644</w:t>
            </w:r>
          </w:p>
        </w:tc>
      </w:tr>
      <w:tr>
        <w:trPr>
          <w:trHeight w:val="229"/>
        </w:trPr>
        <w:tc>
          <w:tcPr>
            <w:tcW w:w="20" w:type="dxa"/>
            <w:vAlign w:val="bottom"/>
            <w:shd w:val="clear" w:color="auto" w:fill="CCEEFF"/>
          </w:tcPr>
          <w:p>
            <w:pPr>
              <w:spacing w:after="0"/>
              <w:rPr>
                <w:sz w:val="19"/>
                <w:szCs w:val="19"/>
                <w:color w:val="auto"/>
              </w:rPr>
            </w:pPr>
          </w:p>
        </w:tc>
        <w:tc>
          <w:tcPr>
            <w:tcW w:w="9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w:t>
            </w:r>
          </w:p>
        </w:tc>
      </w:tr>
      <w:tr>
        <w:trPr>
          <w:trHeight w:val="230"/>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ASSET RETIREMENT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six months ended June 30,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98,835</w:t>
            </w:r>
          </w:p>
        </w:tc>
      </w:tr>
      <w:tr>
        <w:trPr>
          <w:trHeight w:val="230"/>
        </w:trPr>
        <w:tc>
          <w:tcPr>
            <w:tcW w:w="10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93,952</w:t>
            </w:r>
          </w:p>
        </w:tc>
      </w:tr>
      <w:tr>
        <w:trPr>
          <w:trHeight w:val="20"/>
        </w:trPr>
        <w:tc>
          <w:tcPr>
            <w:tcW w:w="10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0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June 30,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At June 30, 2024, the Company had (i) $500.0 million of outstanding senior notes due 2028 (the “2028 Notes”), (ii) $900.0 million of outstanding senior notes due 2032 (the “2032 Notes”), (iii) $95.0 million in borrowings outstanding under the Credit Agreement and (iv) approximately $52.8 million in outstanding letters of credit issued pursuant to the Credit Agreement. Between June 30, 2024 and July 23, 2024, the Company repaid all $95.0 million of borrowings outstanding under the Credit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 — Continued</w:t>
      </w:r>
    </w:p>
    <w:p>
      <w:pPr>
        <w:spacing w:after="0" w:line="200" w:lineRule="exact"/>
        <w:rPr>
          <w:sz w:val="20"/>
          <w:szCs w:val="20"/>
          <w:color w:val="auto"/>
        </w:rPr>
      </w:pPr>
    </w:p>
    <w:p>
      <w:pPr>
        <w:spacing w:after="0" w:line="259"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At June 30, 2024, San Mateo had $512.0 million in borrowings outstanding under its revolving credit facility (the “San Mateo Credit Facility”) and approximately $9.0 million in outstanding letters of credit issued pursuant to the San Mateo Credit Facility. Between June 30, 2024 and July 23, 2024, San Mateo repaid $26.0 million of borrowings under the San Mateo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On March 22, 2024, the Company and its lenders entered into an amendment to the Fourth Amended and Restated Credit Agreement, which amended the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w:t>
      </w:r>
    </w:p>
    <w:p>
      <w:pPr>
        <w:spacing w:after="0" w:line="84"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June 12, 2024, in connection with the Ameredev Acquisition, the Company entered into a commitment letter with PNC Capital Markets LLC and PNC Bank, National Association, which commitment letter provides commitments for an amendment to the Credit Agreement to incorporate an up to $250.0 million term loan and increase the elected commitment from $1.50 billion to $2.25 billion.</w:t>
      </w:r>
    </w:p>
    <w:p>
      <w:pPr>
        <w:spacing w:after="0" w:line="6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cash or cash equivalents of up to the greater of (a) $150.0 million and (b) 10% of the elected commitment), divided by a rolling four quarter EBITDA calculation, of 3.5 to 1.0 or less. The Company believes that it was in compliance with the terms of the Credit Agreement at June 30, 2024.</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wholly-owned subsidiaries but is guaranteed by San Mateo’s subsidiaries and secured by substantially all of San Mateo’s assets, including real property. The outstanding borrowings under the San Mateo Credit Facility mature on December 9, 2026, and lender commitments under the facility were $535.0 million at June 30, 2024. The San Mateo Credit Facility includes an accordion feature, which provides for potential increases in lender commitments of up to $735.0 million.</w:t>
      </w:r>
    </w:p>
    <w:p>
      <w:pPr>
        <w:spacing w:after="0" w:line="7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June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2026 Notes Tender Offer and Redemption</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On April 2 and April 4, 2024, the Company completed the repurchase of an aggregate principal amount of approximately $556.3 million of the $699.2 million of outstanding senior notes due 2026 (the “2026 Notes”) pursuant to the Company’s cash tender offer for the 2026 Notes announced on March 26, 2024 (the “2026 Notes Tender Offer”). On April 2, 2024, the Company exercised its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 — Continued</w:t>
      </w:r>
    </w:p>
    <w:p>
      <w:pPr>
        <w:spacing w:after="0" w:line="200" w:lineRule="exact"/>
        <w:rPr>
          <w:sz w:val="20"/>
          <w:szCs w:val="20"/>
          <w:color w:val="auto"/>
        </w:rPr>
      </w:pPr>
    </w:p>
    <w:p>
      <w:pPr>
        <w:spacing w:after="0" w:line="2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respect to the 2026 Notes. In connection with the 2026 Notes Tender Offer and 2026 Notes Redemption, the Company incurred a loss of approximately $3.0 million included in interest expense for the three and six months ended June 30, 2024.</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2028 Senior Notes</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At June 30, 2024, the Company had $500.0 million of outstanding 2028 Notes, which have a 6.875% coupon rate. The 2028 Notes mature April 15, 2028, and interest is payable on the 2028 Notes semi-annually in arrears on each April 15 and October 15. The 2028 Notes are jointly and severally guaranteed on a senior unsecured basis by the Guarantor Subsidiaries. Neither San Mateo nor Pronto is a guarantor of the 2028 Notes.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2032 Senior Notes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April 2, 2024, the Company completed the sale of $900.0 million in aggregate principal amount of the 2032 Notes, which have a 6.50% coupon rate and mature on April 15, 2032. Interest on the 2032 Notes is payable in arrears on each April 15 and October 15 and the first interest payment date for the 2032 Notes will be October 15, 2024. The 2032 Notes are guaranteed on a senior unsecured basis by the Guarantor Subsidiaries. Neither San Mateo nor Pronto is a guarantor of the 2032 Notes.</w:t>
      </w:r>
    </w:p>
    <w:p>
      <w:pPr>
        <w:spacing w:after="0" w:line="7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At any time prior to April 15, 2027, the Company may redeem up to 40% in aggregate principal amount of 2032 Notes at a redemption price of 106.500%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2032 Notes remains outstanding after such redemption. In addition, at any time prior to April 15, 2027, the Company may redeem all or part of the 2032 Notes for cash at a redemption price equal to 100% of their principal amount plus an applicable make-whole premium and accrued and unpaid interest, if any, to the applicable redemption date.</w:t>
      </w:r>
    </w:p>
    <w:p>
      <w:pPr>
        <w:spacing w:after="0" w:line="7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or after April 15, 2027, the Company may redeem all or a part of the 2032 Notes at any time or from time to time at the following redemption prices (expressed as percentages of the principal amount) plus accrued and unpaid interest, if any, to the applicable redemption date, if redeemed during the twelve-month period beginning April 15 of the years indicated below:</w:t>
      </w:r>
    </w:p>
    <w:p>
      <w:pPr>
        <w:spacing w:after="0" w:line="104" w:lineRule="exact"/>
        <w:rPr>
          <w:sz w:val="20"/>
          <w:szCs w:val="20"/>
          <w:color w:val="auto"/>
        </w:rPr>
      </w:pPr>
    </w:p>
    <w:tbl>
      <w:tblPr>
        <w:tblLayout w:type="fixed"/>
        <w:tblInd w:w="3680" w:type="dxa"/>
        <w:tblCellMar>
          <w:top w:w="0" w:type="dxa"/>
          <w:left w:w="0" w:type="dxa"/>
          <w:bottom w:w="0" w:type="dxa"/>
          <w:right w:w="0" w:type="dxa"/>
        </w:tblCellMar>
      </w:tblPr>
      <w:tr>
        <w:trPr>
          <w:trHeight w:val="238"/>
        </w:trPr>
        <w:tc>
          <w:tcPr>
            <w:tcW w:w="22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103.250%</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101.625%</w:t>
            </w:r>
          </w:p>
        </w:tc>
      </w:tr>
      <w:tr>
        <w:trPr>
          <w:trHeight w:val="22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Maturities</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outstanding borrowings of $95.0 million at June 30, 2024 under the Credit Agreement mature on March 22, 2029. The outstanding borrowings of $512.0 million at June 30, 2024 under the San Mateo Credit Facility mature on December 9, 2026. The $500.0 million of outstanding 2028 Notes at</w:t>
      </w:r>
    </w:p>
    <w:p>
      <w:pPr>
        <w:ind w:right="1780"/>
        <w:spacing w:after="0" w:line="365" w:lineRule="auto"/>
        <w:rPr>
          <w:sz w:val="20"/>
          <w:szCs w:val="20"/>
          <w:color w:val="auto"/>
        </w:rPr>
      </w:pPr>
      <w:r>
        <w:rPr>
          <w:rFonts w:ascii="Times New Roman" w:cs="Times New Roman" w:eastAsia="Times New Roman" w:hAnsi="Times New Roman"/>
          <w:sz w:val="18"/>
          <w:szCs w:val="18"/>
          <w:color w:val="auto"/>
        </w:rPr>
        <w:t xml:space="preserve">June 30, 2024 mature on April 15, 2028. The $900.0 million of outstanding 2032 Notes at June 30, 2024 mature on April 15, 2032. </w:t>
      </w:r>
      <w:r>
        <w:rPr>
          <w:rFonts w:ascii="Times New Roman" w:cs="Times New Roman" w:eastAsia="Times New Roman" w:hAnsi="Times New Roman"/>
          <w:sz w:val="18"/>
          <w:szCs w:val="18"/>
          <w:b w:val="1"/>
          <w:bCs w:val="1"/>
          <w:color w:val="auto"/>
        </w:rPr>
        <w:t>NOTE 6 — INCOME TAXES</w:t>
      </w: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a current income tax provision of $30.1 million and $47.4 million and a deferred income tax provision of $47.9 million and $97.4 million for the three and six months ended June 30, 2024, respectively. The Company recorded a current income tax benefit of $4.9 million for the three months ended June 30, 2023 and a deferred income tax provision of $62.2 million and $114.0 million for the three and six months ended June 30, 2023, respectively.</w:t>
      </w:r>
    </w:p>
    <w:p>
      <w:pPr>
        <w:spacing w:after="0" w:line="7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of 25% and 26% for the three months ended June 30, 2024 and 2023, respectively, and 26% for each of the six months ended June 30, 2024 and 2023 differed from the U.S. federal statutory rate due primarily to permanent differences between book and taxable income and state taxes, primarily in New Mexico.</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Offering</w:t>
      </w:r>
    </w:p>
    <w:p>
      <w:pPr>
        <w:spacing w:after="0" w:line="119"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On March 28, 2024, the Company completed an underwritten public offering of 5,250,000 shares of its common stock. After deducting underwriting discounts and offering expenses, the Company received net proceeds of approximately $342.1 million. The net proceeds from this offering were used for general corporate purposes, including the funding of acquisitions and the repayment of borrowings outstanding under the Credit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awards to certain of its employees of 137,100 service-based restricted stock units to be settled in cash, which are liability instruments, and 176,000 performance-based stock units and 112,700 service-based shares of restricted stock, which are equity instruments. The performance-based stock units vest in an amount between zero and 200% of the target units granted based on the Company’s relative total shareholder return over the three-year period ending December 31, 2026, as compared to a designated peer group. The service-based restricted stock and restricted stock units vest over a three-year period. The fair value of these awards was approximately $25.8 million on the grant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jc w:val="both"/>
        <w:ind w:right="200" w:firstLine="405"/>
        <w:spacing w:after="0" w:line="258" w:lineRule="auto"/>
        <w:rPr>
          <w:sz w:val="20"/>
          <w:szCs w:val="20"/>
          <w:color w:val="auto"/>
        </w:rPr>
      </w:pPr>
      <w:r>
        <w:rPr>
          <w:rFonts w:ascii="Times New Roman" w:cs="Times New Roman" w:eastAsia="Times New Roman" w:hAnsi="Times New Roman"/>
          <w:sz w:val="18"/>
          <w:szCs w:val="18"/>
          <w:color w:val="auto"/>
        </w:rPr>
        <w:t>Matador’s Board of Directors (the “Board”) declared a quarterly cash dividend of $0.20 per share of common stock in each of the first and second quarters of 2024. The first quarter dividend, which totaled $23.9 million, was paid on March 13, 2024 to shareholders of record as of February 23, 2024. The second quarter dividend, which totaled $24.9 million, was paid on June 7, 2024 to shareholders of record as of May 17, 2024. On July 18, 2024, the Board declared a quarterly cash dividend of $0.20 per share of common stock payable on September 5, 2024 to shareholders of record as of August 15,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June 30, 2024 and 2023, San Mateo distributed $25.4 million and $26.4 million, respectively, to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million and $25.3 million, respectively, to a subsidiary of Five Point Energy LLC (“Five Point”), the Company’s joint venture partner in San Mateo.</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and 2023, San Mateo distributed $52.2 million and $46.3 million, respectively, to the Company and $50.2 million and $44.4 million, respectively, to a subsidiary of Five Point. During the three months ended June 30, 2024 and 2023, the Company contributed $12.2 million and $25.5 million, respectively, and Five Point contributed $11.8 million and $24.5 million, respectively, of cash to San Mateo. During the six months ended June 30, 2024 and 2023, the Company contributed $19.9 million and $25.5 million, respectively, and Five Point contributed $19.1 million and $24.5 million, respectively, of cash to San Mateo.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Five Point paid the Company $8.8 million of performance incentives during the three months ended June 30, 2024. No performance incentives were paid by Five Point to the Company during the three months ended June 30, 2023. Five Point paid the Company $10.3 million and $14.7 million of performance incentives during the six months ended June 30, 2024 and 2023, respectively. These performance incentives are recorded when received, net of the $1.8 million deferred tax impact to the Company for the three months ended June 30, 2024 and the $2.1 million and $3.1 million deferred tax impact to the Company for the six months ended June 30, 2024 and 2023, respectively, in “Additional paid-in capital” in the Company’s interim unaudited condensed consolidated balance sheets. These performance incentives for the three months ended June 30, 2024 and the six months ended June 30, 2024 and 2023 are also denoted as “Contributions related to formation of San Mateo” under “Financing activities” in the Company’s interim unaudited condensed consolidated statements of cash flows and changes in shareholders’ equity.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At June 30, 2024, the Company had various costless collar contracts open and in place to mitigate its exposure to oil price volatility, each with an established price floor and ceiling. At June 30, 2024,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June 30, 2024.</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at June 30, 2024.</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0" w:type="dxa"/>
            <w:vAlign w:val="bottom"/>
          </w:tcPr>
          <w:p>
            <w:pPr>
              <w:spacing w:after="0"/>
              <w:rPr>
                <w:sz w:val="17"/>
                <w:szCs w:val="17"/>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1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45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6"/>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Price Floor</w:t>
            </w:r>
          </w:p>
        </w:tc>
        <w:tc>
          <w:tcPr>
            <w:tcW w:w="140" w:type="dxa"/>
            <w:vAlign w:val="bottom"/>
          </w:tcPr>
          <w:p>
            <w:pPr>
              <w:spacing w:after="0"/>
              <w:rPr>
                <w:sz w:val="15"/>
                <w:szCs w:val="15"/>
                <w:color w:val="auto"/>
              </w:rPr>
            </w:pPr>
          </w:p>
        </w:tc>
        <w:tc>
          <w:tcPr>
            <w:tcW w:w="16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Ceiling</w:t>
            </w:r>
          </w:p>
        </w:tc>
        <w:tc>
          <w:tcPr>
            <w:tcW w:w="18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43"/>
        </w:trPr>
        <w:tc>
          <w:tcPr>
            <w:tcW w:w="2000" w:type="dxa"/>
            <w:vAlign w:val="bottom"/>
            <w:gridSpan w:val="2"/>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($/Bbl)</w:t>
            </w:r>
          </w:p>
        </w:tc>
        <w:tc>
          <w:tcPr>
            <w:tcW w:w="1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Costless Collar</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7/01/2024 - 6/30/2025</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23"/>
        </w:trPr>
        <w:tc>
          <w:tcPr>
            <w:tcW w:w="4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differential swap contracts at June 30,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80" w:type="dxa"/>
            <w:vAlign w:val="bottom"/>
          </w:tcPr>
          <w:p>
            <w:pPr>
              <w:spacing w:after="0"/>
              <w:rPr>
                <w:sz w:val="16"/>
                <w:szCs w:val="16"/>
                <w:color w:val="auto"/>
              </w:rPr>
            </w:pPr>
          </w:p>
        </w:tc>
        <w:tc>
          <w:tcPr>
            <w:tcW w:w="126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6"/>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9"/>
        </w:trPr>
        <w:tc>
          <w:tcPr>
            <w:tcW w:w="360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260" w:type="dxa"/>
            <w:vAlign w:val="bottom"/>
          </w:tcPr>
          <w:p>
            <w:pPr>
              <w:spacing w:after="0"/>
              <w:rPr>
                <w:sz w:val="19"/>
                <w:szCs w:val="19"/>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Basis Differential</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7/01/2024 - 12/31/2025</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0" w:type="dxa"/>
            <w:vAlign w:val="bottom"/>
          </w:tcPr>
          <w:p>
            <w:pPr>
              <w:spacing w:after="0"/>
              <w:rPr>
                <w:sz w:val="1"/>
                <w:szCs w:val="1"/>
                <w:color w:val="auto"/>
              </w:rPr>
            </w:pPr>
          </w:p>
        </w:tc>
      </w:tr>
      <w:tr>
        <w:trPr>
          <w:trHeight w:val="223"/>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open basis differential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68" w:lineRule="exact"/>
        <w:rPr>
          <w:sz w:val="20"/>
          <w:szCs w:val="20"/>
          <w:color w:val="auto"/>
        </w:rPr>
      </w:pPr>
    </w:p>
    <w:p>
      <w:pPr>
        <w:jc w:val="both"/>
        <w:ind w:right="460" w:firstLine="445"/>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asset and liability fair values of the Company’s commodity price derivative financial instruments and the location of these balances in the interim unaudited condensed consolidated balance sheets as of June 30, 2024 and December 31, 2023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75"/>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5"/>
                <w:szCs w:val="15"/>
                <w:color w:val="auto"/>
              </w:rPr>
            </w:pPr>
          </w:p>
        </w:tc>
        <w:tc>
          <w:tcPr>
            <w:tcW w:w="15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43"/>
        </w:trPr>
        <w:tc>
          <w:tcPr>
            <w:tcW w:w="6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21"/>
                <w:szCs w:val="21"/>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364"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income for the periods presented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43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8"/>
                <w:szCs w:val="18"/>
                <w:b w:val="1"/>
                <w:bCs w:val="1"/>
                <w:color w:val="auto"/>
                <w:w w:val="99"/>
              </w:rPr>
              <w:t>Location in Condensed Consolidated</w:t>
            </w:r>
          </w:p>
        </w:tc>
        <w:tc>
          <w:tcPr>
            <w:tcW w:w="180" w:type="dxa"/>
            <w:vAlign w:val="bottom"/>
          </w:tcPr>
          <w:p>
            <w:pPr>
              <w:spacing w:after="0"/>
              <w:rPr>
                <w:sz w:val="13"/>
                <w:szCs w:val="13"/>
                <w:color w:val="auto"/>
              </w:rPr>
            </w:pPr>
          </w:p>
        </w:tc>
        <w:tc>
          <w:tcPr>
            <w:tcW w:w="8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2300" w:type="dxa"/>
            <w:vAlign w:val="bottom"/>
            <w:gridSpan w:val="2"/>
            <w:vMerge w:val="continue"/>
          </w:tcPr>
          <w:p>
            <w:pPr>
              <w:spacing w:after="0"/>
              <w:rPr>
                <w:sz w:val="21"/>
                <w:szCs w:val="21"/>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gain (loss) on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3"/>
        </w:trPr>
        <w:tc>
          <w:tcPr>
            <w:tcW w:w="668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3"/>
        </w:trPr>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gain (loss)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gridSpan w:val="4"/>
          </w:tcPr>
          <w:p>
            <w:pPr>
              <w:ind w:left="5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June 30, 2024 and December 31, 2023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2024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2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costless collars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8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8"/>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 2023 using</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basis differential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48"/>
        </w:trPr>
        <w:tc>
          <w:tcPr>
            <w:tcW w:w="68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fair value of the 2028 Notes was $508.6 million and $510.9 million, respectively, based on quoted market prices, which represent Level 1 inputs in the fair value hierarchy.</w:t>
      </w:r>
    </w:p>
    <w:p>
      <w:pPr>
        <w:spacing w:after="0" w:line="54"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At June 30, 2024, the fair value of the 2032 Notes was $900.9 million based on quoted market prices, which represent Level 1 inputs in the fair value hierarchy.</w:t>
      </w:r>
    </w:p>
    <w:p>
      <w:pPr>
        <w:spacing w:after="0" w:line="54"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for discussion of the fair value measurement of assets acquired and liabilities assumed as part of the Q1 2024 Acquisition and the Advance Acquisition.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$16.3 million and $11.4 million for deliveries under these agreements during the three months ended June 30, 2024 and 2023, respectively, and $31.7 million and $22.1 million for deliveries under these agreements during the six months ended June 30, 2024 and 2023,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2024, the total deficiencies required to be paid by the Company under these agreements would be approximately $593.0 million.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June 30, 2024 was approximately $164.4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June 30, 2024 and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24,242</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DISCLOSURES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six months ended June 30, 2024 and 2023 (in thousands).</w:t>
      </w:r>
    </w:p>
    <w:p>
      <w:pPr>
        <w:spacing w:after="0" w:line="23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mineral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liabilities for drilling, completion and equipping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acquisition of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liabilities for accrued cost to issue senior notes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inventory (to) from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bl>
    <w:p>
      <w:pPr>
        <w:spacing w:after="0" w:line="35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43,535</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2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West Texas and Stateline asset areas and the Greater Stebbins Area in the Delaware Basin are conducted through San Mateo. In addition, at June 30, 2024, the Company operated a cryogenic gas processing plant, compressor stations and natural gas gathering pipelines in Lea and Eddy Counties, New Mexico through Pronto, which is a wholly-owned subsidiary of the Company. At June 30, 2024, neither San Mateo nor Pronto was a guarantor of the 2028 Notes or the 2032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313" w:lineRule="exact"/>
        <w:rPr>
          <w:sz w:val="20"/>
          <w:szCs w:val="20"/>
          <w:color w:val="auto"/>
        </w:rPr>
      </w:pPr>
    </w:p>
    <w:p>
      <w:pPr>
        <w:ind w:right="20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(71,694)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(71,694)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483,516</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332,369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55,883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(24,632)</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363,620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8,518,391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471,863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51,525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523,933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32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$214.7 million and $10.9 million for the exploration and production and midstream segments, respectively. Also includes corporate depletion, depreciation and amortization expenses of $0.3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$18.7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20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$157.3 million attributable to land and seismic acquisition expenditures related to the exploration and production segment and $6.3 million in capital expenditures attributable to non-controlling interest in subsidiaries related to the midstream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(49,139)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(49,139)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385,815</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238,956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(23,319)</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252,268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7,132,338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1,897,679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82,129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1,980,517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0"/>
          <w:szCs w:val="20"/>
          <w:color w:val="auto"/>
        </w:rPr>
      </w:pPr>
    </w:p>
    <w:p>
      <w:pPr>
        <w:ind w:left="340" w:right="38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$167.4 million and $9.8 million for the exploration and production and midstream segments, respectively. Also includes corporate depletion, depreciation and amortization expenses of $0.3 million.</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$12.4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48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$1.59 billion attributable to land and seismic acquisition expenditures related to the exploration and production segment, $63.6 million attributable to midstream acquisition expenditures and $6.8 million in capital expenditures attributable to non-controlling interest in subsidiaries related to the midstream segment.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7"/>
                <w:szCs w:val="17"/>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952,256</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624,724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108,653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(50,804)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682,573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8,518,391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1,023,783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137,937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1,162,491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00" w:hanging="332"/>
        <w:spacing w:after="0" w:line="28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$415.9 million and $21.7 million for the exploration and production and midstream segments, respectively. Also includes corporate depletion, depreciation and amortization expenses of $0.6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$38.2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$358.6 million attributable to land and seismic acquisition expenditures related to the exploration and production segment and $13.4 million in capital expenditures attributable to non-controlling interest in subsidiaries related to the midstream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Exploration</w:t>
            </w:r>
          </w:p>
        </w:tc>
        <w:tc>
          <w:tcPr>
            <w:tcW w:w="160" w:type="dxa"/>
            <w:vAlign w:val="bottom"/>
          </w:tcPr>
          <w:p>
            <w:pPr>
              <w:spacing w:after="0"/>
              <w:rPr>
                <w:sz w:val="18"/>
                <w:szCs w:val="18"/>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Production</w:t>
            </w: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and Eliminations</w:t>
            </w:r>
          </w:p>
        </w:tc>
        <w:tc>
          <w:tcPr>
            <w:tcW w:w="14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1,090,826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(97,879)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56,586</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66,152</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(97,879)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694,658</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475,156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72,018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(43,473)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503,701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7,132,338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2,216,184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95,409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2,314,071</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0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$284.0 million and $19.2 million for the exploration and production and midstream segments, respectively. Also includes corporate depletion, depreciation and amortization expenses of $0.7 million.</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$28.2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360" w:hanging="332"/>
        <w:spacing w:after="0" w:line="30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$1.61 billion attributable to land and seismic acquisition expenditures related to the exploration and production segment, $63.6 million attributable to midstream acquisition expenditures and $11.3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2023 (the “Annual Report”) filed with the Securities and Exchange Commission (the “SEC”) on February 27, 2024,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(iv) references to “Pronto” refer to Pronto Midstream, LLC together with its subsidiary, (v) references to “Advance” refer to Advance Energy Partners Holdings, LLC and (vi) references to the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For certain oil and natural gas terms used in this Quarterly Report, please see the “Glossary of Oil and Natural Gas Terms” included with the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including the Ameredev Acquisition (as defined below); the operating results of and availability of any potential distributions from our joint ventures; weather and environmental conditions; our ability to consummate the Ameredev Acquisition in the anticipated timeframe or at all; risks related to the satisfaction or waiver of the conditions to closing the Ameredev Acquisition in the anticipated timeframe or at all; risks related to obtaining the requisite regulatory approvals for the Ameredev Acquisition; disruption from our acquisitions, including the Ameredev Acquisition, making it more difficult to maintain business and operational relationships; significant transaction costs associated with our acquisitions, including the Ameredev Acquisition; the risk of litigation and/or regulatory actions related to our acquisitions, including the Ameredev Acquisition; and the other factors discussed below and elsewhere in this Quarterly Report and in other documents that we file with or furnish to the SEC, all of which are difficult to predict. Forward-looking statements may include statements about:</w:t>
      </w:r>
    </w:p>
    <w:p>
      <w:pPr>
        <w:spacing w:after="0" w:line="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NGLs;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including the Ameredev Acquisition,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business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Ameredev Acquisition and the anticipated timing and benefits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Inflation Reduction Act of 2022;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Highlights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our total oil equivalent production was 14.6 million BOE, and our average daily oil equivalent production was 160,305 BOE per day, of which 95,488 Bbl per day, or 60%, was oil and 388.9 MMcf per day, or 40%, was natural gas. Our average daily oil production of 95,488 Bbl per day for the three months ended June 30, 2024 increased 25% year-over-year from 76,345 Bbl per day for the three months ended June 30, 2023. Our average daily natural gas production of 388.9 MMcf per day for the three months ended June 30, 2024 increased 19% year-over-year from 326.0 MMcf per day for the three months ended June 30, 2023.</w:t>
      </w:r>
    </w:p>
    <w:p>
      <w:pPr>
        <w:spacing w:after="0" w:line="75"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For the second quarter of 2024, we reported net income attributable to Matador shareholders of $228.8 million, or $1.83 per diluted common share, on a GAAP basis, as compared to net income attributable to Matador shareholders of $164.7 million, or $1.37 per diluted common share, for the second quarter of 2023. For the second quarter of 2024, our Adjusted EBITDA, a non-GAAP financial measure, was $578.1 million, as compared to Adjusted EBITDA of $423.3 million during the second quarter of 2023.</w:t>
      </w:r>
    </w:p>
    <w:p>
      <w:pPr>
        <w:spacing w:after="0" w:line="7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reported net income attributable to Matador shareholders of $422.5 million, or $3.45 per diluted common share, on a GAAP basis, as compared to net income attributable to Matador shareholders of $327.8 million, or $2.73 per diluted common share, for the six months ended June 30, 2023. For the six months ended June 30, 2024, our Adjusted EBITDA, a non-GAAP financial measure, was $1.08 billion, as compared to Adjusted EBITDA of $788.5 million during the six months ended June 30, 2023.</w:t>
      </w:r>
    </w:p>
    <w:p>
      <w:pPr>
        <w:spacing w:after="0" w:line="72"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six months ended June 30, 2024, see “—Results of Operations”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Ameredev Acquisition</w:t>
      </w:r>
    </w:p>
    <w:p>
      <w:pPr>
        <w:spacing w:after="0" w:line="119"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On June 12, 2024, our wholly-owned subsidiary entered into a definitive agreement to acquire a subsidiary of Ameredev II Parent, LLC (“Ameredev”) from affiliates of EnCap Investments L.P., including certain oil and natural gas producing properties and undeveloped acreage located in Lea County, New Mexico and Loving and Winkler Counties, Texas (the “Ameredev Acquisition”). The Ameredev Acquisition also includes an approximate 19% stake in Piñon Midstream, LLC (“Piñon”), which has midstream assets in southern Lea County, New Mexico. The consideration for the Ameredev Acquisition will consist of a cash payment of $1.905 billion, subject to customary closing adjustments. The consummation of the Ameredev Acquisition is subject to customary closing conditions, including regulatory approval, and is expected to close late in the third quarter of 2024 with an effective date of June 1, 2024.</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estimate the total proved oil and natural gas reserves associated with these properties are approximately 117.7 million BOE (60% oil) at May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highlights of the Ameredev Acquisition include:</w:t>
      </w:r>
    </w:p>
    <w:p>
      <w:pPr>
        <w:spacing w:after="0" w:line="104" w:lineRule="exact"/>
        <w:rPr>
          <w:sz w:val="20"/>
          <w:szCs w:val="20"/>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production in the third quarter of 2024 of 25,000 to 26,000 BOE per day (65% oil);</w:t>
      </w:r>
    </w:p>
    <w:p>
      <w:pPr>
        <w:spacing w:after="0" w:line="117" w:lineRule="exact"/>
        <w:rPr>
          <w:rFonts w:ascii="Times New Roman" w:cs="Times New Roman" w:eastAsia="Times New Roman" w:hAnsi="Times New Roman"/>
          <w:sz w:val="18"/>
          <w:szCs w:val="18"/>
          <w:color w:val="auto"/>
        </w:rPr>
      </w:pPr>
    </w:p>
    <w:p>
      <w:pPr>
        <w:ind w:left="660" w:right="300" w:hanging="166"/>
        <w:spacing w:after="0" w:line="296"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33,500 net acres (82% held by production, over 99% operated) in the northern Delaware Basin, most of which is located in our Antelope Ridge asset area in southern Lea County, New Mexico and our West Texas asset area in Loving and Winkler Counties, Texas; and</w:t>
      </w:r>
    </w:p>
    <w:p>
      <w:pPr>
        <w:spacing w:after="0" w:line="30" w:lineRule="exact"/>
        <w:rPr>
          <w:rFonts w:ascii="Times New Roman" w:cs="Times New Roman" w:eastAsia="Times New Roman" w:hAnsi="Times New Roman"/>
          <w:sz w:val="17"/>
          <w:szCs w:val="17"/>
          <w:color w:val="auto"/>
        </w:rPr>
      </w:pPr>
    </w:p>
    <w:p>
      <w:pPr>
        <w:ind w:left="66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 gross (371 net) operated locations (86% working interest) identified for future drilling, including prospective targets throughout the Wolfcamp and Bone Spring formations.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perations Update</w:t>
      </w:r>
    </w:p>
    <w:p>
      <w:pPr>
        <w:spacing w:after="0" w:line="119"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We began 2024 operating seven drilling rigs in the Delaware Basin. We added an eighth operated drilling rig in the first quarter of 2024 and a ninth operated drilling rig late in the second quarter of 2024. Prior to the closing of the Ameredev Acquisition, we expect Ameredev to operate one drilling rig and to continue operations on 13 drilled but uncompleted (“DUC”) wells. Upon the consummation of the Ameredev Acquisition, which we anticipate to occur late in the third quarter of 2024, subject to customary closing conditions, including regulatory approval, we expect to continue operating a total of nine drilling rigs for the immediate future on the combined Matador and Ameredev properties covering approximately 192,000 net acres. We have built significant optionality into our drilling program, which should generally allow us to decrease or increase the number of rigs we operate as necessary based on changing commodity prices and other factors.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Our average daily oil equivalent production in the Delaware Basin for the second quarter of 2024 was 156,100 BOE per day, consisting of 94,700 Bbl of oil per day and 368.3 MMcf of natural gas per day, a 25% increase from 125,000 BOE per day, consisting of 75,600 Bbl of oil per day and 296.1 MMcf of natural gas per day, in the second quarter of 2023. These increases were primarily attributable to the Advance Acquisition and the increased number of wells being operated by us and other operators (where we own a working interest). The Delaware Basin contributed approximately 99% of our daily oil production and approximately 95% of our daily natural gas production in the second quarter of 2024, as compared to approximately 99% of our daily oil production and approximately 91% of our daily natural gas production in the second quarter of 2023.</w:t>
      </w:r>
    </w:p>
    <w:p>
      <w:pPr>
        <w:spacing w:after="0" w:line="7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In March 2024, we completed our natural gas pipeline connections between Pronto and San Mateo and between Pronto and Matador’s acreage obtained in the Advance Acquisition. These connector pipelines provide further flow assurance and options for Matador and third-party customer natural gas.</w:t>
      </w:r>
    </w:p>
    <w:p>
      <w:pPr>
        <w:spacing w:after="0" w:line="6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At June 30, 2024, Pronto’s midstream system included a cryogenic natural gas processing plant with a designed inlet processing capacity of 60 MMcf per day (the “Marlan Processing Plant”), four compressor stations and approximately 110 miles of natural gas gathering pipelines in Eddy and Lea Counties, New Mexico, spanning from the northeastern portion of the Arrowhead asset area into the Ranger asset area. Pronto has begun construction on an additional natural gas processing plant with a designed inlet processing capacity of 200 MMcf per day, including a nitrogen rejection unit and additional related facilities, to expand the Marlan Processing Plant.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Capital Expenditure Budget</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At July 23, 2024, our estimated drilling, completing and equipping (“D/C/E”) capital expenditures for 2024 remained $1.10 to $1.30 billion, which does not include any D/C/E capital expenditures on acreage to be acquired in the Ameredev Acquisition. At July 23, 2024, our estimated midstream capital expenditures for 2024 remained $200.0 to $250.0 million, which includes our proportionate share of San Mateo’s estimated 2024 capital expenditures as well as the estimated 2024 capital expenditures for other wholly-owned midstream projects, including projects completed by Pronto. The midstream capital expenditures do not include any capital expenditures associated with the approximate 19% stake in Piñon to be acquired in the Ameredev Acquisition. The midstream capital expenditure budget includes 100% of the costs associated with the Marlan Processing Plant expansion, although at July 23, 2024 we were continuing to evaluate potential partners in Pronto that would share in these capital expenditures and strategic opportunities.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February and April 2024, Matador’s Board of Directors (the “Board”) declared quarterly cash dividends of $0.20 per share of common stock. On July 18, 2024, the Board declared a quarterly cash dividend of $0.20 per share of common stock payable on September 5, 2024 to shareholders of record as of August 15, 2024.</w:t>
      </w:r>
    </w:p>
    <w:p>
      <w:pPr>
        <w:spacing w:after="0" w:line="68" w:lineRule="exact"/>
        <w:rPr>
          <w:sz w:val="20"/>
          <w:szCs w:val="20"/>
          <w:color w:val="auto"/>
        </w:rPr>
      </w:pPr>
    </w:p>
    <w:p>
      <w:pPr>
        <w:ind w:right="220" w:firstLine="445"/>
        <w:spacing w:after="0" w:line="267" w:lineRule="auto"/>
        <w:rPr>
          <w:sz w:val="20"/>
          <w:szCs w:val="20"/>
          <w:color w:val="auto"/>
        </w:rPr>
      </w:pPr>
      <w:r>
        <w:rPr>
          <w:rFonts w:ascii="Times New Roman" w:cs="Times New Roman" w:eastAsia="Times New Roman" w:hAnsi="Times New Roman"/>
          <w:sz w:val="17"/>
          <w:szCs w:val="17"/>
          <w:color w:val="auto"/>
        </w:rPr>
        <w:t>On March 22, 2024, we and our lenders entered into an amendment to the Fourth Amended and Restated Credit Agreement, which amended our reserves-based revolving credit facility (the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w:t>
      </w:r>
    </w:p>
    <w:p>
      <w:pPr>
        <w:spacing w:after="0" w:line="1" w:lineRule="exact"/>
        <w:rPr>
          <w:sz w:val="20"/>
          <w:szCs w:val="20"/>
          <w:color w:val="auto"/>
        </w:rPr>
      </w:pPr>
    </w:p>
    <w:p>
      <w:pPr>
        <w:ind w:right="1020" w:firstLine="8"/>
        <w:spacing w:after="0" w:line="258"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five new banks to the lending group. This March 2024 reaffirmation of the borrowing base constituted the regularly scheduled May 1 redetermination.</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March 28, 2024, we completed an underwritten public offering of 5,250,000 shares of our common stock (the “2024 Equity Offering”). After deducting underwriting discounts and offering expenses, we received net proceeds of approximately $342.1 million. The net proceeds from the 2024 Equity Offering were used for general corporate purposes, including the funding of acquisitions and the repayment of borrowings outstanding under our Credit Agreement.</w:t>
      </w:r>
    </w:p>
    <w:p>
      <w:pPr>
        <w:spacing w:after="0" w:line="72"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On April 2 and April 4, 2024, we completed the repurchase of an aggregate principal amount of approximately $556.3 million of the $699.2 million of outstanding senior notes due 2026 (the “2026 Notes”) as part of our cash tender offer announced on March 26, 2024 (the “2026 Notes Tender Offer”). On April 2, 2024, we exercised our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April 2, 2024, we completed the sale of $900.0 million in aggregate principal amount of the Company’s 6.50% senior notes due 2032 (the “2032 Notes”). We used the net proceeds from the sale of the 2032 Notes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spacing w:after="0" w:line="72"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On June 12, 2024, in connection with the Ameredev Acquisition, we entered into a commitment letter with PNC Capital Markets LLC and PNC Bank, National Association, which commitment letter provides commitments for an amendment to the Credit Agreement to incorporate an up to $250.0 million term loan and increase the elected commitment from $1.50 billion to $2.25 billion.</w:t>
      </w:r>
    </w:p>
    <w:p>
      <w:pPr>
        <w:spacing w:after="0" w:line="68"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At June 30, 2024, we had (i) $95.0 million in borrowings outstanding under our Credit Agreement, (ii) approximately $52.8 million in outstanding letters of credit issued pursuant to the Credit Agreement, (iii) $500.0 million of outstanding 6.875% senior notes due 2028 (the “2028 Notes”) and (iv) $900.0 million of outstanding 2032 Notes. Between June 30, 2024 and July 23, 2024, we repaid all $95.0 million of borrowings outstanding under our Credit Agreement.</w:t>
      </w:r>
    </w:p>
    <w:p>
      <w:pPr>
        <w:spacing w:after="0" w:line="72" w:lineRule="exact"/>
        <w:rPr>
          <w:sz w:val="20"/>
          <w:szCs w:val="20"/>
          <w:color w:val="auto"/>
        </w:rPr>
      </w:pPr>
    </w:p>
    <w:p>
      <w:pPr>
        <w:jc w:val="both"/>
        <w:ind w:right="440" w:firstLine="445"/>
        <w:spacing w:after="0" w:line="266" w:lineRule="auto"/>
        <w:rPr>
          <w:sz w:val="20"/>
          <w:szCs w:val="20"/>
          <w:color w:val="auto"/>
        </w:rPr>
      </w:pPr>
      <w:r>
        <w:rPr>
          <w:rFonts w:ascii="Times New Roman" w:cs="Times New Roman" w:eastAsia="Times New Roman" w:hAnsi="Times New Roman"/>
          <w:sz w:val="18"/>
          <w:szCs w:val="18"/>
          <w:color w:val="auto"/>
        </w:rPr>
        <w:t>At June 30, 2024, San Mateo had $512.0 million in borrowings outstanding under San Mateo’s revolving credit facility (the “San Mateo Credit Facility”) and approximately $9.0 million in outstanding letters of credit issued pursuant to the San Mateo Credit Facility. Between June 30, 2024 and July 23, 2024, San Mateo repaid $26.0 million of borrowings under the San Mateo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the interim unaudited condensed consolidated financial statements for a description of recent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912,141</w:t>
            </w: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178,685</w:t>
            </w:r>
          </w:p>
        </w:tc>
      </w:tr>
      <w:tr>
        <w:trPr>
          <w:trHeight w:val="223"/>
        </w:trPr>
        <w:tc>
          <w:tcPr>
            <w:tcW w:w="4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1,090,826</w:t>
            </w: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56,586</w:t>
            </w: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66,152</w:t>
            </w: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w:t>
            </w:r>
          </w:p>
        </w:tc>
      </w:tr>
      <w:tr>
        <w:trPr>
          <w:trHeight w:val="223"/>
        </w:trPr>
        <w:tc>
          <w:tcPr>
            <w:tcW w:w="4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1,198,359</w:t>
            </w:r>
          </w:p>
        </w:tc>
      </w:tr>
      <w:tr>
        <w:trPr>
          <w:trHeight w:val="229"/>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7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w:t>
            </w:r>
          </w:p>
        </w:tc>
      </w:tr>
      <w:tr>
        <w:trPr>
          <w:trHeight w:val="230"/>
        </w:trPr>
        <w:tc>
          <w:tcPr>
            <w:tcW w:w="47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476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w:t>
            </w:r>
          </w:p>
        </w:tc>
      </w:tr>
      <w:tr>
        <w:trPr>
          <w:trHeight w:val="229"/>
        </w:trPr>
        <w:tc>
          <w:tcPr>
            <w:tcW w:w="476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118,735</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1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1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891"/>
        </w:trPr>
        <w:tc>
          <w:tcPr>
            <w:tcW w:w="4760" w:type="dxa"/>
            <w:vAlign w:val="bottom"/>
          </w:tcPr>
          <w:p>
            <w:pPr>
              <w:spacing w:after="0"/>
              <w:rPr>
                <w:sz w:val="24"/>
                <w:szCs w:val="24"/>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26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NGLs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2024 as Compared to Three Months Ended June 30, 2023</w:t>
      </w:r>
    </w:p>
    <w:p>
      <w:pPr>
        <w:spacing w:after="0" w:line="11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$188.4 million, or 32%, to $776.3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$587.9 million for the three months ended June 30, 2023. Our oil revenues increased $195.2 million, or 38%, to $705.6 million for the three months ended June 30, 2024, as compared to $510.4 million for the three months ended June 30, 2023. The increase in oil revenues resulted from a 25% increase in our oil production to 8.7 million Bbl for the three months ended June 30, 2024, as compared to 6.9 million Bbl for the three months ended June 30, 2023, and an 11% increase in the weighted average oil price realized for the three months ended June 30, 2024 to $81.20 per Bbl, as compared to $73.46 per Bbl for the three months ended June 30, 2023. Our natural gas revenues decreased $6.8 million, or 9%, to $70.7 million for the three months ended June 30, 2024, as compared to $77.6 million for the three months ended June 30, 2023. The decrease in natural gas revenues resulted from a 23% decrease in the weighted average natural gas price realized for the three months ended June 30, 2024 to $2.00 per Mcf, as compared to a weighted average natural gas price of $2.61 per Mcf realized for the three months ended June 30, 2023, which was partially offset by a 20% increase in our natural gas production to 35.4 Bcf for the three months ended June 30, 2024, as compared to 29.7 Bcf for the three months ended June 30, 2023.</w:t>
      </w:r>
    </w:p>
    <w:p>
      <w:pPr>
        <w:spacing w:after="0" w:line="77"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$2.6 million, or 9%, to $32.7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as compared to $30.1 million for the three months ended June 30, 2023. Third-party midstream services revenues are those revenues from midstream operations related to third parties, including working interest owners in our operated wells. This increase was primarily attributable to an increase in our third-party produced water disposal revenues to $13.4 million for the three months ended June 30, 2024, as compared to $10.3 million for the three months ended June 30, 2023, which was partially offset by a decrease in our third-party natural gas gathering and processing revenues to $15.9 million for the three months ended June 30, 2024, as compared to $17.1 million for the three months ended June 30, 2023.</w:t>
      </w:r>
    </w:p>
    <w:p>
      <w:pPr>
        <w:spacing w:after="0" w:line="7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$14.4 million, or 45%, to $46.3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$31.9 million for the three months ended June 30, 2023. This increase was primarily the result of a 63% increase in natural gas volumes sold, which was partially offset by an 11% decrease in natural gas price realized.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natural gas and NGLs to other purchasers. These revenues, and the expenses related to these transactions included in “Purchased natural gas,” are presented on a gross basis in our interim unaudited condensed consolidated statements of income.</w:t>
      </w:r>
    </w:p>
    <w:p>
      <w:pPr>
        <w:spacing w:after="0" w:line="75" w:lineRule="exact"/>
        <w:rPr>
          <w:sz w:val="20"/>
          <w:szCs w:val="20"/>
          <w:color w:val="auto"/>
        </w:rPr>
      </w:pPr>
    </w:p>
    <w:p>
      <w:pPr>
        <w:ind w:right="40" w:firstLine="445"/>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Realized gain (loss) on derivatives. </w:t>
      </w:r>
      <w:r>
        <w:rPr>
          <w:rFonts w:ascii="Times New Roman" w:cs="Times New Roman" w:eastAsia="Times New Roman" w:hAnsi="Times New Roman"/>
          <w:sz w:val="17"/>
          <w:szCs w:val="17"/>
          <w:color w:val="auto"/>
        </w:rPr>
        <w:t>Our realized gain on derivatives was $3.8 million for the three months ended June 30, 2024, as compared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realized loss of $3.1 million for the three months ended June 30, 2023. We realized a net gain of $3.8 million related to our natural gas basis differential swap contracts for the three months ended June 30, 2024, resulting primarily from natural gas basis differentials that were below the fixed prices of certain of our natural gas basis differential swap contracts. For the three months ended June 30, 2023, we realized a net loss of $3.1 million related to our natural gas basis differential swap contracts, resulting primarily from natural gas basis differentials that were above the fixed prices of certain of our natural gas basis differential swap contracts. We realized an average gain on our natural gas derivatives of approximately $0.11 per Mcf produced during the three months ended June 30, 2024, as compared to an average loss of approximately $0.10 per Mcf produced during the three months ended June 30, 2023.</w:t>
      </w:r>
    </w:p>
    <w:p>
      <w:pPr>
        <w:spacing w:after="0" w:line="6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During the three months ended June 30, 2024, the aggregate net fair value of our open oil costless collar and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basis differential swap contracts changed to a net liability of $7.1 million from a net asset of $4.7 million at March 31, 2024, resulting in an unrealized loss on derivatives of $11.8 million for the three months ended June 30, 2024. During the three months ended June 30, 2023, the aggregate net fair value of our open natural gas basis differential swap contracts changed to a net liability of $11.8 million from a net liability of $3.1 million at March 31, 2023, resulting in an unrealized loss on derivatives of $8.7 million for the three months ended June 30, 2023.</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Six Months Ended June 30, 2024 as Compared to Six Months Ended June 30, 2023</w:t>
      </w:r>
    </w:p>
    <w:p>
      <w:pPr>
        <w:spacing w:after="0" w:line="117"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$389.0 million, or 36%, to $1.48 billion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$1.09 billion for the six months ended June 30, 2023. Our oil revenues increased $391.9 million, or 43%, to $1.30 billion for the six months ended June 30, 2024, as compared to $912.1 million for the six months ended June 30, 2023. This increase in oil revenues resulted from a 34% increase in our oil production to 16.4 million Bbl for the six months ended June 30, 2024, as compared to 12.3 million Bbl for the six months ended June 30, 2023 and a 7% increase in the weighted average oil price realized for the six months ended June 30, 2024 to $79.50 per Bbl, as compared to $74.45 per Bbl for the six months ended June 30, 2023. Our natural gas revenues decreased by $2.9 million, or 2%, to $175.8 million for the six months ended June 30, 2024, as compared to $178.7 million for the six months ended June 30, 2023. The decrease in natural gas revenues resulted from a 23% decrease in the weighted average natural gas price realized for the six months ended June 30, 2024 to $2.48 per Mcf, as compared to a weighted average natural gas price of $3.22 per Mcf for the six months ended June 30, 2023, which was partially offset by a 28% increase in our natural gas production to 70.9 Bcf for the six months ended June 30, 2024, as compared to 55.4 Bcf for the six months ended June 30, 2023.</w:t>
      </w:r>
    </w:p>
    <w:p>
      <w:pPr>
        <w:spacing w:after="0" w:line="7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$8.4 million, or 15%, to $65.0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as compared to $56.6 million for the six months ended June 30, 2023. This increase was primarily attributable to an increase in our third-party produced water disposal revenues to $27.5 million for the six months ended June 30, 2024, as compared to $20.9 million for the six months ended June 30, 2023, and an increase in our oil transportation revenues to $6.5 million for the six months ended June 30, 2024, as compared to $5.0 million for the six months ended June 30, 2023.</w:t>
      </w:r>
    </w:p>
    <w:p>
      <w:pPr>
        <w:spacing w:after="0" w:line="75" w:lineRule="exact"/>
        <w:rPr>
          <w:sz w:val="20"/>
          <w:szCs w:val="20"/>
          <w:color w:val="auto"/>
        </w:rPr>
      </w:pPr>
    </w:p>
    <w:p>
      <w:pPr>
        <w:ind w:right="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$29.6 million, or 45%, to $95.7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$66.2 million for the six months ended June 30, 2023. This increase was the result of a 48% increase in natural gas volumes sold, which was partially offset by a 2% decrease in natural gas price realized.</w:t>
      </w:r>
    </w:p>
    <w:p>
      <w:pPr>
        <w:spacing w:after="0" w:line="6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Realized gain (loss) on derivatives. </w:t>
      </w:r>
      <w:r>
        <w:rPr>
          <w:rFonts w:ascii="Times New Roman" w:cs="Times New Roman" w:eastAsia="Times New Roman" w:hAnsi="Times New Roman"/>
          <w:sz w:val="18"/>
          <w:szCs w:val="18"/>
          <w:color w:val="auto"/>
        </w:rPr>
        <w:t>Our realized gain on derivatives was $4.0 million for the six months ended June 30, 2024,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gain of $0.5 million for the six months ended June 30, 2023. We realized a net gain of $4.0 million related to our natural gas basis differential swap contracts for the six months ended June 30, 2024, resulting primarily from natural gas basis differentials that were below the fixed prices of our natural gas basis differential swap contracts. For the six months ended June 30, 2023, we realized a net gain of $0.5 million related to our natural gas costless collar and natural gas basis differential swap contracts, resulting primarily from natural gas prices that were below the floor prices of certain of our natural gas costless collar contracts, offset by natural gas prices that were above the fixed prices of our natural gas basis differential swap contracts. We realized an average gain on our natural gas derivatives of approximately $0.06 per Mcf produced during the six months ended June 30, 2024, as compared to an average gain of approximately $0.01 per Mcf produced during the six months ended June 30, 2023.</w:t>
      </w:r>
    </w:p>
    <w:p>
      <w:pPr>
        <w:spacing w:after="0" w:line="7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During the six months ended June 30, 2024, the aggregate net fair value of our open oil costless collar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differential swap contracts changed to a net liability of $7.1 million from a net asset of $2.7 million at December 31, 2023, resulting in an unrealized loss on derivatives of $9.8 million for the six months ended June 30, 2024. During the six months ended June 30, 2023, the aggregate net fair value of our open natural gas costless collar and natural gas basis differential swap contracts changed to a net liability of $11.8 million from a net asset of $3.9 million at December 31, 2022, resulting in an unrealized loss on derivatives of $15.7 million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117,477</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105,450</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61,702</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55,551</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303,839</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49,148</w:t>
            </w:r>
          </w:p>
        </w:tc>
      </w:tr>
      <w:tr>
        <w:trPr>
          <w:trHeight w:val="223"/>
        </w:trPr>
        <w:tc>
          <w:tcPr>
            <w:tcW w:w="6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694,658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503,701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on impairment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(50,405)</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r>
      <w:tr>
        <w:trPr>
          <w:trHeight w:val="223"/>
        </w:trPr>
        <w:tc>
          <w:tcPr>
            <w:tcW w:w="63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w:t>
            </w:r>
          </w:p>
        </w:tc>
      </w:tr>
      <w:tr>
        <w:trPr>
          <w:trHeight w:val="223"/>
        </w:trPr>
        <w:tc>
          <w:tcPr>
            <w:tcW w:w="6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469,997</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113,978</w:t>
            </w:r>
          </w:p>
        </w:tc>
      </w:tr>
      <w:tr>
        <w:trPr>
          <w:trHeight w:val="223"/>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356,019</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327,796</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June 30, 2024 as Compared to Three Months Ended June 30, 2023</w:t>
      </w:r>
    </w:p>
    <w:p>
      <w:pPr>
        <w:spacing w:after="0" w:line="117"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$14.8 million, or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$76.8 million for the three months ended June 30, 2024, as compared to $62.0 million for the three months ended June 30, 2023. The increase was primarily attributable to a $13.9 million increase in production taxes to $60.1 million for the three months ended June 30, 2024, as compared to $46.2 million for the three months ended June 30, 2023, primarily due to the increase in oil and natural gas revenues between the two periods. On a unit-of-production basis, our production taxes and transportation and processing expenses increased 1% to $5.27 per BOE for the three months ended June 30, 2024, as compared to $5.21 per BOE for the three months ended June 30, 2023.</w:t>
      </w:r>
    </w:p>
    <w:p>
      <w:pPr>
        <w:spacing w:after="0" w:line="7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$18.0 million, or 29%, to $79.0 million for the three months ended June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$61.0 million for the three months ended June 30, 2023. Our lease operating expenses on a unit-of-production basis increased 6% to $5.42 per BOE for the three months ended June 30, 2024, as compared to $5.13 per BOE for the three months ended June 30, 2023. These increases were primarily attributable to the increased number of wells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being operated by us and other operators (where we own a working interest) and to operating cost inflation for the three months ended June 30, 2024, as compared to the three months ended June 30, 2023.</w:t>
      </w:r>
    </w:p>
    <w:p>
      <w:pPr>
        <w:spacing w:after="0" w:line="52"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$6.6 million, or 22%, to $37.3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as compared to $30.7 million for the three months ended June 30, 2023. This increase was primarily attributable to increased throughput volumes from Matador and other San Mateo and Pronto customers, which resulted in (i) increased expenses associated with our expanded pipeline operations of $13.4 million for the three months ended June 30, 2024, as compared to $10.1 million for the three months ended June 30, 2023, and (ii) increased expenses associated with our commercial produced water disposal operations of $16.6 million for the three months ended June 30, 2024, as compared to $13.1 million for the three months ended June 30, 2023.</w:t>
      </w:r>
    </w:p>
    <w:p>
      <w:pPr>
        <w:spacing w:after="0" w:line="7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$48.4 million, or 27%, to $225.9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2024, as compared to $177.5 million for the three months ended June 30, 2023, primarily as a result of the Advance Acquisition and a 23% increase in our total oil equivalent production for the three months ended June 30, 2024, as compared to the three months ended June 30, 2023. On a unit-of-production basis, our depletion, depreciation and amortization expenses increased 4% to $15.49 per BOE for the three months ended June 30, 2024, as compared to $14.93 per BOE for the three months ended June 30, 2023, primarily as a result of the Advance Acquisition.</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increased $1.2 million, or 4%, to $27.9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$26.7 million for the three months ended June 30, 2023. Our general and administrative expenses decreased by 15% on a unit-of-production basis to $1.91 per BOE for the three months ended June 30, 2024, as compared to $2.25 per BOE for the three months ended June 30, 2023, primarily as a result of a 23% increase in our total oil equivalent production between the two periods.</w:t>
      </w:r>
    </w:p>
    <w:p>
      <w:pPr>
        <w:spacing w:after="0" w:line="7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June 30, 2024, we incurred total interest expense of $45.3 million. We capitalized $9.3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on certain qualifying projects for the three months ended June 30, 2024 and expensed the remaining $36.0 million to operations. For the three months ended June 30, 2023, we incurred total interest expense of $39.5 million. We capitalized $5.3 million of our interest expense on certain qualifying projects for the three months ended June 30, 2023 and expensed the remaining $34.2 million to operations. The increase in interest expense for the three months ended June 30, 2024 was primarily attributable to an increase in our average debt outstanding between the two periods. In April 2024, we completed the 2026 Notes Tender Offer, the 2026 Notes Redemption and the 2032 Notes Offering, resulting in a net increase in our total senior notes outstanding to $1.40 billion at June 30, 2024 as compared to $1.20 billion at June 30, 2023. In connection with the 2026 Notes Tender Offer and 2026 Notes Redemption, we also incurred a loss of approximately $3.0 million included in interest expense for the three months ended June 30, 2024.</w:t>
      </w:r>
    </w:p>
    <w:p>
      <w:pPr>
        <w:spacing w:after="0" w:line="7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We recorded a current income tax provision of $30.1 million and a deferred income tax provision of $47.9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2024. We recorded a current income tax benefit of $4.9 million and a deferred income tax provision of $62.2 million for the three months ended June 30, 2023. Our effective income tax rate of 25% and 26% for the three months ended June 30, 2024 and 2023, respectively, differed from the U.S. federal statutory rate due primarily to permanent differences between book and taxable income and state taxes, primarily in New Mexico.</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Six Months Ended June 30, 2024 as Compared to Six Months Ended June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transportation and processing expenses increased $29.5 million, or 25%,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$147.0 million for the six months ended June 30, 2024, as compared to $117.5 million for the six months ended June 30, 2023. This increase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a $27.8 million increase in production taxes to $114.1 million for the six months ended June 30, 2024, as compared to $86.3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2023, primarily due to the increase in oil and natural gas revenues between the two periods. On a unit-of-production basis,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taxes, transportation and processing expenses decreased 5% to $5.21 per BOE for the six months ended June 30, 2024, as compared to $5.47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 for the six months ended June 30, 2023. This decrease was primarily attributable to a decrease in the transportation and processing expense per BOE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resulted from the mix of revenue contracts, including from San Mateo and Pronto, between the two periods.</w:t>
      </w:r>
    </w:p>
    <w:p>
      <w:pPr>
        <w:spacing w:after="0" w:line="151"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Lease operating expenses. </w:t>
      </w:r>
      <w:r>
        <w:rPr>
          <w:rFonts w:ascii="Times New Roman" w:cs="Times New Roman" w:eastAsia="Times New Roman" w:hAnsi="Times New Roman"/>
          <w:sz w:val="18"/>
          <w:szCs w:val="18"/>
          <w:color w:val="auto"/>
        </w:rPr>
        <w:t>Our lease operating expenses increased $49.9 million, or 47%, to $155.3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$105.5 million for the six months ended June 30, 2023. Our lease operating expenses per unit of production increased 12% to $5.50 per BOE for the six months ended June 30, 2024, as compared to $4.91 per BOE for the six months ended June 30, 2023. These increases were primarily attributable to the increased number of wells being operated by us, including 127 wells from the Advance Acquisition, and operated by other operators (where we own a working interest) and to operating cost inflation for the six months ended June 30, 2024, as compared to the six months ended June 30, 2023.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$15.2 million, or 25%, to $76.9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as compared to $61.7 million for the six months ended June 30, 2023. This increase was primarily attributable to increased throughput volumes from Matador and other San Mateo and Pronto customers, which resulted in (i) increased expenses associated with our expanded pipeline operations of $29.6 million for the three months ended June 30, 2024, as compared to $20.2 million for the three months ended June 30, 2023, and (ii) increased expenses associated with our commercial produced water disposal operations of $31.0 million for the three months ended June 30, 2024, as compared to $25.9 million for the three months ended June 30, 2023.</w:t>
      </w:r>
    </w:p>
    <w:p>
      <w:pPr>
        <w:spacing w:after="0" w:line="7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$134.4 million, or 44%, to $438.2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2024, as compared to $303.8 million for the six months ended June 30, 2023, primarily as a result of the Advance Acquisition and a 31% increase in our total oil equivalent production for the six months ended June 30, 2024, as compared to the six months ended June 30, 2023. On a unit-of-production basis, our depletion, depreciation and amortization expenses increased 10% to $15.53 per BOE for the six months ended June 30, 2024, as compared to $14.14 per BOE for the six months ended June 30, 2023, primarily as a result of the Advance Acquisition.</w:t>
      </w:r>
    </w:p>
    <w:p>
      <w:pPr>
        <w:spacing w:after="0" w:line="12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$8.4 million, or 17%, to $57.6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$49.1 million for the six months ended June 30, 2023, primarily as a result of increased payroll for our existing employees as well as with additional employees joining Matador to support our increased land, geoscience, drilling, completion, production, midstream and administration functions as a result of our continued growth. Our general and administrative expenses decreased by 11% on a unit-of-production basis to $2.04 per BOE for the six months ended June 30, 2024, as compared to $2.29 per BOE for the six months ended June 30, 2023, primarily as a result of the 31% increase in our total oil equivalent production between the two periods.</w:t>
      </w:r>
    </w:p>
    <w:p>
      <w:pPr>
        <w:spacing w:after="0" w:line="12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six months ended June 30, 2024, we incurred total interest expense of approximately $90.7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$15.2 million of our interest expense on certain qualifying projects for the six months ended June 30, 2024 and expensed the remaining $75.5 million to operations. For the six months ended June 30, 2023, we incurred total interest expense of approximately $59.1 million. We capitalized approximately $8.7 million of our interest expense on certain qualifying projects for the six months ended June 30, 2023 and expensed the remaining $50.4 million to operations. The increase in interest expense for the six months ended June 30, 2024 was primarily attributable to an increase in our average debt outstanding between the two periods. In April 2024, we completed the 2026 Notes Tender Offer, the 2026 Notes Redemption and the 2032 Notes Offering, resulting in a net increase in our total senior notes outstanding to $1.40 billion at June 30, 2024 as compared to $1.20 billion at June 30, 2023. In connection with the 2026 Notes Tender Offer, 2026 Notes Redemption and the amendment of our Credit Agreement in March 2024, we also incurred a loss of approximately $5.6 million included in interest expense for the six months ended June 30, 2024.</w:t>
      </w:r>
    </w:p>
    <w:p>
      <w:pPr>
        <w:spacing w:after="0" w:line="13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We recorded a current income tax provision of $47.4 million and a deferred income tax provision of $97.4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We recorded no current income tax provision and a deferred income tax provision of $114.0 million for the six months ended June 30, 2023. Our effective income tax rate of 26% for each of the six months ended June 30, 2024 and 2023 differed from the U.S. federal statutory rate due primarily to permanent differences between book and taxable income and state taxes, primarily in New Mexico.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2024 and for the foreseeable future, for the acquisition, exploration and development of oil and natural gas properties and for midstream investments. In June 2024, we announced the Ameredev Acquisition. We intend to fund the Ameredev Acquisition with a combination of cash on hand, free cash flow prior to closing and borrowings under our Credit Agreement, under which we have received an additional commitment of up to $1.00 billion in connection with this transaction. Excluding the Ameredev Acquisition and any future significant acquisitions, we expect to fund our 2024 capital expenditures through a combination of cash on hand, operating cash flows and performance incentives paid to us by Five Point Energy, LLC or its affiliates. If capital expenditures were to exceed our operating cash flows during the remainder of 2024, we expect to fund any such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8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February and April 2024, our Board declared quarterly cash dividends of $0.20 per share of common stock. On July 18, 2024, the Board declared a quarterly cash dividend of $0.20 per share of common stock payable on September 5, 2024 to shareholders of record as of August 15,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March 22, 2024, we and our lenders entered into an amendment to the Fourth Amended and Restated Credit Agreement, which amended our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w:t>
      </w:r>
    </w:p>
    <w:p>
      <w:pPr>
        <w:spacing w:after="0" w:line="79"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On June 12, 2024, in connection with the Ameredev Acquisition, we entered into a commitment letter with PNC Capital Markets LLC and PNC Bank, National Association, which commitment letter provides commitments for an amendment to the Credit Agreement to incorporate an up to $250.0 million term loan and increase the elected commitment from $1.50 billion to $2.25 billion.</w:t>
      </w:r>
    </w:p>
    <w:p>
      <w:pPr>
        <w:spacing w:after="0" w:line="6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cash or cash equivalents of up to the greater of (a) $150.0 million and (b) 10% of the elected commitment), divided by a rolling four quarter EBITDA calculation, of 3.5 to 1.0 or less. We believe that we were in compliance with the terms of the Credit Agreement at June 30, 2024.</w:t>
      </w:r>
    </w:p>
    <w:p>
      <w:pPr>
        <w:spacing w:after="0" w:line="75" w:lineRule="exact"/>
        <w:rPr>
          <w:sz w:val="20"/>
          <w:szCs w:val="20"/>
          <w:color w:val="auto"/>
        </w:rPr>
      </w:pPr>
    </w:p>
    <w:p>
      <w:pPr>
        <w:jc w:val="both"/>
        <w:ind w:right="600" w:firstLine="445"/>
        <w:spacing w:after="0" w:line="266" w:lineRule="auto"/>
        <w:rPr>
          <w:sz w:val="20"/>
          <w:szCs w:val="20"/>
          <w:color w:val="auto"/>
        </w:rPr>
      </w:pPr>
      <w:r>
        <w:rPr>
          <w:rFonts w:ascii="Times New Roman" w:cs="Times New Roman" w:eastAsia="Times New Roman" w:hAnsi="Times New Roman"/>
          <w:sz w:val="18"/>
          <w:szCs w:val="18"/>
          <w:color w:val="auto"/>
        </w:rPr>
        <w:t>On March 28, 2024, we completed the 2024 Equity Offering. After deducting underwriting discounts and offering expenses, we received net proceeds of approximately $342.1 million. The net proceeds from the 2024 Equity Offering were used for general corporate purposes, including the funding of acquisitions and the repayment of borrowings outstanding under our Credit Agreement.</w:t>
      </w:r>
    </w:p>
    <w:p>
      <w:pPr>
        <w:spacing w:after="0" w:line="68"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On April 2, 2024, we completed the 2032 Notes Offering. We used the net proceeds from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spacing w:after="0" w:line="54"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At June 30, 2024, we had cash totaling $15.2 million and restricted cash totaling $48.7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At June 30, 2024, we had (i) $500.0 million of outstanding 2028 Notes, (ii) $900.0 million of outstanding 2032 Notes, (iii) $95.0 million in borrowings outstanding under the Credit Agreement and (iv) approximately $52.8 million in outstanding letters of credit issued pursuant to the Credit Agreement. Between June 30, 2024 and July 23, 2024, we repaid all $95.0 million of borrowings outstanding under our Credit Agreement.</w:t>
      </w:r>
    </w:p>
    <w:p>
      <w:pPr>
        <w:spacing w:after="0" w:line="6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At June 30, 2024, San Mateo had $512.0 million in borrowings outstanding under the San Mateo Credit Facility and approximately $9.0 million in outstanding letters of credit issued pursuant to the San Mateo Credit Facility. Between June 30, 2024 and July 23, 2024, San Mateo repaid $26.0 million of borrowings under the San Mateo Credit Facility. The outstanding borrowings under the San Mateo Credit Facility mature on December 9, 2026, and lender commitments under the facility were $535.0 million at June 30, 2024.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June 30, 2024.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 began 2024 operating seven drilling rigs in the Delaware Basin. We added an eighth operated drilling rig in the first quarter of 2024 and a ninth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drilling rig late in the second quarter of 2024. Prior to the closing of the Ameredev Acquisition, we expect Ameredev to operate one drilling rig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continue operations on 13 DUC wells. Upon the consummation of the Ameredev Acquisition, which we anticipate to occur late in the third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2024, subject to customary closing conditions, including regulatory approval, we expect to continue operating a total of nine drilling rigs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future on the combined Matador and Ameredev properties covering approximately 192,000 net acres. We have built significant optionality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drilling program, which should generally allow us to decrease or increase the number of rigs we operate as necessary based on changing commodity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 and other factors. At July 23, 2024, our estimated D/C/E capital expenditures for 2024 are $1.10 to $1.30 billion, which does not include any D/C/E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on acreage to be acquired in the Ameredev Acquisition, and our estimated midstream capital expenditures for 2024 are $200.0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The anticipated midstream capital expenditures include our proportionate share of San Mateo’s estimated 2024 capital expenditures as 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estimated 2024 capital expenditures for other wholly-owned midstream projects, including projects completed by Pronto. The midstream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do not include any capital expenditures associated with the approximate 19% stake in Piñon to be acquired in the Ameredev Acquisition.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midstream capital budget includes 100% of the costs associated with the Marlan Processing Plant expansion noted above, although, at July 23, 2024,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continuing to evaluate potential partners in Pronto that would share in these capital expenditures and strategic opportunities. Substantially all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estimated capital expenditures are expected to be allocated to (i) the further delineation and development of our leasehold position,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installation and maintenance of midstream assets and (iii) our participation in certain non-operated well opportunities in the Delaware Basin,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Texas and Haynesville shale. Our 2024 Delaware Basin operated drilling program is expected to focus on the continued development of our various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areas throughout the Delaware Basin, with a continued emphasis on drilling and completing a high percentage of longer horizontal wells in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99% with anticipated completed lateral lengths of one mile or greater.</w:t>
      </w:r>
    </w:p>
    <w:p>
      <w:pPr>
        <w:spacing w:after="0" w:line="9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w:t>
      </w:r>
    </w:p>
    <w:p>
      <w:pPr>
        <w:spacing w:after="0" w:line="8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2024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2024 is expected to come from producing wells and development activities on currently proved properties in the Wolfcamp and Bone Spring plays in the Delaware Basin, the Eagle Ford shale in South Texas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2024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unaudited cash flows for the six months ended June 30, 2024 and 2023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6"/>
                <w:szCs w:val="16"/>
                <w:color w:val="auto"/>
              </w:rPr>
            </w:pP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9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788,511</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(2,238,733)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968,730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(481,492)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788,475</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85" w:lineRule="exact"/>
        <w:rPr>
          <w:sz w:val="20"/>
          <w:szCs w:val="20"/>
          <w:color w:val="auto"/>
        </w:rPr>
      </w:pPr>
    </w:p>
    <w:p>
      <w:pPr>
        <w:ind w:left="340" w:right="60" w:hanging="332"/>
        <w:spacing w:after="0" w:line="30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$273.0 million to $1.06 billion for the six months ended June 30, 2024 from $788.5 million for the six months ended June 30, 2023. Excluding changes in operating assets and liabilities, net cash provided by operating activities increased $239.0 million to $1.02 billion for the six months ended June 30, 2024 from $784.5 million for the six months ended June 30, 2023. This increase was primarily attributable to higher oil and natural gas production and higher realized oil prices for the six months ended June 30, 2024, as compared to the six months ended June 30, 2023, partially offset by lower realized natural gas prices. Changes in our operating assets and liabilities between the two periods resulted in a net increase of approximately $34.0 million in net cash provided by operating activities for the six months ended June 30, 2024, as compared to the six months ended June 30, 2023.</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decreased $1.12 billion to $1.12 billion for the six months ended June 30, 2024 from $2.24 billion for the six months ended June 30, 2023. This decrease in net cash used in investing activities was primarily due to $1.61 billion in expenditures related to the Advance Acquisition in the six months ended June 30, 2023. This decrease was partially offset by (i) an increase between the periods of $200.2 million in expenditures related to the acquisition of oil and natural gas properties, (ii) an increase between the periods of $124.3 million in midstream capital expenditures, (iii) an increase between the periods of $95.3 million in expenditures related to the Ameredev Acquisition and (iv) an increase between the periods of $72.2 million in D/C/E capital expenditures primarily attributable to our operated and non-operated drilling, completion and equipping activities in the Delaware Basin.</w:t>
      </w:r>
    </w:p>
    <w:p>
      <w:pPr>
        <w:spacing w:after="0" w:line="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decreased $952.5 million to $16.3 million for the six months ended June 30, 2024 from $968.7 million for the six months ended June 30, 2023. During the six months ended June 30, 2024, our primary sources of cash from financing activities included proceeds from the 2032 Notes Offering of $900.0 million and proceeds from the 2024 Equity Offering of $344.7 million. These increases were partially offset by (i) the repurchase of an aggregate principal amount of approximately $699.2 million of 2026 Notes, (ii) net repayments under the Credit Agreement of $405.0 million, (iii) dividends paid of $48.7 million, (iv) net distributions related to San Mateo of $20.8 million and (v) payment of taxes related to stock-based compensation of $14.4 million. During the six months ended June 30, 2023, our primary sources of cash from financing activities included proceeds from the issuance of the 2028 Notes of $494.8 million and net borrowings under the Credit Agreement of $560.0 million, partially offset by dividends of $35.7 million and payment of taxes related to stock-based compensation of $22.8 million.</w:t>
      </w:r>
    </w:p>
    <w:p>
      <w:pPr>
        <w:spacing w:after="0" w:line="84"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See Note 5 to the interim unaudited condensed consolidated financial statements in this Quarterly Report for a summary of our debt, including the Credit Agreement, the San Mateo Credit Facility, the 2028 Notes and the 2032 Notes.</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327,796</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356,019</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113,978</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303,839</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impairment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(income) related to contingent consideration and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(14,635)</w:t>
            </w:r>
          </w:p>
        </w:tc>
      </w:tr>
      <w:tr>
        <w:trPr>
          <w:trHeight w:val="22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833,246</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(44,771)</w:t>
            </w: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788,475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3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5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43"/>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788,511</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and non-recurring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(44,771)</w:t>
            </w: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788,475</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net income attributable to Matador shareholders increased $64.1 million to $228.8 million, as compared to $164.7 million for the three months ended June 30, 2023. The increase in net income attributable to Matador shareholders primarily resulted from higher oil and natural gas production and higher realized oil prices,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partially offset by lower realized natural gas prices for the three months ended June 30, 2024, as compared to the three months ended June 30, 2023. These increases were partially offset by increased depletion, depreciation and amortization expenses of $225.9 million for the three months ended June 30, 2024, as compared to $177.5 million for the three months ended June 30, 2023, and an income tax provision of $78.0 million for the three months ended June 30, 2024, as compared to an income tax provision of $57.3 million for the three months ended June 30, 2023.</w:t>
      </w:r>
    </w:p>
    <w:p>
      <w:pPr>
        <w:spacing w:after="0" w:line="72"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net income attributable to Matador shareholders increased $94.7 million to $422.5 million, as compared to net income attributable to Matador shareholders of $327.8 million for the six months ended June 30, 2023. This increase in net income attributable to Matador shareholders primarily resulted from higher oil and natural gas production and higher realized oil prices, partially offset by lower realized natural gas prices, for the six months ended June 30, 2024, as compared to the six months ended June 30, 2023. These increases were partially offset by increased depletion, depreciation and amortization expenses of $438.2 million for the six months ended June 30, 2024, as compared to $303.8 million for the six months ended June 30, 2023, increased interest expense of $75.5 million for the six months ended June 30, 2024, as compared to $50.4 million for the six months ended June 30, 2023, and an income tax provision of $144.8 million for the six months ended June 30, 2024, as compared to $114.0 million for the six months ended June 30, 2023.</w:t>
      </w:r>
    </w:p>
    <w:p>
      <w:pPr>
        <w:spacing w:after="0" w:line="8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increased $154.8 million to $578.1 million for the three months ended June 30, 2024, as compared to $423.3 million for the three months ended June 30, 2023. This increase was primarily attributable to higher oil and natural gas production and higher realized oil prices, partially offset by lower natural gas prices, for the three months ended June 30, 2024, as compared to the three months ended June 30, 2023.</w:t>
      </w:r>
    </w:p>
    <w:p>
      <w:pPr>
        <w:spacing w:after="0" w:line="7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$295.0 million to $1.08 billion for the six months ended June 30, 2024, as compared to $788.5 million for the six months ended June 30, 2023. This increase is primarily attributable to higher oil and natural gas production and higher realized oil prices, partially offset by lower natural gas prices, for the six months ended June 30, 2024, as compared to the six months ended June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off-balance sheet arrangements and transactions that can give rise to material off-balance sheet obligations. As</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of June 30, 2024,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June 30,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60" w:type="dxa"/>
            <w:vAlign w:val="bottom"/>
          </w:tcPr>
          <w:p>
            <w:pPr>
              <w:spacing w:after="0"/>
              <w:rPr>
                <w:sz w:val="11"/>
                <w:szCs w:val="11"/>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commitments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87,398</w:t>
            </w:r>
          </w:p>
        </w:tc>
        <w:tc>
          <w:tcPr>
            <w:tcW w:w="0" w:type="dxa"/>
            <w:vAlign w:val="bottom"/>
          </w:tcPr>
          <w:p>
            <w:pPr>
              <w:spacing w:after="0"/>
              <w:rPr>
                <w:sz w:val="1"/>
                <w:szCs w:val="1"/>
                <w:color w:val="auto"/>
              </w:rPr>
            </w:pPr>
          </w:p>
        </w:tc>
      </w:tr>
      <w:tr>
        <w:trPr>
          <w:trHeight w:val="181"/>
        </w:trPr>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non-affiliates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174,647</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with San Mateo</w:t>
            </w:r>
            <w:r>
              <w:rPr>
                <w:rFonts w:ascii="Times New Roman" w:cs="Times New Roman" w:eastAsia="Times New Roman" w:hAnsi="Times New Roman"/>
                <w:sz w:val="23"/>
                <w:szCs w:val="23"/>
                <w:color w:val="auto"/>
                <w:vertAlign w:val="superscript"/>
              </w:rPr>
              <w:t>(7)</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Midstream contracts</w:t>
            </w:r>
            <w:r>
              <w:rPr>
                <w:rFonts w:ascii="Times New Roman" w:cs="Times New Roman" w:eastAsia="Times New Roman" w:hAnsi="Times New Roman"/>
                <w:sz w:val="23"/>
                <w:szCs w:val="23"/>
                <w:color w:val="auto"/>
                <w:vertAlign w:val="superscript"/>
              </w:rPr>
              <w:t>(8)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1,162,045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20" w:hanging="332"/>
        <w:spacing w:after="0" w:line="266"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June 30, 2024, we had $95.0 million in borrowings outstanding under the Credit Agreement and approximately $52.8 million in outstanding letters of credit issued pursuant to the Credit Agreement. The Credit Agreement matures March 22, 2029. At June 30, 2024, San Mateo had $512.0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7.18% and 7.69%, respectively, for the Credit Agreement and the San Mateo Credit Facility at June 30, 2024, the interest expense for such facilities is expected to be approximately $6.9 million and $39.9 million, respectively, each year until maturity.</w:t>
      </w:r>
    </w:p>
    <w:p>
      <w:pPr>
        <w:spacing w:after="0" w:line="79" w:lineRule="exact"/>
        <w:rPr>
          <w:rFonts w:ascii="Times New Roman" w:cs="Times New Roman" w:eastAsia="Times New Roman" w:hAnsi="Times New Roman"/>
          <w:sz w:val="14"/>
          <w:szCs w:val="14"/>
          <w:color w:val="auto"/>
        </w:rPr>
      </w:pPr>
    </w:p>
    <w:p>
      <w:pPr>
        <w:ind w:left="340" w:right="160" w:hanging="332"/>
        <w:spacing w:after="0" w:line="30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$500.0 million of outstanding 2028 Notes as of June 30, 2024 is expected to be approximately $34.4 million each year until maturity. Interest expense on the $900.0 million of outstanding 2032 Notes as of June 30, 2024 is expected to be approximately $58.5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2024, we had outstanding commitments to participate in the drilling and completion of various non-operated wells.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June 30, 2024.</w:t>
      </w:r>
    </w:p>
    <w:p>
      <w:pPr>
        <w:spacing w:after="0" w:line="122" w:lineRule="exact"/>
        <w:rPr>
          <w:rFonts w:ascii="Times New Roman" w:cs="Times New Roman" w:eastAsia="Times New Roman" w:hAnsi="Times New Roman"/>
          <w:sz w:val="14"/>
          <w:szCs w:val="14"/>
          <w:color w:val="auto"/>
        </w:rPr>
      </w:pPr>
    </w:p>
    <w:p>
      <w:pPr>
        <w:ind w:left="340" w:right="60" w:hanging="332"/>
        <w:spacing w:after="0" w:line="268"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40" w:hanging="332"/>
        <w:spacing w:after="0" w:line="266"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10 to the interim unaudited condensed consolidated financial statements in this Quarterly Report for more information about these contractual commitments.</w:t>
      </w:r>
    </w:p>
    <w:p>
      <w:pPr>
        <w:spacing w:after="0" w:line="79" w:lineRule="exact"/>
        <w:rPr>
          <w:rFonts w:ascii="Times New Roman" w:cs="Times New Roman" w:eastAsia="Times New Roman" w:hAnsi="Times New Roman"/>
          <w:sz w:val="14"/>
          <w:szCs w:val="14"/>
          <w:color w:val="auto"/>
        </w:rPr>
      </w:pPr>
    </w:p>
    <w:p>
      <w:pPr>
        <w:ind w:left="340" w:right="160" w:hanging="332"/>
        <w:spacing w:after="0" w:line="295"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2024, we had outstanding commitments related to the construction and installation of Pronto’s additional natural gas processing plant with a designed inlet processing capacity of 200 MMcf per day, including a nitrogen rejection unit and additional related facilities, in addition to commitments to purchase compressors to be utilized in San Mateo and Pronto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For example, the results of the 2024 presidential election and any potential political uncertainty in the United States may alter our current regulatory framework and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political instability, particularly in China or the Middle East, the actions of Organization of Petroleum Exporting Countries, Russia and certain other oil-exporting countries (“OPEC+”), weather, pipeline capacity constraints, inventory storage levels, oil and natural gas price differentials and other factors.</w:t>
      </w:r>
    </w:p>
    <w:p>
      <w:pPr>
        <w:spacing w:after="0" w:line="8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spacing w:after="0" w:line="8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Oil prices were higher in the second quarter of 2024, as compared to the second quarter of 2023. For the three months ended June 30, 2024, oil prices averaged $80.66 per Bbl, ranging from a high of $86.91 per Bbl in early April to a low of $73.25 per Bbl in early June, based upon the West Texas Intermediate (“WTI”) oil futures contract price for the earliest delivery date. Oil prices averaged $73.56 per Bbl for the three months ended June 30, 2023. We realized a weighted average oil price of $81.20 per Bbl (with no realized gains or losses from oil derivatives) for our oil production for the three months ended June 30, 2024, as compared to $73.46 per Bbl (with no realized gains or losses from oil derivatives) for our oil production for the three months ended June 30, 2023. At July 23, 2024, the WTI oil futures contract for the earliest delivery date had decreased from the average price for the second quarter of 2024 of $80.66 per Bbl, settling at $76.96 per Bbl, which was a decrease as compared to $77.07 per Bbl at July 21, 2023.</w:t>
      </w:r>
    </w:p>
    <w:p>
      <w:pPr>
        <w:spacing w:after="0" w:line="8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lower in the second quarter of 2024, as compared to the second quarter of 2023. For the three months ended June 30, 2024, natural gas prices averaged $2.27 per MMBtu, ranging from a low of $1.61 per MMBtu in late-April to a high of $3.13 per MMBtu in mid-June, based upon the NYMEX Henry Hub natural gas futures contract price for the earliest delivery date. Natural gas prices averaged $2.33 per MMBtu for the three months ended June 30, 2023. We report production volumes in two streams, oil and natural gas (which includes both dry gas and NGLs). Waha prices were also lower for the second quarter of 2024, as compared to the second quarter of 2023, which contributed to lower realized weighted average natural gas prices for the second quarter of 2024. We realized a weighted average natural gas price of $2.00 per Mcf ($2.11 per Mcf including realized gains from natural gas derivatives) for our natural gas production (including revenues attributable to NGLs) for the three months ended June 30, 2024, as compared to $2.61 per Mcf ($2.51 per Mcf including realized gains from natural gas derivatives) for our natural gas production (including revenues attributable to NGLs) for the three months ended June 30, 2023. Certain volumes of our natural gas production are sold at prices established at the beginning of each month by the various markets where we sell our natural gas production, and certain volumes of our natural gas production are sold at daily market prices. At July 23, 2024, the NYMEX Henry Hub natural gas futures contract price for the earliest delivery date had decreased from the average price for the second quarter of 2024 of $2.27 per MMBtu, to $2.19 per MMBtu, which was a decrease as compared to $2.71 per MMBtu at July 21, 2023.</w:t>
      </w:r>
    </w:p>
    <w:p>
      <w:pPr>
        <w:spacing w:after="0" w:line="8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2024,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75"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July 23, 2024, this oil price differential was positive at approximately +$0.70 per Bbl. At July 23, 2024, we had no derivative contracts in place to mitigate our exposure to this Midland-Cushing (Oklahoma) oil price differential for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Concerns about natural gas pipeline takeaway capacity out of the Delaware Basin have increased, particularly beginning in the latter half of 2022. As a result, the Waha-Henry Hub basis differential began to widen. The Waha-Henry Hub basis differential averaged ($1.95) per MMBtu for the six months ended June 30, 2024. Between June 30, 2024 and July 23, 2024, this natural gas price differential remained wide at approximately ($1.70) per MMBtu. As a result of low natural gas prices or wide Waha basis differentials, from time to time we or our non-operated partners may elect to temporarily shut in or restrict a portion of our natural gas production. A significant portion of our Delaware Basin natural gas production, however, is sold at Houston Ship Channel pricing and is not exposed to Waha pricing. During 2022 and 2023,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6% of our reported natural gas production for the six months ended June 30, 2024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2024, we realized a net gain on our natural gas basis differential derivative contracts of approximately $4.0 million, resulting primarily from natural gas basis differentials that were below the fixed prices of certain of our natural gas basis differential swap contracts. At July 23, 2024, we had derivative natural gas basis differential swap contracts in place to mitigate our exposure to the Waha-Henry Hub basis differential for approximately 5.5 Bcf of our anticipated natural gas production for the remainder of 2024 and 11.0 Bcf for 2025.</w:t>
      </w:r>
    </w:p>
    <w:p>
      <w:pPr>
        <w:spacing w:after="0" w:line="84"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did during the second quarter of 2024, we may temporarily shut in certain high gas-oil ratio wells and take other actions to mitigate the impact on our realized natural gas prices and results.</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spacing w:after="0" w:line="7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the Inflation Reduction Act of 2022, on January 26, 2024, the Environmental Protection Agency (“EPA”) published its proposed rule regarding the waste emissions charge, applicable to excess methane emissions at certain oil and natural gas facilities. Further, on March 8, 2024, the EPA published its final rules imposing new, stricter requirements for methane monitoring, reporting and emissions control at certain oil and natural gas facilities. Finally, on April 10, 2024, the Bureau of Land Management published its final waste prevention rule, which requires operators of oil and gas leases to take reasonable steps to avoid natural gas waste or pay royalties on certain natural gas waste, as well as develop leak detection, repair, and waste minimization plans.</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80"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2023, which are disclosed in Part II, Item 7A of the Annual Report and incorporated herein by reference.</w:t>
      </w:r>
    </w:p>
    <w:p>
      <w:pPr>
        <w:spacing w:after="0" w:line="52" w:lineRule="exact"/>
        <w:rPr>
          <w:sz w:val="20"/>
          <w:szCs w:val="20"/>
          <w:color w:val="auto"/>
        </w:rPr>
      </w:pPr>
    </w:p>
    <w:p>
      <w:pPr>
        <w:jc w:val="both"/>
        <w:ind w:right="2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84" w:lineRule="exact"/>
        <w:rPr>
          <w:sz w:val="20"/>
          <w:szCs w:val="20"/>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June 30, 2024, Bank of America, PNC Bank, Truist Bank, The Bank of Nova Scotia, Royal Bank of Canada, Comerica Bank and BOKF (or affiliates thereof) were the counterparties for our derivative instruments. We have considered the credit standing of the counterparty in determining the fair value of our derivative financial instruments.</w:t>
      </w:r>
    </w:p>
    <w:p>
      <w:pPr>
        <w:spacing w:after="0" w:line="7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June 30, 2024, we had various costless collar contracts open and in place to mitigate our exposure to oil price volatility, each with an established price floor and ceiling. At June 30, 2024, we had natural gas basis differential swap contracts open and in place to mitigate our exposure to natural gas price volatility, with a specific term (calculation period), notional quantity (volume hedged) and fixed price.</w:t>
      </w:r>
    </w:p>
    <w:p>
      <w:pPr>
        <w:spacing w:after="0" w:line="68"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See Note 8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73"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2024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were no changes in our internal controls that have materially affected or are reasonably likely to have a material effect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were no material changes regarding the legal proceedings we have disclosed in “Item 3. Legal Proceedings”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 Risk Factors” in the Annual Report. Except as set forth below, there have been no material changes to the risk factors we have disclosed in the Annual Report.</w:t>
      </w:r>
    </w:p>
    <w:p>
      <w:pPr>
        <w:spacing w:after="0" w:line="66"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consummation of the Ameredev Acquisition is subject to a number of conditions that may not be satisfied or completed on a timely basis or at all. Accordingly, there can be no assurance as to when or if the Ameredev Acquisition will be completed, and the failure to complete the Ameredev Acquisition could have a material and adverse effect on our business, financial condition, results of operations and cash flows.</w:t>
      </w:r>
    </w:p>
    <w:p>
      <w:pPr>
        <w:spacing w:after="0" w:line="6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Although we expect to complete the Ameredev Acquisition late in the third quarter of 2024, there can be no assurances as to the exact timing of the closing or that the Ameredev Acquisition will be completed at all. The consummation of the Ameredev Acquisition is subject to the satisfaction or waiver of a number of conditions contained in the related securities purchase agreement, including, among others, the expiration or termination of any applicable waiting period under the Hart-Scott-Rodino Antitrust Improvements Act of 1976, as amended. Such conditions, some of which are beyond our control, may not be satisfied or waived in a timely manner or at all and therefore make the completion and timing of the Ameredev Acquisition uncertain. In addition, the securities purchase agreement contains certain termination rights for both parties, which if exercised will also result in the Ameredev Acquisition not being consummated. Any such termination or any failure to otherwise complete the Ameredev Acquisition could result in various consequences, including, among others: our business being adversely impacted by the failure to pursue other beneficial opportunities due to the time and resources committed by our management to the Ameredev Acquisition, without realizing any of the benefits of completing the Ameredev Acquisition; being required to pay our legal, accounting and other expenses relating to the Ameredev Acquisition; the market price of our common stock being adversely impacted to the extent that the current market price reflects a market assumption that the Ameredev Acquisition will be completed; and negative reactions from the financial markets and customers that may occur if the anticipated benefits of the Ameredev Acquisition are not realized. Such consequences could materially and adversely affect our business, financial condition, results of operations and cash flows.</w:t>
      </w:r>
    </w:p>
    <w:p>
      <w:pPr>
        <w:spacing w:after="0" w:line="77" w:lineRule="exact"/>
        <w:rPr>
          <w:sz w:val="20"/>
          <w:szCs w:val="20"/>
          <w:color w:val="auto"/>
        </w:rPr>
      </w:pPr>
    </w:p>
    <w:p>
      <w:pPr>
        <w:ind w:right="420" w:firstLine="44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Even if the Ameredev Acquisition is completed, we may be unable to successfully integrate Ameredev’s business into our business or achieve the anticipated benefits of the Ameredev Acquisition.</w:t>
      </w:r>
    </w:p>
    <w:p>
      <w:pPr>
        <w:spacing w:after="0" w:line="5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success of the Ameredev Acquisition will depend, in part, on our ability to realize the anticipated benefits and cost savings from integrating the assets and operations of Ameredev into our business, and there can be no assurance that we will be able to successfully integrate or otherwise realize the anticipated benefits of the Ameredev Acquisition. Difficulties in integrating Ameredev into our company and our ability to manage the combined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79" w:lineRule="exact"/>
        <w:rPr>
          <w:sz w:val="20"/>
          <w:szCs w:val="20"/>
          <w:color w:val="auto"/>
        </w:rPr>
      </w:pPr>
    </w:p>
    <w:p>
      <w:pPr>
        <w:ind w:left="660" w:right="3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Ameredev operationally, in a manner that permits us to achieve the full revenue, expected cash flows and cost savings anticipated from the Ameredev Acquisition;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realizing anticipated operating synergies;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the Ameredev Acquisition.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Repurchase of Equity by the Company or Affiliates</w:t>
      </w:r>
    </w:p>
    <w:p>
      <w:pPr>
        <w:spacing w:after="0" w:line="12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9"/>
        </w:trPr>
        <w:tc>
          <w:tcPr>
            <w:tcW w:w="440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4400" w:type="dxa"/>
            <w:vAlign w:val="bottom"/>
            <w:gridSpan w:val="2"/>
            <w:vMerge w:val="continue"/>
          </w:tcPr>
          <w:p>
            <w:pPr>
              <w:spacing w:after="0"/>
              <w:rPr>
                <w:sz w:val="19"/>
                <w:szCs w:val="19"/>
                <w:color w:val="auto"/>
              </w:rPr>
            </w:pPr>
          </w:p>
        </w:tc>
        <w:tc>
          <w:tcPr>
            <w:tcW w:w="15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16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68"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Plans</w:t>
      </w:r>
    </w:p>
    <w:p>
      <w:pPr>
        <w:spacing w:after="0" w:line="1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280" w:type="dxa"/>
            <w:vAlign w:val="bottom"/>
            <w:gridSpan w:val="2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80" w:type="dxa"/>
            <w:vAlign w:val="bottom"/>
            <w:gridSpan w:val="2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540" w:type="dxa"/>
            <w:vAlign w:val="bottom"/>
            <w:tcBorders>
              <w:top w:val="single" w:sz="8" w:color="auto"/>
              <w:bottom w:val="single" w:sz="8" w:color="0000FF"/>
            </w:tcBorders>
            <w:gridSpan w:val="15"/>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Securities Purchase Agreement, dated January 24, 2023, by and among MRC Hat Mesa, LLC, MRC Energy Company</w:t>
              </w:r>
            </w:hyperlink>
          </w:p>
        </w:tc>
        <w:tc>
          <w:tcPr>
            <w:tcW w:w="360" w:type="dxa"/>
            <w:vAlign w:val="bottom"/>
            <w:tcBorders>
              <w:top w:val="single" w:sz="8" w:color="auto"/>
            </w:tcBorders>
            <w:gridSpan w:val="12"/>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7"/>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(solely for the limited purposes stated therein), AEP EnCap HoldCo, LLC, Ameradvance Management LLC and Advance</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Energy Partners Holdings, LLC (incorporated by reference to Exhibit 2.1 to the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January 24, 2023).</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Securities Purchase Agreement, dated June 12, 2024, by and among MRC Toro, LLC, MRC Energy Company (solely for</w:t>
              </w:r>
            </w:hyperlink>
          </w:p>
        </w:tc>
        <w:tc>
          <w:tcPr>
            <w:tcW w:w="1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7"/>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the limited purposes stated therein), Ameredev II Parent, LLC, Ameredev Intermediate II, LLC and Ameredev Stateline II,</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LLC (incorporated by reference to Exhibit 2.1 to the Current Report on Form 8-K filed on June 12, 2024).</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to the Quarterly Report on Form 10-Q for the quarter ended June 30, 2017).</w:t>
              </w:r>
            </w:hyperlink>
          </w:p>
        </w:tc>
        <w:tc>
          <w:tcPr>
            <w:tcW w:w="3360" w:type="dxa"/>
            <w:vAlign w:val="bottom"/>
            <w:tcBorders>
              <w:top w:val="single" w:sz="8" w:color="0000FF"/>
            </w:tcBorders>
            <w:gridSpan w:val="17"/>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30, 2017).</w:t>
              </w:r>
            </w:hyperlink>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7"/>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ended June 30, 2017).</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the Current Report on Form 8-K filed on February 22, 2018).</w:t>
              </w:r>
            </w:hyperlink>
          </w:p>
        </w:tc>
        <w:tc>
          <w:tcPr>
            <w:tcW w:w="43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Indenture, dated as of April 2, 2024, by and among the Company, the Guarantor Subsidiaries and U.S. Bank Trust</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Company, National Association, as trustee (incorporated by reference to Exhibit 4.1 to the Current Report on Form</w:t>
              </w:r>
            </w:hyperlink>
          </w:p>
        </w:tc>
        <w:tc>
          <w:tcPr>
            <w:tcW w:w="680" w:type="dxa"/>
            <w:vAlign w:val="bottom"/>
            <w:gridSpan w:val="17"/>
          </w:tcPr>
          <w:p>
            <w:pPr>
              <w:ind w:left="100"/>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8-K</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filed on April 2, 2024.</w:t>
              </w:r>
            </w:hyperlink>
          </w:p>
        </w:tc>
        <w:tc>
          <w:tcPr>
            <w:tcW w:w="70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24"/>
                <w:szCs w:val="24"/>
                <w:color w:val="auto"/>
              </w:rPr>
            </w:pPr>
          </w:p>
        </w:tc>
        <w:tc>
          <w:tcPr>
            <w:tcW w:w="83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Form of Employment Agreement between Matador Resources Company and each of Brian J. Willey, Christopher P.</w:t>
              </w:r>
            </w:hyperlink>
          </w:p>
        </w:tc>
        <w:tc>
          <w:tcPr>
            <w:tcW w:w="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Calvert, W. Thomas Elsener, Bryan A. Erman and Glenn W. Stetson (incorporated by reference to Exhibit 10.2 to the</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Quarterly Report on Form 10-Q for the quarter ended March 31, 2024).</w:t>
              </w:r>
            </w:hyperlink>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 (filed herewith).</w:t>
            </w: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 (filed herewith).</w:t>
            </w:r>
          </w:p>
        </w:tc>
        <w:tc>
          <w:tcPr>
            <w:tcW w:w="40" w:type="dxa"/>
            <w:vAlign w:val="bottom"/>
            <w:tcBorders>
              <w:top w:val="single" w:sz="8" w:color="0000FF"/>
            </w:tcBorders>
            <w:gridSpan w:val="2"/>
          </w:tcPr>
          <w:p>
            <w:pPr>
              <w:spacing w:after="0"/>
              <w:rPr>
                <w:sz w:val="22"/>
                <w:szCs w:val="22"/>
                <w:color w:val="auto"/>
              </w:rPr>
            </w:pPr>
          </w:p>
        </w:tc>
        <w:tc>
          <w:tcPr>
            <w:tcW w:w="2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5120" w:type="dxa"/>
            <w:vAlign w:val="bottom"/>
            <w:gridSpan w:val="1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00" w:right="519" w:hanging="582"/>
        <w:spacing w:after="0" w:line="217"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June 30, 2024,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5" w:lineRule="exact"/>
        <w:rPr>
          <w:sz w:val="20"/>
          <w:szCs w:val="20"/>
          <w:color w:val="auto"/>
        </w:rPr>
      </w:pPr>
    </w:p>
    <w:p>
      <w:pPr>
        <w:ind w:left="900" w:hanging="582"/>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7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347" w:lineRule="exact"/>
        <w:rPr>
          <w:sz w:val="20"/>
          <w:szCs w:val="20"/>
          <w:color w:val="auto"/>
        </w:rPr>
      </w:pPr>
    </w:p>
    <w:p>
      <w:pPr>
        <w:ind w:left="900" w:right="479" w:hanging="559"/>
        <w:spacing w:after="0" w:line="224"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2024</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26, 2024</w:t>
            </w:r>
          </w:p>
        </w:tc>
        <w:tc>
          <w:tcPr>
            <w:tcW w:w="16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J. Willey</w:t>
            </w:r>
          </w:p>
        </w:tc>
      </w:tr>
      <w:tr>
        <w:trPr>
          <w:trHeight w:val="218"/>
        </w:trPr>
        <w:tc>
          <w:tcPr>
            <w:tcW w:w="2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 Willey</w:t>
            </w:r>
          </w:p>
        </w:tc>
      </w:tr>
      <w:tr>
        <w:trPr>
          <w:trHeight w:val="234"/>
        </w:trPr>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92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J. Willey, certify that:</w:t>
      </w:r>
    </w:p>
    <w:p>
      <w:pPr>
        <w:spacing w:after="0" w:line="171" w:lineRule="exact"/>
        <w:rPr>
          <w:sz w:val="20"/>
          <w:szCs w:val="20"/>
          <w:color w:val="auto"/>
        </w:rPr>
      </w:pPr>
    </w:p>
    <w:p>
      <w:pPr>
        <w:ind w:left="640" w:hanging="1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J. Willey</w:t>
            </w:r>
          </w:p>
        </w:tc>
      </w:tr>
      <w:tr>
        <w:trPr>
          <w:trHeight w:val="218"/>
        </w:trPr>
        <w:tc>
          <w:tcPr>
            <w:tcW w:w="47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 Willey</w:t>
            </w:r>
          </w:p>
        </w:tc>
      </w:tr>
      <w:tr>
        <w:trPr>
          <w:trHeight w:val="180"/>
        </w:trPr>
        <w:tc>
          <w:tcPr>
            <w:tcW w:w="478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7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jc w:val="both"/>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2024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June 30, 2024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J. Willey</w:t>
            </w:r>
          </w:p>
        </w:tc>
      </w:tr>
      <w:tr>
        <w:trPr>
          <w:trHeight w:val="218"/>
        </w:trPr>
        <w:tc>
          <w:tcPr>
            <w:tcW w:w="450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J. Willey</w:t>
            </w:r>
          </w:p>
        </w:tc>
      </w:tr>
      <w:tr>
        <w:trPr>
          <w:trHeight w:val="180"/>
        </w:trPr>
        <w:tc>
          <w:tcPr>
            <w:tcW w:w="4500" w:type="dxa"/>
            <w:vAlign w:val="bottom"/>
          </w:tcPr>
          <w:p>
            <w:pPr>
              <w:spacing w:after="0"/>
              <w:rPr>
                <w:sz w:val="15"/>
                <w:szCs w:val="15"/>
                <w:color w:val="auto"/>
              </w:rPr>
            </w:pPr>
          </w:p>
        </w:tc>
        <w:tc>
          <w:tcPr>
            <w:tcW w:w="4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5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Roman"/>
      <w:start w:val="6"/>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1"/>
      <w:numFmt w:val="decimal"/>
      <w:start w:val="104"/>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55" Type="http://schemas.openxmlformats.org/officeDocument/2006/relationships/hyperlink" Target="http://www.sec.gov/Archives/edgar/data/1520006/000119312523013640/d428449dex21.htm" TargetMode="External"/><Relationship Id="rId56" Type="http://schemas.openxmlformats.org/officeDocument/2006/relationships/hyperlink" Target="http://www.sec.gov/Archives/edgar/data/1520006/000110465924070829/tm2417025d1_ex2-1.htm" TargetMode="External"/><Relationship Id="rId57" Type="http://schemas.openxmlformats.org/officeDocument/2006/relationships/hyperlink" Target="http://www.sec.gov/Archives/edgar/data/1520006/000152000617000188/a20170630mtdr10q-exhibit32.htm" TargetMode="External"/><Relationship Id="rId58" Type="http://schemas.openxmlformats.org/officeDocument/2006/relationships/hyperlink" Target="http://www.sec.gov/Archives/edgar/data/1520006/000152000617000188/a20170630mtdr10q-exhibit33.htm" TargetMode="External"/><Relationship Id="rId59" Type="http://schemas.openxmlformats.org/officeDocument/2006/relationships/hyperlink" Target="http://www.sec.gov/Archives/edgar/data/1520006/000152000617000188/a20170630mtdr10q-exhibit34.htm" TargetMode="External"/><Relationship Id="rId60" Type="http://schemas.openxmlformats.org/officeDocument/2006/relationships/hyperlink" Target="http://www.sec.gov/Archives/edgar/data/1520006/000152000618000051/a20171231mtdr8k-amendedbyl.htm" TargetMode="External"/><Relationship Id="rId61" Type="http://schemas.openxmlformats.org/officeDocument/2006/relationships/hyperlink" Target="http://www.sec.gov/Archives/edgar/data/1520006/000119312524084849/d797085dex41.htm" TargetMode="External"/><Relationship Id="rId62" Type="http://schemas.openxmlformats.org/officeDocument/2006/relationships/hyperlink" Target="http://www.sec.gov/Archives/edgar/data/1520006/000152000624000105/a20240331mtdr10q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2024-07-26T15:16:28Z</dcterms:created>
  <dcterms:modified xsi:type="dcterms:W3CDTF">2024-07-26T15:16:28Z</dcterms:modified>
</cp:coreProperties>
</file>