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 </w:t>
      </w:r>
    </w:p>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2025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001-35410 </w:t>
      </w:r>
    </w:p>
    <w:p>
      <w:pPr>
        <w:pStyle w:val="TextBody"/>
        <w:bidi w:val="0"/>
        <w:spacing w:lineRule="auto" w:line="288" w:before="0" w:after="0"/>
        <w:jc w:val="center"/>
        <w:rPr/>
      </w:pPr>
      <w:r>
        <w:rPr>
          <w:color w:val="000000"/>
        </w:rPr>
        <w:t> </w:t>
      </w:r>
      <w:r>
        <w:rPr>
          <w:rFonts w:ascii="Times New Roman;serif" w:hAnsi="Times New Roman;serif"/>
          <w:b w:val="false"/>
          <w:color w:val="000000"/>
          <w:sz w:val="12"/>
        </w:rPr>
        <w:t>_________________________________________________________  </w:t>
      </w:r>
    </w:p>
    <w:p>
      <w:pPr>
        <w:pStyle w:val="TextBody"/>
        <w:bidi w:val="0"/>
        <w:spacing w:lineRule="auto" w:line="216" w:before="12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12"/>
        </w:rPr>
        <w:t>_________________________________________________________</w:t>
      </w:r>
      <w:r>
        <w:rPr>
          <w:color w:val="000000"/>
        </w:rPr>
        <w:t> </w:t>
      </w:r>
    </w:p>
    <w:tbl>
      <w:tblPr>
        <w:tblW w:w="4409" w:type="dxa"/>
        <w:jc w:val="center"/>
        <w:tblInd w:w="0" w:type="dxa"/>
        <w:tblLayout w:type="fixed"/>
        <w:tblCellMar>
          <w:top w:w="28" w:type="dxa"/>
          <w:left w:w="28" w:type="dxa"/>
          <w:bottom w:w="28" w:type="dxa"/>
          <w:right w:w="28" w:type="dxa"/>
        </w:tblCellMar>
      </w:tblPr>
      <w:tblGrid>
        <w:gridCol w:w="1055"/>
        <w:gridCol w:w="930"/>
        <w:gridCol w:w="940"/>
        <w:gridCol w:w="433"/>
        <w:gridCol w:w="433"/>
        <w:gridCol w:w="618"/>
      </w:tblGrid>
      <w:tr>
        <w:trPr/>
        <w:tc>
          <w:tcPr>
            <w:tcW w:w="10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LBJ Freeway, Suite 1500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Dallas,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(972) 371-5200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is a shell company (as defined in Rule 12b-2 of the Exchange Act).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rPr/>
      </w:pPr>
      <w:r>
        <w:rPr>
          <w:rFonts w:ascii="Times New Roman;serif" w:hAnsi="Times New Roman;serif"/>
          <w:b w:val="false"/>
          <w:color w:val="000000"/>
          <w:sz w:val="18"/>
        </w:rPr>
        <w:t xml:space="preserve">As of October 21, 2025, there were 124,270,672 shares of the registrant’s common </w:t>
      </w:r>
      <w:r>
        <w:rPr>
          <w:rFonts w:ascii="Times New Roman;serif" w:hAnsi="Times New Roman;serif"/>
          <w:b w:val="false"/>
          <w:color w:val="000000"/>
          <w:sz w:val="18"/>
          <w:shd w:fill="FFFFFF" w:val="clear"/>
        </w:rPr>
        <w:t>s</w:t>
      </w:r>
      <w:r>
        <w:rPr>
          <w:rFonts w:ascii="Times New Roman;serif" w:hAnsi="Times New Roman;serif"/>
          <w:b w:val="false"/>
          <w:color w:val="000000"/>
          <w:sz w:val="18"/>
        </w:rPr>
        <w:t>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SEPTEMBER 30, 2025</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9"/>
        <w:gridCol w:w="3079"/>
        <w:gridCol w:w="3084"/>
        <w:gridCol w:w="158"/>
        <w:gridCol w:w="158"/>
        <w:gridCol w:w="227"/>
      </w:tblGrid>
      <w:tr>
        <w:trPr/>
        <w:tc>
          <w:tcPr>
            <w:tcW w:w="349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0">
              <w:r>
                <w:rPr>
                  <w:rStyle w:val="InternetLink"/>
                  <w:rFonts w:ascii="Times New Roman;serif" w:hAnsi="Times New Roman;serif"/>
                  <w:b w:val="false"/>
                  <w:color w:val="0000FF"/>
                  <w:sz w:val="20"/>
                  <w:u w:val="single"/>
                </w:rPr>
                <w:t>PART I — FINANCIAL INFORMATION</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0870143f6ba0462686fb48d9203899c4_10">
              <w:r>
                <w:rPr>
                  <w:rStyle w:val="InternetLink"/>
                  <w:rFonts w:ascii="Times New Roman;serif" w:hAnsi="Times New Roman;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3">
              <w:r>
                <w:rPr>
                  <w:rStyle w:val="InternetLink"/>
                  <w:rFonts w:ascii="Times New Roman;serif" w:hAnsi="Times New Roman;serif"/>
                  <w:b w:val="false"/>
                  <w:color w:val="0000FF"/>
                  <w:sz w:val="20"/>
                  <w:u w:val="single"/>
                </w:rPr>
                <w:t>Item 1. Financial Statements —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3">
              <w:r>
                <w:rPr>
                  <w:rStyle w:val="InternetLink"/>
                  <w:rFonts w:ascii="Times New Roman;serif" w:hAnsi="Times New Roman;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6">
              <w:r>
                <w:rPr>
                  <w:rStyle w:val="InternetLink"/>
                  <w:rFonts w:ascii="Times New Roman;serif" w:hAnsi="Times New Roman;serif"/>
                  <w:b w:val="false"/>
                  <w:color w:val="0000FF"/>
                  <w:sz w:val="20"/>
                  <w:u w:val="single"/>
                </w:rPr>
                <w:t>Condensed Consolidated Balance Sheets at September 30, 2025 and December 31, 2024</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6">
              <w:r>
                <w:rPr>
                  <w:rStyle w:val="InternetLink"/>
                  <w:rFonts w:ascii="Times New Roman;serif" w:hAnsi="Times New Roman;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22">
              <w:r>
                <w:rPr>
                  <w:rStyle w:val="InternetLink"/>
                  <w:rFonts w:ascii="Times New Roman;serif" w:hAnsi="Times New Roman;serif"/>
                  <w:b w:val="false"/>
                  <w:color w:val="0000FF"/>
                  <w:sz w:val="20"/>
                  <w:u w:val="single"/>
                </w:rPr>
                <w:t>Condensed Consolidated Statements of Income for the Three and Nine Months Ended September 30, 2025 and 2024</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22">
              <w:r>
                <w:rPr>
                  <w:rStyle w:val="InternetLink"/>
                  <w:rFonts w:ascii="Times New Roman;serif" w:hAnsi="Times New Roman;serif"/>
                  <w:b w:val="false"/>
                  <w:color w:val="0000FF"/>
                  <w:sz w:val="20"/>
                  <w:u w:val="single"/>
                </w:rPr>
                <w:t>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25">
              <w:r>
                <w:rPr>
                  <w:rStyle w:val="InternetLink"/>
                  <w:rFonts w:ascii="Times New Roman;serif" w:hAnsi="Times New Roman;serif"/>
                  <w:b w:val="false"/>
                  <w:color w:val="0000FF"/>
                  <w:sz w:val="20"/>
                  <w:u w:val="single"/>
                </w:rPr>
                <w:t>Condensed Consolidated Statements of Changes in Shareholders’ Equity for the Three and Nine Months Ended September 30, 2025 and 2024</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25">
              <w:r>
                <w:rPr>
                  <w:rStyle w:val="InternetLink"/>
                  <w:rFonts w:ascii="Times New Roman;serif" w:hAnsi="Times New Roman;serif"/>
                  <w:b w:val="false"/>
                  <w:color w:val="0000FF"/>
                  <w:sz w:val="20"/>
                  <w:u w:val="single"/>
                </w:rPr>
                <w:t>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28">
              <w:r>
                <w:rPr>
                  <w:rStyle w:val="InternetLink"/>
                  <w:rFonts w:ascii="Times New Roman;serif" w:hAnsi="Times New Roman;serif"/>
                  <w:b w:val="false"/>
                  <w:color w:val="0000FF"/>
                  <w:sz w:val="20"/>
                  <w:u w:val="single"/>
                </w:rPr>
                <w:t>Condensed Consolidated Statements of Cash Flows for the Nine Months Ended September 30, 2025 and 2024</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28">
              <w:r>
                <w:rPr>
                  <w:rStyle w:val="InternetLink"/>
                  <w:rFonts w:ascii="Times New Roman;serif" w:hAnsi="Times New Roman;serif"/>
                  <w:b w:val="false"/>
                  <w:color w:val="0000FF"/>
                  <w:sz w:val="20"/>
                  <w:u w:val="single"/>
                </w:rPr>
                <w:t>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31">
              <w:r>
                <w:rPr>
                  <w:rStyle w:val="InternetLink"/>
                  <w:rFonts w:ascii="Times New Roman;serif" w:hAnsi="Times New Roman;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34">
              <w:r>
                <w:rPr>
                  <w:rStyle w:val="InternetLink"/>
                  <w:rFonts w:ascii="Times New Roman;serif" w:hAnsi="Times New Roman;serif"/>
                  <w:b w:val="false"/>
                  <w:color w:val="0000FF"/>
                  <w:sz w:val="20"/>
                  <w:u w:val="single"/>
                </w:rPr>
                <w:t>10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06">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06">
              <w:r>
                <w:rPr>
                  <w:rStyle w:val="InternetLink"/>
                  <w:rFonts w:ascii="Times New Roman;serif" w:hAnsi="Times New Roman;serif"/>
                  <w:b w:val="false"/>
                  <w:color w:val="0000FF"/>
                  <w:sz w:val="20"/>
                  <w:u w:val="single"/>
                </w:rPr>
                <w:t>25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51">
              <w:r>
                <w:rPr>
                  <w:rStyle w:val="InternetLink"/>
                  <w:rFonts w:ascii="Times New Roman;serif" w:hAnsi="Times New Roman;serif"/>
                  <w:b w:val="false"/>
                  <w:color w:val="0000FF"/>
                  <w:sz w:val="20"/>
                  <w:u w:val="single"/>
                </w:rPr>
                <w:t>Item 3. 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51">
              <w:r>
                <w:rPr>
                  <w:rStyle w:val="InternetLink"/>
                  <w:rFonts w:ascii="Times New Roman;serif" w:hAnsi="Times New Roman;serif"/>
                  <w:b w:val="false"/>
                  <w:color w:val="0000FF"/>
                  <w:sz w:val="20"/>
                  <w:u w:val="single"/>
                </w:rPr>
                <w:t>42</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54">
              <w:r>
                <w:rPr>
                  <w:rStyle w:val="InternetLink"/>
                  <w:rFonts w:ascii="Times New Roman;serif" w:hAnsi="Times New Roman;serif"/>
                  <w:b w:val="false"/>
                  <w:color w:val="0000FF"/>
                  <w:sz w:val="20"/>
                  <w:u w:val="single"/>
                </w:rPr>
                <w:t>Item 4. 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54">
              <w:r>
                <w:rPr>
                  <w:rStyle w:val="InternetLink"/>
                  <w:rFonts w:ascii="Times New Roman;serif" w:hAnsi="Times New Roman;serif"/>
                  <w:b w:val="false"/>
                  <w:color w:val="0000FF"/>
                  <w:sz w:val="20"/>
                  <w:u w:val="single"/>
                </w:rPr>
                <w:t>43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57">
              <w:r>
                <w:rPr>
                  <w:rStyle w:val="InternetLink"/>
                  <w:rFonts w:ascii="Times New Roman;serif" w:hAnsi="Times New Roman;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57">
              <w:r>
                <w:rPr>
                  <w:rStyle w:val="InternetLink"/>
                  <w:rFonts w:ascii="Times New Roman;serif" w:hAnsi="Times New Roman;serif"/>
                  <w:b w:val="false"/>
                  <w:color w:val="0000FF"/>
                  <w:sz w:val="20"/>
                  <w:u w:val="single"/>
                </w:rPr>
                <w:t>44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60">
              <w:r>
                <w:rPr>
                  <w:rStyle w:val="InternetLink"/>
                  <w:rFonts w:ascii="Times New Roman;serif" w:hAnsi="Times New Roman;serif"/>
                  <w:b w:val="false"/>
                  <w:color w:val="0000FF"/>
                  <w:sz w:val="20"/>
                  <w:u w:val="single"/>
                </w:rPr>
                <w:t>Item 1. 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60">
              <w:r>
                <w:rPr>
                  <w:rStyle w:val="InternetLink"/>
                  <w:rFonts w:ascii="Times New Roman;serif" w:hAnsi="Times New Roman;serif"/>
                  <w:b w:val="false"/>
                  <w:color w:val="0000FF"/>
                  <w:sz w:val="20"/>
                  <w:u w:val="single"/>
                </w:rPr>
                <w:t>44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63">
              <w:r>
                <w:rPr>
                  <w:rStyle w:val="InternetLink"/>
                  <w:rFonts w:ascii="Times New Roman;serif" w:hAnsi="Times New Roman;serif"/>
                  <w:b w:val="false"/>
                  <w:color w:val="0000FF"/>
                  <w:sz w:val="20"/>
                  <w:u w:val="single"/>
                </w:rPr>
                <w:t>Item 1A. 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63">
              <w:r>
                <w:rPr>
                  <w:rStyle w:val="InternetLink"/>
                  <w:rFonts w:ascii="Times New Roman;serif" w:hAnsi="Times New Roman;serif"/>
                  <w:b w:val="false"/>
                  <w:color w:val="0000FF"/>
                  <w:sz w:val="20"/>
                  <w:u w:val="single"/>
                </w:rPr>
                <w:t>44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66">
              <w:r>
                <w:rPr>
                  <w:rStyle w:val="InternetLink"/>
                  <w:rFonts w:ascii="Times New Roman;serif" w:hAnsi="Times New Roman;serif"/>
                  <w:b w:val="false"/>
                  <w:color w:val="0000FF"/>
                  <w:sz w:val="20"/>
                  <w:u w:val="single"/>
                </w:rPr>
                <w:t>Item 2. Repurchase of Equity by the Company or Affiliates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66">
              <w:r>
                <w:rPr>
                  <w:rStyle w:val="InternetLink"/>
                  <w:rFonts w:ascii="Times New Roman;serif" w:hAnsi="Times New Roman;serif"/>
                  <w:b w:val="false"/>
                  <w:color w:val="0000FF"/>
                  <w:sz w:val="20"/>
                  <w:u w:val="single"/>
                </w:rPr>
                <w:t>44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69">
              <w:r>
                <w:rPr>
                  <w:rStyle w:val="InternetLink"/>
                  <w:rFonts w:ascii="Times New Roman;serif" w:hAnsi="Times New Roman;serif"/>
                  <w:b w:val="false"/>
                  <w:color w:val="0000FF"/>
                  <w:sz w:val="20"/>
                  <w:u w:val="single"/>
                </w:rPr>
                <w:t>Item 5.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69">
              <w:r>
                <w:rPr>
                  <w:rStyle w:val="InternetLink"/>
                  <w:rFonts w:ascii="Times New Roman;serif" w:hAnsi="Times New Roman;serif"/>
                  <w:b w:val="false"/>
                  <w:color w:val="0000FF"/>
                  <w:sz w:val="20"/>
                  <w:u w:val="single"/>
                </w:rPr>
                <w:t>44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72">
              <w:r>
                <w:rPr>
                  <w:rStyle w:val="InternetLink"/>
                  <w:rFonts w:ascii="Times New Roman;serif" w:hAnsi="Times New Roman;serif"/>
                  <w:b w:val="false"/>
                  <w:color w:val="0000FF"/>
                  <w:sz w:val="20"/>
                  <w:u w:val="single"/>
                </w:rPr>
                <w:t>Item 6. 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72">
              <w:r>
                <w:rPr>
                  <w:rStyle w:val="InternetLink"/>
                  <w:rFonts w:ascii="Times New Roman;serif" w:hAnsi="Times New Roman;serif"/>
                  <w:b w:val="false"/>
                  <w:color w:val="0000FF"/>
                  <w:sz w:val="20"/>
                  <w:u w:val="single"/>
                </w:rPr>
                <w:t>45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70143f6ba0462686fb48d9203899c4_175">
              <w:r>
                <w:rPr>
                  <w:rStyle w:val="InternetLink"/>
                  <w:rFonts w:ascii="Times New Roman;serif" w:hAnsi="Times New Roman;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70143f6ba0462686fb48d9203899c4_175">
              <w:r>
                <w:rPr>
                  <w:rStyle w:val="InternetLink"/>
                  <w:rFonts w:ascii="Times New Roman;serif" w:hAnsi="Times New Roman;serif"/>
                  <w:b w:val="false"/>
                  <w:color w:val="0000FF"/>
                  <w:sz w:val="20"/>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723"/>
        <w:gridCol w:w="2278"/>
        <w:gridCol w:w="2299"/>
        <w:gridCol w:w="196"/>
        <w:gridCol w:w="961"/>
        <w:gridCol w:w="109"/>
        <w:gridCol w:w="109"/>
        <w:gridCol w:w="109"/>
        <w:gridCol w:w="109"/>
        <w:gridCol w:w="196"/>
        <w:gridCol w:w="961"/>
        <w:gridCol w:w="155"/>
      </w:tblGrid>
      <w:tr>
        <w:trPr/>
        <w:tc>
          <w:tcPr>
            <w:tcW w:w="272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interest billings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927,345 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at cost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properties, full-cost method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Evaluated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12,534,290 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Unproved and unevaluated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properties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property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depletion, 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(7,089,632)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(6,203,263)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property and equipment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10,559,908 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9,764,096 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11,646,708 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10,850,109 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AND SHAREHOLDERS’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due to affiliates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995,357 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Credit Facility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2,114,908 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847,666 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4,533,737 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4,397,320 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10)</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 xml:space="preserve">Common stock - $0.01 par value, 160,000,000 shares authorized; 125,763,615 and 125,101,268 shares issued;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and 124,379,236 and 125,048,396 shares outstanding,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1,384,379 and 52,872 shares,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Matador Resources Company shareholders’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5,505,961 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5,089,149 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5,457,432 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11,646,708 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10,850,109 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408805"/>
                <wp:effectExtent l="0" t="0" r="0" b="0"/>
                <wp:wrapNone/>
                <wp:docPr id="3" name="Frame3"/>
                <a:graphic xmlns:a="http://schemas.openxmlformats.org/drawingml/2006/main">
                  <a:graphicData uri="http://schemas.microsoft.com/office/word/2010/wordprocessingShape">
                    <wps:wsp>
                      <wps:cNvSpPr txBox="1"/>
                      <wps:spPr>
                        <a:xfrm>
                          <a:off x="0" y="0"/>
                          <a:ext cx="6480175" cy="4408805"/>
                        </a:xfrm>
                        <a:prstGeom prst="rect"/>
                        <a:solidFill>
                          <a:srgbClr val="FFFFFF"/>
                        </a:solidFill>
                      </wps:spPr>
                      <wps:txb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663"/>
        <w:gridCol w:w="1311"/>
        <w:gridCol w:w="132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6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2,534,612 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 transportation and 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asset sales and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123,358 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rPr/>
      </w:pPr>
      <w:r>
        <w:rPr>
          <w:rFonts w:ascii="Times New Roman;serif" w:hAnsi="Times New Roman;serif"/>
          <w:b/>
          <w:color w:val="000000"/>
          <w:sz w:val="20"/>
        </w:rPr>
        <w:t>For the Three and Nine Months Ended September 30, 2025</w:t>
      </w:r>
      <w:r>
        <w:rPr>
          <w:color w:val="000000"/>
        </w:rPr>
        <w:t xml:space="preserve"> </w:t>
      </w:r>
    </w:p>
    <w:tbl>
      <w:tblPr>
        <w:tblW w:w="15121" w:type="dxa"/>
        <w:jc w:val="left"/>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77"/>
        <w:gridCol w:w="279"/>
        <w:gridCol w:w="196"/>
        <w:gridCol w:w="109"/>
        <w:gridCol w:w="109"/>
        <w:gridCol w:w="109"/>
        <w:gridCol w:w="196"/>
        <w:gridCol w:w="66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368,283 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($0.3125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$0.6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125,329 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356,635 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($0.3125 per share)</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compensation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directors’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$1.3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125,416 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360,349 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5,726,522 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rPr/>
      </w:pPr>
      <w:r>
        <w:rPr>
          <w:rFonts w:ascii="Times New Roman;serif" w:hAnsi="Times New Roman;serif"/>
          <w:b/>
          <w:color w:val="000000"/>
          <w:sz w:val="20"/>
        </w:rPr>
        <w:t>For the Three and Nine Months Ended September 30, 2025</w:t>
      </w:r>
      <w:r>
        <w:rPr>
          <w:color w:val="000000"/>
        </w:rPr>
        <w:t xml:space="preserve"> </w:t>
      </w:r>
    </w:p>
    <w:tbl>
      <w:tblPr>
        <w:tblW w:w="15121" w:type="dxa"/>
        <w:jc w:val="center"/>
        <w:tblInd w:w="0" w:type="dxa"/>
        <w:tblLayout w:type="fixed"/>
        <w:tblCellMar>
          <w:top w:w="28" w:type="dxa"/>
          <w:left w:w="28" w:type="dxa"/>
          <w:bottom w:w="28" w:type="dxa"/>
          <w:right w:w="28" w:type="dxa"/>
        </w:tblCellMar>
      </w:tblPr>
      <w:tblGrid>
        <w:gridCol w:w="1345"/>
        <w:gridCol w:w="220"/>
        <w:gridCol w:w="221"/>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78"/>
        <w:gridCol w:w="278"/>
        <w:gridCol w:w="196"/>
        <w:gridCol w:w="109"/>
        <w:gridCol w:w="109"/>
        <w:gridCol w:w="109"/>
        <w:gridCol w:w="196"/>
        <w:gridCol w:w="66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July 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360,349 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($0.3125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 net of options forfeited in net share settlements, and employee stock 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125,764 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5,505,961 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349,819 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5,855,780 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2024</w:t>
      </w:r>
    </w:p>
    <w:tbl>
      <w:tblPr>
        <w:tblW w:w="14881" w:type="dxa"/>
        <w:jc w:val="center"/>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4,127,688 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($0.20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public offering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issue equity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$0.3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217,912 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4,636,162 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($0.20 per share)</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issue equity</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directors'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$1.8 million (see Note 7)</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124,886 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4,631,626 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223,979 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4,855,605 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2024</w:t>
      </w:r>
    </w:p>
    <w:tbl>
      <w:tblPr>
        <w:tblW w:w="14881" w:type="dxa"/>
        <w:jc w:val="center"/>
        <w:tblInd w:w="0" w:type="dxa"/>
        <w:tblLayout w:type="fixed"/>
        <w:tblCellMar>
          <w:top w:w="28" w:type="dxa"/>
          <w:left w:w="28" w:type="dxa"/>
          <w:bottom w:w="28" w:type="dxa"/>
          <w:right w:w="28" w:type="dxa"/>
        </w:tblCellMar>
      </w:tblPr>
      <w:tblGrid>
        <w:gridCol w:w="1345"/>
        <w:gridCol w:w="220"/>
        <w:gridCol w:w="221"/>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July 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2,483,075 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4,855,605 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($0.20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$2.6 million (see Note 7)</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124,895 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4,870,630 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225,580 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117" w:type="dxa"/>
        <w:jc w:val="left"/>
        <w:tblInd w:w="0" w:type="dxa"/>
        <w:tblLayout w:type="fixed"/>
        <w:tblCellMar>
          <w:top w:w="28" w:type="dxa"/>
          <w:left w:w="28" w:type="dxa"/>
          <w:bottom w:w="28" w:type="dxa"/>
          <w:right w:w="28" w:type="dxa"/>
        </w:tblCellMar>
      </w:tblPr>
      <w:tblGrid>
        <w:gridCol w:w="2327"/>
        <w:gridCol w:w="2044"/>
        <w:gridCol w:w="2048"/>
        <w:gridCol w:w="198"/>
        <w:gridCol w:w="747"/>
        <w:gridCol w:w="109"/>
        <w:gridCol w:w="109"/>
        <w:gridCol w:w="109"/>
        <w:gridCol w:w="109"/>
        <w:gridCol w:w="198"/>
        <w:gridCol w:w="747"/>
        <w:gridCol w:w="109"/>
        <w:gridCol w:w="109"/>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(gain) on derivatives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provision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 and other debt-related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changes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liabilities and other current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Drilling, completion and equipping capital expenditures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Ameredev</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oil and natural gas properties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capital expenditures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Expenditures for other property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equity method investment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Credit Agreement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San Mateo Credit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Credit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amend credit facilities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unsecured notes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issue senior unsecured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senior unsecured notes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related to formation of San Mateo</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owners of less-than-wholly-owned subsidiaries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stock-based compensation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and restricted cash</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end of period</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 (see Note 11)</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685"/>
                <wp:effectExtent l="0" t="0" r="0" b="0"/>
                <wp:wrapNone/>
                <wp:docPr id="9" name="Frame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 — NATURE OF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has operations in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San Mateo provides natural gas processing, oil transportation services, oil, natural gas and produced water gathering services and produced water disposal services to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Interim Financial Statements, Basis of Presentation, Consolidation and Significant Estimates</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2024 filed with the SEC on February 25, 2025 (the “Annual Report”).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Times New Roman;serif" w:hAnsi="Times New Roman;serif"/>
          <w:b w:val="false"/>
          <w:i/>
          <w:color w:val="000000"/>
          <w:sz w:val="20"/>
        </w:rPr>
        <w:t>Consolidation (Topic 810)</w:t>
      </w:r>
      <w:r>
        <w:rPr>
          <w:rFonts w:ascii="Times New Roman;serif" w:hAnsi="Times New Roman;serif"/>
          <w:b w:val="false"/>
          <w:color w:val="000000"/>
          <w:sz w:val="20"/>
        </w:rPr>
        <w:t xml:space="preserve">. The Company proportionately consolidates certain joint ventures that are less-than-wholly-owned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September 30, 2025. Amounts as of December 31, 2024 are derived from the Company’s audited consolidated financial statements included in the Annual Report.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 — Continued</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revenues and revenues from contracts with customers on a disaggregated basis for the three and nine months ended September 30, 2025 and 2024 (in thousands).</w:t>
      </w:r>
    </w:p>
    <w:tbl>
      <w:tblPr>
        <w:tblW w:w="9285" w:type="dxa"/>
        <w:jc w:val="left"/>
        <w:tblInd w:w="0" w:type="dxa"/>
        <w:tblLayout w:type="fixed"/>
        <w:tblCellMar>
          <w:top w:w="28" w:type="dxa"/>
          <w:left w:w="28" w:type="dxa"/>
          <w:bottom w:w="28" w:type="dxa"/>
          <w:right w:w="28" w:type="dxa"/>
        </w:tblCellMar>
      </w:tblPr>
      <w:tblGrid>
        <w:gridCol w:w="1222"/>
        <w:gridCol w:w="1073"/>
        <w:gridCol w:w="108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2,534,612 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89" w:type="dxa"/>
        <w:jc w:val="left"/>
        <w:tblInd w:w="0" w:type="dxa"/>
        <w:tblLayout w:type="fixed"/>
        <w:tblCellMar>
          <w:top w:w="28" w:type="dxa"/>
          <w:left w:w="28" w:type="dxa"/>
          <w:bottom w:w="28" w:type="dxa"/>
          <w:right w:w="28" w:type="dxa"/>
        </w:tblCellMar>
      </w:tblPr>
      <w:tblGrid>
        <w:gridCol w:w="1368"/>
        <w:gridCol w:w="1204"/>
        <w:gridCol w:w="120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Property and Equipment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and nine months ended September 30, 2025 and 2024, the cost center ceiling was higher than the capitalized costs of oil and natural gas properties, and, as a result, no impairment charge was necessary.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capitalized approximately $19.5 million and $15.0 million of its general and administrative costs for the three months ended September 30, 2025 and 2024, respectively, and $55.2 million and $47.2 million of its general and administrative costs for the nine months ended September 30, 2025 and 2024, respectively. The Company capitalized approximately $8.4 million and $8.2 million of its interest expense for the three months ended September 30, 2025 and 2024, respectively, and $23.3 million and $23.4 million of its interest expense for the nine months ended September 30, 2025 and 2024, respectively.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Earnings Per Common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diluted weighted average common shares outstanding for the three and nine months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1618"/>
        <w:gridCol w:w="1422"/>
        <w:gridCol w:w="1425"/>
        <w:gridCol w:w="419"/>
        <w:gridCol w:w="407"/>
        <w:gridCol w:w="208"/>
        <w:gridCol w:w="208"/>
        <w:gridCol w:w="208"/>
        <w:gridCol w:w="208"/>
        <w:gridCol w:w="427"/>
        <w:gridCol w:w="399"/>
        <w:gridCol w:w="222"/>
        <w:gridCol w:w="109"/>
        <w:gridCol w:w="109"/>
        <w:gridCol w:w="109"/>
        <w:gridCol w:w="413"/>
        <w:gridCol w:w="413"/>
        <w:gridCol w:w="192"/>
        <w:gridCol w:w="191"/>
        <w:gridCol w:w="191"/>
        <w:gridCol w:w="191"/>
        <w:gridCol w:w="413"/>
        <w:gridCol w:w="413"/>
        <w:gridCol w:w="290"/>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4465" w:type="dxa"/>
            <w:gridSpan w:val="3"/>
            <w:vMerge w:val="continue"/>
            <w:tcBorders/>
            <w:tcMar>
              <w:top w:w="0" w:type="dxa"/>
              <w:left w:w="0" w:type="dxa"/>
              <w:bottom w:w="0" w:type="dxa"/>
              <w:right w:w="0" w:type="dxa"/>
            </w:tcMar>
            <w:vAlign w:val="center"/>
          </w:tcPr>
          <w:p>
            <w:pPr>
              <w:pStyle w:val="Normal"/>
              <w:bidi w:val="0"/>
              <w:jc w:val="left"/>
              <w:rPr/>
            </w:pPr>
            <w:r>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options and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weighted average common shares outstanding </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124,983 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124,729 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123,358 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Recent Accounting Pronouncements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Income Taxes</w:t>
      </w:r>
      <w:r>
        <w:rPr>
          <w:rFonts w:ascii="Times New Roman;serif" w:hAnsi="Times New Roman;serif"/>
          <w:b w:val="false"/>
          <w:color w:val="000000"/>
          <w:sz w:val="20"/>
        </w:rPr>
        <w:t>. In December 2023, the Financial Accounting Standards Board (“FASB”) issued Accounting Standards Update (“ASU”) 2023-09,</w:t>
      </w:r>
      <w:r>
        <w:rPr>
          <w:color w:val="000000"/>
        </w:rPr>
        <w:t xml:space="preserve">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and interim reporting periods beginning after December 15, 2025. While the adoption of this ASU will modify the Company’s disclosures, it will not have an impact on the Company’s consolidated balance sheets or statements of income or cash flows in its consolidated financial statements.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Disaggregation of Income Statement Expenses.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The amendments in this update require disclosure in the Company’s annual and interim consolidated financial statements of specified information about certain costs and expenses, including depreciation, depletion and amortization recognized as part of oil and natural gas producing activities and employee compensation. This ASU is effective for the Company to all annual periods beginning after December 15, 2026, and interim reporting periods beginning after December 15, 2027. While the adoption of this ASU will modify the Company’s disclosures, it will not have an impact on the Company’s consolidated balance sheets or statements of income or cash flows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3 — BUSINESS COMBINATIONS AND DIVESTITURES</w:t>
      </w:r>
    </w:p>
    <w:p>
      <w:pPr>
        <w:pStyle w:val="TextBody"/>
        <w:bidi w:val="0"/>
        <w:spacing w:lineRule="auto" w:line="276"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Ameredev Acquisition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September 18, 2024, a wholly-owned subsidiary of the Company completed the acquisition (the “Ameredev Acquisition”) of Ameredev Stateline II, LLC (“Ameredev”) from affiliates of EnCap Investments L.P., including (i) certain oil and natural gas producing properties and undeveloped acreage located in Lea County, New Mexico and Loving and Winkler Counties, Texas, and (ii) an approximate 19% stake in the parent company of Piñon Midstream, LLC. Refer to Note 6—Business Combinations and Divestitures in the notes to the consolidated financial statements in the Annual Report for additional details regarding the Ameredev Acquisition, including information regarding the Company’s accounting treatment of the Ameredev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3 — BUSINESS COMBINATIONS AND DIVESTITURES — Continued</w:t>
      </w:r>
    </w:p>
    <w:p>
      <w:pPr>
        <w:pStyle w:val="TextBody"/>
        <w:bidi w:val="0"/>
        <w:spacing w:lineRule="auto" w:line="27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final allocation of the total purchase price for the Ameredev Acquisition, including immaterial adjustments from the preliminary allocation as of June 30, 2025, is set forth below (in thousands). </w:t>
      </w:r>
    </w:p>
    <w:tbl>
      <w:tblPr>
        <w:tblW w:w="4173" w:type="dxa"/>
        <w:jc w:val="left"/>
        <w:tblInd w:w="0" w:type="dxa"/>
        <w:tblLayout w:type="fixed"/>
        <w:tblCellMar>
          <w:top w:w="28" w:type="dxa"/>
          <w:left w:w="28" w:type="dxa"/>
          <w:bottom w:w="28" w:type="dxa"/>
          <w:right w:w="28" w:type="dxa"/>
        </w:tblCellMar>
      </w:tblPr>
      <w:tblGrid>
        <w:gridCol w:w="906"/>
        <w:gridCol w:w="799"/>
        <w:gridCol w:w="800"/>
        <w:gridCol w:w="109"/>
        <w:gridCol w:w="109"/>
        <w:gridCol w:w="109"/>
        <w:gridCol w:w="211"/>
        <w:gridCol w:w="97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Allocation</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Allocation of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and unevaluated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Times New Roman;serif" w:hAnsi="Times New Roman;serif"/>
          <w:b w:val="false"/>
          <w:i/>
          <w:color w:val="000000"/>
          <w:sz w:val="20"/>
          <w:u w:val="single"/>
        </w:rPr>
        <w:t>Divestitures</w:t>
      </w:r>
      <w:r>
        <w:rPr>
          <w:color w:val="000000"/>
        </w:rPr>
        <w: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the Company sold its remaining South Texas assets in the Eagle Ford shale for $22.2 million, which amount is subject to customary post-closing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4 — ASSET RETIREMENT OBLIGATIONS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Company’s asset retirement obligations for the nine months ended September 30, 2025 (in thousands).</w:t>
      </w:r>
    </w:p>
    <w:tbl>
      <w:tblPr>
        <w:tblW w:w="4791" w:type="dxa"/>
        <w:jc w:val="left"/>
        <w:tblInd w:w="0" w:type="dxa"/>
        <w:tblLayout w:type="fixed"/>
        <w:tblCellMar>
          <w:top w:w="28" w:type="dxa"/>
          <w:left w:w="28" w:type="dxa"/>
          <w:bottom w:w="28" w:type="dxa"/>
          <w:right w:w="28" w:type="dxa"/>
        </w:tblCellMar>
      </w:tblPr>
      <w:tblGrid>
        <w:gridCol w:w="1305"/>
        <w:gridCol w:w="1144"/>
        <w:gridCol w:w="1151"/>
        <w:gridCol w:w="211"/>
        <w:gridCol w:w="826"/>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asset retirement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in estimated cash flows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asset retirement obligations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current asset retirement obligations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 retirement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color w:val="000000"/>
        </w:rPr>
      </w:pPr>
      <w:r>
        <w:rPr>
          <w:color w:val="000000"/>
        </w:rPr>
        <w:t> </w:t>
      </w:r>
      <w:r>
        <w:rPr>
          <w:rFonts w:ascii="Times New Roman;serif" w:hAnsi="Times New Roman;serif"/>
          <w:b/>
          <w:color w:val="000000"/>
          <w:sz w:val="18"/>
        </w:rPr>
        <w:t>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(1)Included in accrued liabilities in the Company’s interim unaudited condensed consolidated balance sheet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 DEBT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debt, including the effects of issuance costs and discounts, net as of September 30, 2025 and December 31, 2024, are set forth below (in thousands).</w:t>
      </w:r>
    </w:p>
    <w:tbl>
      <w:tblPr>
        <w:tblW w:w="7127" w:type="dxa"/>
        <w:jc w:val="left"/>
        <w:tblInd w:w="0" w:type="dxa"/>
        <w:tblLayout w:type="fixed"/>
        <w:tblCellMar>
          <w:top w:w="28" w:type="dxa"/>
          <w:left w:w="28" w:type="dxa"/>
          <w:bottom w:w="28" w:type="dxa"/>
          <w:right w:w="28" w:type="dxa"/>
        </w:tblCellMar>
      </w:tblPr>
      <w:tblGrid>
        <w:gridCol w:w="1503"/>
        <w:gridCol w:w="1324"/>
        <w:gridCol w:w="1328"/>
        <w:gridCol w:w="212"/>
        <w:gridCol w:w="983"/>
        <w:gridCol w:w="109"/>
        <w:gridCol w:w="109"/>
        <w:gridCol w:w="109"/>
        <w:gridCol w:w="109"/>
        <w:gridCol w:w="211"/>
        <w:gridCol w:w="97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agreements: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due 2029</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Mateo Credit Facility due 2029</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6.875% senior notes due 2028 (the “2028 Notes”)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6.500% senior notes due 2032 (the “2032 Notes”)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 (the “2033 Notes”)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and discounts, net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unsecured notes payable</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3,325,408 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Agreements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MRC Energy Company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the Company had $285.0 million in borrowings outstanding under the Company’s reserves-based revolving credit facility (the “Credit Agreement”) and approximately $54.0 million in outstanding letters of credit issued pursuant to the Credit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borrowings under the Credit Agreement mature on March 22, 2029. 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May 2025, the borrowing base of the Credit Agreement was reaffirmed at $3.25 billion, and the Company kept the elected borrowing commitments at $2.25 billion. This May 2025 reaffirmation of the borrowing base constituted the regularly scheduled May 1 redetermination.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The Company believes that it was in compliance with the terms of the Credit Agreement at September 30, 2025.</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San Mateo Midstream, LLC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San Mateo had $815.0 million in borrowings outstanding under its secured revolving credit facility (the “San Mateo Credit Facility”) and approximately $15.4 million in outstanding letters of credit issued pursuant to the San Mateo Credit Facility. Since September 30, 2025, San Mateo repaid $55.0 million of borrowings under the San Mateo Credit Facility, and at October 21, 2025, San Mateo had $760.0 million in borrowings outstanding under the San Mateo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DEBT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2025, San Mateo and certain of its lenders modified the San Mateo Credit Facility to (i) increase the lender commitments from $800.0 million to $850.0 million and (ii) add one new bank to San Mateo’s lending group. The San Mateo Credit Facility includes an accordion feature, which provides for potential increases in lender commitments of up to $1.05 billion. The San Mateo Credit Facility is non-recourse with respect to Matador and its other subsidiaries but is guaranteed by San Mateo’s subsidiaries and secured by substantially all of San Mateo’s assets, including real property. The outstanding borrowings under the San Mateo Credit Facility mature on November 26, 2029.</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debt to EBITDA ratio is greater than 4.5 or San Mateo’s liquidity is less than 10% of the lender commitments under the San Mateo Credit Facility. The Company believes that San Mateo was in compliance with the terms of the San Mateo Credit Facility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 INCOME TAXES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On July 4, 2025, the President of the United States signed into law the One Big Beautiful Bill Act (the “OBBBA”). The legislation, among other things, makes permanent, extends or modifies certain provisions under the 2017 Tax Cuts and Jobs Act, including a permanent extension of 100% bonus depreciation for certain capital expenditures and immediate deduction of domestic research or experimental expenditures. Pursuant to ASC</w:t>
      </w:r>
      <w:r>
        <w:rPr>
          <w:color w:val="000000"/>
        </w:rPr>
        <w:t xml:space="preserve"> </w:t>
      </w:r>
      <w:r>
        <w:rPr>
          <w:rFonts w:ascii="Times New Roman;serif" w:hAnsi="Times New Roman;serif"/>
          <w:b w:val="false"/>
          <w:color w:val="000000"/>
          <w:sz w:val="20"/>
        </w:rPr>
        <w:t xml:space="preserve">Topic 740, </w:t>
      </w:r>
      <w:r>
        <w:rPr>
          <w:rFonts w:ascii="Times New Roman;serif" w:hAnsi="Times New Roman;serif"/>
          <w:b w:val="false"/>
          <w:i/>
          <w:color w:val="000000"/>
          <w:sz w:val="20"/>
        </w:rPr>
        <w:t>Income Taxes</w:t>
      </w:r>
      <w:r>
        <w:rPr>
          <w:rFonts w:ascii="Times New Roman;serif" w:hAnsi="Times New Roman;serif"/>
          <w:b w:val="false"/>
          <w:color w:val="000000"/>
          <w:sz w:val="20"/>
        </w:rPr>
        <w:t>, the effects of changes in tax law are recognized in the period of enactment, and as a result, the Company recognized the impacts of this legislation in its unaudited condensed consolidated financial statements for the three and nine months ended September 30, 2025. The effective income tax rates and the total income tax provision for the three and nine months ended September 30, 2025 were not materially impacted by the enactment of the OBBBA.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recorded a current income tax benefit of $39.3 million and a current income tax provision of $6.7 million for the three and nine months ended September 30, 2025, respectively, and a deferred income tax provision of $98.5 million and $191.8 million for the three and nine months ended September 30, 2025, respectively. The Company recorded a current income tax benefit of $21.1 million and a current tax provision of $26.3 million for the three and nine months ended September 30, 2024, respectively, and a deferred income tax provision of $106.4 million and $203.8 million for the three and nine months ended September 30, 2024, respectively. The increase in the current income tax benefit for the three months ended September 30, 2025 and the decrease in the current tax provision for the nine months ended September 30, 2025 compared to the respective periods of 2024 were primarily the result of the OBBBA.</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of 25% and 26% for the three months ended September 30, 2025 and 2024, respectively, and 26% for each of the nine months ended September 30, 2025 and 2024, differed from the U.S. federal statutory rate due primarily to state taxes in New Mexico.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 EQUITY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Stock-based Compensation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granted awards to certain of its employees of 474,393 service-based restricted stock units to be settled in cash, which are liability instruments, and 363,038 performance-based stock units and 380,206 service-based shares of restricted stock, which are equity instruments. The performance-based stock units vest in an amount between zero and 200% of the target units granted based on the Company’s relative total shareholder return over the three-year period ending December 31, 2027, as compared to a designated peer group. The service-based restricted stock and restricted stock units vest over a three-year period. The fair value of these awards was approximately $65.4 million on their respective grant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EQUITY— Continued</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Stock Dividend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Matador’s Board of Directors (the “Board”) declared a quarterly cash dividend of $0.3125 per share of common stock in each of the first, second and third quarters of 2025. The first quarter dividend, which totaled $39.2 million, was paid on March 14, 2025 to shareholders of record as of February 28, 2025. The second quarter dividend, which totaled $39.0 million, was paid on June 6, 2025 to shareholders of record as of May 9, 2025. The third quarter dividend, which totaled $38.7 million, was paid on September 5, 2025 to shareholders of record as of August 15, 2025. On October 15, 2025, the Board amended the Company’s dividend policy to increase the quarterly dividend to $0.375 per share of common stock for future dividend payments and also declared a quarterly cash dividend of $0.375 per share of common stock payable on December 5, 2025 to shareholders of record as of November 10, 2025.</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Share Repurchase Program</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16, 2025, the Board authorized a share repurchase program (the “Share Repurchase Program”) of up to $400.0 million of common stock. These repurchases may be conducted through a variety of methods, including open market purchases, 10b5-1 trading plans, privately negotiated transactions or other means.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repurchased 137,161 and 1,232,828 shares of common stock under the Share Repurchase Program at a weighted average price of $47.06 and $41.11 per common share for a total cost of $6.5 million and $50.7 million, respectively.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San Mateo Distributions and Contributions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and 2024, San Mateo distributed $36.2 million and $23.7 million, respectively, to the Company and $34.8 million and $22.8 million, respectively, to a subsidiary of Five Point Infrastructure LLC (previously, Five Point Energy LLC) (“Five Point”), the Company’s joint venture partner in San Mateo. During the nine months ended September 30, 2025 and 2024, San Mateo distributed $101.0 million and $75.9 million, respectively, to the Company and $97.0 million and $73.0 million, respectively, to a subsidiary of Five Point.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there were no contributions to San Mateo by either the Company or Five Point. During the three months ended September 30, 2024, there were no contributions to San Mateo by either the Company or Five Point. During the nine months ended September 30, 2024, the Company contributed $19.9 million and Five Point contributed $19.1 million of cash to San Mateo.</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Performance Incentives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performance incentives were paid by Five Point to the Company during the three months ended September 30, 2025. Five Point paid the Company $12.3 million of performance incentives during the three months ended September 30, 2024. Five Point paid the Company $9.2 million and $22.5 million of performance incentives during the nine months ended September 30, 2025 and 2024, respectively. These performance incentives are recorded when received, net of the $2.6 million deferred tax impact to the Company for the three months ended September 30, 2024 and $1.9 million and $4.7 million deferred tax impact to the Company for the nine months ended September 30, 2025 and 2024, respectively, in “Additional paid-in capital” in the Company’s interim unaudited condensed consolidated balance sheets. These performance incentives for the three and nine months ended September 30, 2025 and 2024 are also denoted as “Contributions related to formation of San Mateo” under “Financing activities” in the Company’s interim unaudited condensed consolidated statements of cash flows and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 DERIVATIVE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the Company had various costless collar contracts open and in place to mitigate its exposure to oil and natural gas price volatility, each with an established price floor and ceiling. At September 30, 2025, the Company had natural gas basis differential swap contracts open and in place to mitigate its exposure to natural gas price volatility, with a specific term (calculation period), notional quantity (volume hedged) and fixed price. The Company had no open contracts associated with natural gas liquids prices at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DERIVATIVE FINANCIAL INSTRUMENTS — Continued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costless collar contracts at September 30, 2025.</w:t>
      </w:r>
    </w:p>
    <w:tbl>
      <w:tblPr>
        <w:tblW w:w="10205" w:type="dxa"/>
        <w:jc w:val="left"/>
        <w:tblInd w:w="0" w:type="dxa"/>
        <w:tblLayout w:type="fixed"/>
        <w:tblCellMar>
          <w:top w:w="28" w:type="dxa"/>
          <w:left w:w="28" w:type="dxa"/>
          <w:bottom w:w="28" w:type="dxa"/>
          <w:right w:w="28" w:type="dxa"/>
        </w:tblCellMar>
      </w:tblPr>
      <w:tblGrid>
        <w:gridCol w:w="408"/>
        <w:gridCol w:w="358"/>
        <w:gridCol w:w="360"/>
        <w:gridCol w:w="109"/>
        <w:gridCol w:w="109"/>
        <w:gridCol w:w="109"/>
        <w:gridCol w:w="482"/>
        <w:gridCol w:w="482"/>
        <w:gridCol w:w="484"/>
        <w:gridCol w:w="109"/>
        <w:gridCol w:w="109"/>
        <w:gridCol w:w="109"/>
        <w:gridCol w:w="559"/>
        <w:gridCol w:w="534"/>
        <w:gridCol w:w="376"/>
        <w:gridCol w:w="109"/>
        <w:gridCol w:w="109"/>
        <w:gridCol w:w="109"/>
        <w:gridCol w:w="344"/>
        <w:gridCol w:w="1006"/>
        <w:gridCol w:w="177"/>
        <w:gridCol w:w="109"/>
        <w:gridCol w:w="109"/>
        <w:gridCol w:w="109"/>
        <w:gridCol w:w="354"/>
        <w:gridCol w:w="1035"/>
        <w:gridCol w:w="183"/>
        <w:gridCol w:w="109"/>
        <w:gridCol w:w="109"/>
        <w:gridCol w:w="109"/>
        <w:gridCol w:w="211"/>
        <w:gridCol w:w="721"/>
        <w:gridCol w:w="49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Notional Quantity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Price Floor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Price Ceiling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6,440,000 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54,750,000 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8450"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costless collar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15,407 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basis differential swap contracts at September 30, 2025.</w:t>
      </w:r>
    </w:p>
    <w:tbl>
      <w:tblPr>
        <w:tblW w:w="10205" w:type="dxa"/>
        <w:jc w:val="left"/>
        <w:tblInd w:w="0" w:type="dxa"/>
        <w:tblLayout w:type="fixed"/>
        <w:tblCellMar>
          <w:top w:w="28" w:type="dxa"/>
          <w:left w:w="28" w:type="dxa"/>
          <w:bottom w:w="28" w:type="dxa"/>
          <w:right w:w="28" w:type="dxa"/>
        </w:tblCellMar>
      </w:tblPr>
      <w:tblGrid>
        <w:gridCol w:w="794"/>
        <w:gridCol w:w="697"/>
        <w:gridCol w:w="701"/>
        <w:gridCol w:w="109"/>
        <w:gridCol w:w="109"/>
        <w:gridCol w:w="109"/>
        <w:gridCol w:w="639"/>
        <w:gridCol w:w="639"/>
        <w:gridCol w:w="642"/>
        <w:gridCol w:w="109"/>
        <w:gridCol w:w="109"/>
        <w:gridCol w:w="109"/>
        <w:gridCol w:w="813"/>
        <w:gridCol w:w="693"/>
        <w:gridCol w:w="696"/>
        <w:gridCol w:w="109"/>
        <w:gridCol w:w="109"/>
        <w:gridCol w:w="109"/>
        <w:gridCol w:w="272"/>
        <w:gridCol w:w="679"/>
        <w:gridCol w:w="141"/>
        <w:gridCol w:w="109"/>
        <w:gridCol w:w="109"/>
        <w:gridCol w:w="109"/>
        <w:gridCol w:w="211"/>
        <w:gridCol w:w="781"/>
        <w:gridCol w:w="499"/>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2,760,000 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54,750,000 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(19,763)</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basis differential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(11,729)</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818" w:type="dxa"/>
            <w:gridSpan w:val="6"/>
            <w:tcBorders/>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asset and liability fair values of the Company’s commodity price derivative financial instruments and the location of these balances in the interim unaudited condensed consolidated balance sheets as of September 30, 2025 and December 31, 2024 (in thousands).</w:t>
      </w:r>
    </w:p>
    <w:tbl>
      <w:tblPr>
        <w:tblW w:w="9830"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211"/>
        <w:gridCol w:w="721"/>
        <w:gridCol w:w="109"/>
        <w:gridCol w:w="109"/>
        <w:gridCol w:w="109"/>
        <w:gridCol w:w="109"/>
        <w:gridCol w:w="406"/>
        <w:gridCol w:w="1422"/>
        <w:gridCol w:w="212"/>
        <w:gridCol w:w="109"/>
        <w:gridCol w:w="109"/>
        <w:gridCol w:w="109"/>
        <w:gridCol w:w="696"/>
        <w:gridCol w:w="2378"/>
        <w:gridCol w:w="361"/>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w:t>
              <w:br/>
              <w:t>netted in the condensed</w:t>
              <w:br/>
              <w:t>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presented in the condensed</w:t>
              <w:br/>
              <w:t>consolidated</w:t>
              <w:br/>
              <w:t>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(17,246)</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DERIVATIVE FINANCIAL INSTRUMENTS — Continued</w:t>
      </w:r>
    </w:p>
    <w:p>
      <w:pPr>
        <w:pStyle w:val="TextBody"/>
        <w:bidi w:val="0"/>
        <w:spacing w:lineRule="auto" w:line="288" w:before="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location and aggregate gain (loss) of all derivative financial instruments recorded in the interim unaudited condensed consolidated statements of income for the periods presented (in thousands). </w:t>
      </w:r>
    </w:p>
    <w:tbl>
      <w:tblPr>
        <w:tblW w:w="10205" w:type="dxa"/>
        <w:jc w:val="left"/>
        <w:tblInd w:w="0" w:type="dxa"/>
        <w:tblLayout w:type="fixed"/>
        <w:tblCellMar>
          <w:top w:w="28" w:type="dxa"/>
          <w:left w:w="28" w:type="dxa"/>
          <w:bottom w:w="28" w:type="dxa"/>
          <w:right w:w="28" w:type="dxa"/>
        </w:tblCellMar>
      </w:tblPr>
      <w:tblGrid>
        <w:gridCol w:w="394"/>
        <w:gridCol w:w="345"/>
        <w:gridCol w:w="347"/>
        <w:gridCol w:w="109"/>
        <w:gridCol w:w="109"/>
        <w:gridCol w:w="109"/>
        <w:gridCol w:w="1090"/>
        <w:gridCol w:w="1090"/>
        <w:gridCol w:w="109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8"/>
      </w:tblGrid>
      <w:tr>
        <w:trPr/>
        <w:tc>
          <w:tcPr>
            <w:tcW w:w="39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in Condensed Consolidated </w:t>
              <w:br/>
              <w:t>Statement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Realized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Unrealized (loss)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9 — FAIR VALUE MEASUREMENTS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1    Unadjusted quoted prices for identical, unrestricted assets or liabilities in active markets.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Level 3    Unobservable inputs that are not corroborated by market data that reflect a company’s own market assumptions.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valuation of the Company’s financial assets and liabilities that were accounted for at fair value on a recurring basis in accordance with the classifications provided above as of September 30, 2025 and December 31, 2024 (in thousands).</w:t>
      </w:r>
    </w:p>
    <w:tbl>
      <w:tblPr>
        <w:tblW w:w="7651"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2"/>
        <w:gridCol w:w="109"/>
        <w:gridCol w:w="109"/>
        <w:gridCol w:w="109"/>
        <w:gridCol w:w="211"/>
        <w:gridCol w:w="616"/>
        <w:gridCol w:w="109"/>
        <w:gridCol w:w="109"/>
        <w:gridCol w:w="109"/>
        <w:gridCol w:w="109"/>
        <w:gridCol w:w="213"/>
        <w:gridCol w:w="411"/>
        <w:gridCol w:w="112"/>
        <w:gridCol w:w="109"/>
        <w:gridCol w:w="109"/>
        <w:gridCol w:w="109"/>
        <w:gridCol w:w="211"/>
        <w:gridCol w:w="61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September 30, 2025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costless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FAIR VALUE MEASUREMENTS — Continued</w:t>
      </w:r>
    </w:p>
    <w:tbl>
      <w:tblPr>
        <w:tblW w:w="7857"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0"/>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2024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 disclosures related to derivative financial instruments are provided in Note 8.</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Fair Value Measurements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fair value of the 2028 Notes was $509.5 million and $505.4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fair value of the 2032 Notes was $911.2 million and $890.7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fair value of the 2033 Notes was $755.2 million and $730.6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10 — COMMITMENTS AND CONTINGENCIES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Processing, Transportation and Produced Water Disposal Commitments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Firm Commitments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$18.8 million and $18.6 million for services under these agreements during the three months ended September 30, 2025 and 2024, respectively, and $62.2 million and $50.2 million for services under these agreements during the nine months ended September 30, 2025 and 2024,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September 30, 2025, the total deficiencies required to be paid by the Company under these agreements would be approximately $697.8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COMMITMENTS AND CONTINGENCIES — Continued</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San Mateo Commitments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In 2024, the Company also dedicated to San Mateo certain of its current and future leasehold interests in the Ranger and Antelope Ridge asset areas pursuant to 15-year, fixed-fee natural gas gathering, compression, treating and processing agreements (collectively with the transportation, gathering, produced water disposal and natural gas processing agreements, the “Operational Agreements”). San Mateo provides the Company with firm service under each of the Operational Agreements in exchange for certain minimum volume commitments. The remaining minimum contractual obligation under the Operational Agreements at September 30, 2025 was approximately $758.2 million.</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11 — SUPPLEMENTAL DISCLOSURES </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Accrued Liabilities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current accrued liabilities at September 30, 2025 and December 31, 2024 (in thousands).</w:t>
      </w:r>
    </w:p>
    <w:tbl>
      <w:tblPr>
        <w:tblW w:w="8320" w:type="dxa"/>
        <w:jc w:val="left"/>
        <w:tblInd w:w="0" w:type="dxa"/>
        <w:tblLayout w:type="fixed"/>
        <w:tblCellMar>
          <w:top w:w="28" w:type="dxa"/>
          <w:left w:w="28" w:type="dxa"/>
          <w:bottom w:w="28" w:type="dxa"/>
          <w:right w:w="28" w:type="dxa"/>
        </w:tblCellMar>
      </w:tblPr>
      <w:tblGrid>
        <w:gridCol w:w="1951"/>
        <w:gridCol w:w="1712"/>
        <w:gridCol w:w="1721"/>
        <w:gridCol w:w="240"/>
        <w:gridCol w:w="941"/>
        <w:gridCol w:w="124"/>
        <w:gridCol w:w="109"/>
        <w:gridCol w:w="109"/>
        <w:gridCol w:w="109"/>
        <w:gridCol w:w="231"/>
        <w:gridCol w:w="905"/>
        <w:gridCol w:w="168"/>
      </w:tblGrid>
      <w:tr>
        <w:trPr/>
        <w:tc>
          <w:tcPr>
            <w:tcW w:w="195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evaluated and unproved and unevaluated property costs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midstream properties costs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lease operating expenses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debt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asset retirement obligations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partners’ share of joint interest charges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 related to purchased natural gas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441,484 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SUPPLEMENTAL DISCLOSURES — Continued</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Supplemental Cash Flow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disclosures of cash flow information for the nine months ended September 30, 2025 and 2024 (in thousands).</w:t>
      </w:r>
    </w:p>
    <w:tbl>
      <w:tblPr>
        <w:tblW w:w="9323" w:type="dxa"/>
        <w:jc w:val="left"/>
        <w:tblInd w:w="0" w:type="dxa"/>
        <w:tblLayout w:type="fixed"/>
        <w:tblCellMar>
          <w:top w:w="28" w:type="dxa"/>
          <w:left w:w="28" w:type="dxa"/>
          <w:bottom w:w="28" w:type="dxa"/>
          <w:right w:w="28" w:type="dxa"/>
        </w:tblCellMar>
      </w:tblPr>
      <w:tblGrid>
        <w:gridCol w:w="2422"/>
        <w:gridCol w:w="2125"/>
        <w:gridCol w:w="2142"/>
        <w:gridCol w:w="211"/>
        <w:gridCol w:w="826"/>
        <w:gridCol w:w="109"/>
        <w:gridCol w:w="109"/>
        <w:gridCol w:w="109"/>
        <w:gridCol w:w="109"/>
        <w:gridCol w:w="211"/>
        <w:gridCol w:w="796"/>
        <w:gridCol w:w="154"/>
      </w:tblGrid>
      <w:tr>
        <w:trPr/>
        <w:tc>
          <w:tcPr>
            <w:tcW w:w="2422"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expense,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asset retirement obligations related to mineral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asset retirement obligations related to midstream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liabilities for drilling, completion and equipping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liabilities for acquisition of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liabilities for midstream properties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as a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inventory to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tbl>
      <w:tblPr>
        <w:tblW w:w="4959" w:type="dxa"/>
        <w:jc w:val="left"/>
        <w:tblInd w:w="0" w:type="dxa"/>
        <w:tblLayout w:type="fixed"/>
        <w:tblCellMar>
          <w:top w:w="28" w:type="dxa"/>
          <w:left w:w="28" w:type="dxa"/>
          <w:bottom w:w="28" w:type="dxa"/>
          <w:right w:w="28" w:type="dxa"/>
        </w:tblCellMar>
      </w:tblPr>
      <w:tblGrid>
        <w:gridCol w:w="902"/>
        <w:gridCol w:w="795"/>
        <w:gridCol w:w="808"/>
        <w:gridCol w:w="211"/>
        <w:gridCol w:w="721"/>
        <w:gridCol w:w="109"/>
        <w:gridCol w:w="109"/>
        <w:gridCol w:w="109"/>
        <w:gridCol w:w="109"/>
        <w:gridCol w:w="211"/>
        <w:gridCol w:w="7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12 — SEGMENT INFORMATION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has operations in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the payment of dividends and repurchases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12 — SEGMENT INFORMATION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tbl>
      <w:tblPr>
        <w:tblW w:w="10205" w:type="dxa"/>
        <w:jc w:val="center"/>
        <w:tblInd w:w="0" w:type="dxa"/>
        <w:tblLayout w:type="fixed"/>
        <w:tblCellMar>
          <w:top w:w="28" w:type="dxa"/>
          <w:left w:w="28" w:type="dxa"/>
          <w:bottom w:w="28" w:type="dxa"/>
          <w:right w:w="28" w:type="dxa"/>
        </w:tblCellMar>
      </w:tblPr>
      <w:tblGrid>
        <w:gridCol w:w="710"/>
        <w:gridCol w:w="486"/>
        <w:gridCol w:w="487"/>
        <w:gridCol w:w="249"/>
        <w:gridCol w:w="1152"/>
        <w:gridCol w:w="128"/>
        <w:gridCol w:w="109"/>
        <w:gridCol w:w="109"/>
        <w:gridCol w:w="109"/>
        <w:gridCol w:w="211"/>
        <w:gridCol w:w="976"/>
        <w:gridCol w:w="109"/>
        <w:gridCol w:w="109"/>
        <w:gridCol w:w="109"/>
        <w:gridCol w:w="109"/>
        <w:gridCol w:w="211"/>
        <w:gridCol w:w="826"/>
        <w:gridCol w:w="109"/>
        <w:gridCol w:w="109"/>
        <w:gridCol w:w="109"/>
        <w:gridCol w:w="109"/>
        <w:gridCol w:w="482"/>
        <w:gridCol w:w="927"/>
        <w:gridCol w:w="250"/>
        <w:gridCol w:w="109"/>
        <w:gridCol w:w="109"/>
        <w:gridCol w:w="109"/>
        <w:gridCol w:w="230"/>
        <w:gridCol w:w="1181"/>
        <w:gridCol w:w="173"/>
      </w:tblGrid>
      <w:tr>
        <w:trPr/>
        <w:tc>
          <w:tcPr>
            <w:tcW w:w="71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(43,355)</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265,281 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168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168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168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168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168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9,663,974 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1,832,452 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11,646,708 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569,873 </w:t>
            </w:r>
          </w:p>
        </w:tc>
        <w:tc>
          <w:tcPr>
            <w:tcW w:w="1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643,357 </w:t>
            </w:r>
          </w:p>
        </w:tc>
        <w:tc>
          <w:tcPr>
            <w:tcW w:w="1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$290.1 million and $14.9 million for the exploration and production and midstream segments, respectively. Also includes corporate depletion, depreciation and amortization expenses of $0.4 million. Other expenses for each reportable segment also include (i) production taxes, transportation and processing, (ii) general and administrative expenses, (iii) accretion of asset retirement obligations and (iv) purchased natural gas.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$24.3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$140.0 million attributable to land and seismic acquisition expenditures related to the exploration and production segment and $29.4 million in capital expenditures attributable to non-controlling interest in subsidiaries related to the midstream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12 — SEGMENT INFORMATION — Continued</w:t>
      </w:r>
    </w:p>
    <w:tbl>
      <w:tblPr>
        <w:tblW w:w="10205" w:type="dxa"/>
        <w:jc w:val="left"/>
        <w:tblInd w:w="0" w:type="dxa"/>
        <w:tblLayout w:type="fixed"/>
        <w:tblCellMar>
          <w:top w:w="28" w:type="dxa"/>
          <w:left w:w="28" w:type="dxa"/>
          <w:bottom w:w="28" w:type="dxa"/>
          <w:right w:w="28" w:type="dxa"/>
        </w:tblCellMar>
      </w:tblPr>
      <w:tblGrid>
        <w:gridCol w:w="720"/>
        <w:gridCol w:w="497"/>
        <w:gridCol w:w="498"/>
        <w:gridCol w:w="251"/>
        <w:gridCol w:w="1164"/>
        <w:gridCol w:w="129"/>
        <w:gridCol w:w="109"/>
        <w:gridCol w:w="109"/>
        <w:gridCol w:w="109"/>
        <w:gridCol w:w="211"/>
        <w:gridCol w:w="976"/>
        <w:gridCol w:w="109"/>
        <w:gridCol w:w="109"/>
        <w:gridCol w:w="109"/>
        <w:gridCol w:w="109"/>
        <w:gridCol w:w="211"/>
        <w:gridCol w:w="748"/>
        <w:gridCol w:w="109"/>
        <w:gridCol w:w="109"/>
        <w:gridCol w:w="109"/>
        <w:gridCol w:w="109"/>
        <w:gridCol w:w="488"/>
        <w:gridCol w:w="938"/>
        <w:gridCol w:w="253"/>
        <w:gridCol w:w="109"/>
        <w:gridCol w:w="109"/>
        <w:gridCol w:w="109"/>
        <w:gridCol w:w="231"/>
        <w:gridCol w:w="1188"/>
        <w:gridCol w:w="176"/>
      </w:tblGrid>
      <w:tr>
        <w:trPr/>
        <w:tc>
          <w:tcPr>
            <w:tcW w:w="72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(43,798)</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8,899,141 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1,653,821 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10,623,291 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1,915,453 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2,214,289 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pPr>
      <w:r>
        <w:rPr>
          <w:rFonts w:ascii="Times New Roman;serif" w:hAnsi="Times New Roman;serif"/>
          <w:b w:val="false"/>
          <w:color w:val="000000"/>
          <w:sz w:val="16"/>
        </w:rPr>
        <w:t>(2)Includes depletion, depreciation and amortization expenses of $231.6 million</w:t>
      </w:r>
      <w:r>
        <w:rPr>
          <w:color w:val="000000"/>
        </w:rPr>
        <w:t xml:space="preserve"> </w:t>
      </w:r>
      <w:r>
        <w:rPr>
          <w:rFonts w:ascii="Times New Roman;serif" w:hAnsi="Times New Roman;serif"/>
          <w:b w:val="false"/>
          <w:color w:val="000000"/>
          <w:sz w:val="16"/>
        </w:rPr>
        <w:t>and $10.9 million for the exploration and production and midstream segments, respectively. Also includes corporate depletion, depreciation and amortization expenses of $0.4 million. Other expenses for each reportable segment also include (i) production taxes, transportation and processing, (ii) general and administrative expenses, (iii) accretion of asset retirement obligations and (iv) purchased natural gas.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(3)Includes $24.4 million in net income attributable to non-controlling interest in subsidiaries related to the midstream segment.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(5)Includes $1.59 billion attributable to land and seismic acquisition expenditures related to the exploration and production segment, $240.9 million attributable to midstream acquisition expenditures and $5.9 million in capital expenditures attributable to non-controlling interest in subsidiaries related to the midstream segment. </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704"/>
        <w:gridCol w:w="482"/>
        <w:gridCol w:w="483"/>
        <w:gridCol w:w="249"/>
        <w:gridCol w:w="1156"/>
        <w:gridCol w:w="129"/>
        <w:gridCol w:w="109"/>
        <w:gridCol w:w="109"/>
        <w:gridCol w:w="109"/>
        <w:gridCol w:w="211"/>
        <w:gridCol w:w="976"/>
        <w:gridCol w:w="109"/>
        <w:gridCol w:w="109"/>
        <w:gridCol w:w="109"/>
        <w:gridCol w:w="109"/>
        <w:gridCol w:w="211"/>
        <w:gridCol w:w="826"/>
        <w:gridCol w:w="109"/>
        <w:gridCol w:w="109"/>
        <w:gridCol w:w="109"/>
        <w:gridCol w:w="109"/>
        <w:gridCol w:w="484"/>
        <w:gridCol w:w="930"/>
        <w:gridCol w:w="251"/>
        <w:gridCol w:w="109"/>
        <w:gridCol w:w="109"/>
        <w:gridCol w:w="109"/>
        <w:gridCol w:w="230"/>
        <w:gridCol w:w="1183"/>
        <w:gridCol w:w="174"/>
      </w:tblGrid>
      <w:tr>
        <w:trPr/>
        <w:tc>
          <w:tcPr>
            <w:tcW w:w="70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2,535,933 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(280,882)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1,395,639 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9,663,974 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1,832,452 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11,646,708 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1,435,138 </w:t>
            </w:r>
          </w:p>
        </w:tc>
        <w:tc>
          <w:tcPr>
            <w:tcW w:w="1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1,689,049 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$848.6 million and $40.1 million for the exploration and production and midstream segments, respectively. Also includes corporate depletion, depreciation and amortization expenses of $1.2 million. Other expenses for each reportable segment also includes (i) production taxes, transportation and processing, (ii) general and administrative expenses, (iii) accretion of asset retirement obligations and (iv) purchased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12 — SEGMENT INFORMATION — Continued</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(3)Includes $78.6 million in net income attributable to non-controlling interest in subsidiaries related to the midstream segment.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(5)Includes $265.6 million attributable to land and seismic acquisition expenditures related to the exploration and production segment and $105.5 million in capital expenditures attributable to non-controlling interest in subsidiaries related to the midstream segment. </w:t>
      </w:r>
    </w:p>
    <w:tbl>
      <w:tblPr>
        <w:tblW w:w="10205" w:type="dxa"/>
        <w:jc w:val="center"/>
        <w:tblInd w:w="0" w:type="dxa"/>
        <w:tblLayout w:type="fixed"/>
        <w:tblCellMar>
          <w:top w:w="28" w:type="dxa"/>
          <w:left w:w="28" w:type="dxa"/>
          <w:bottom w:w="28" w:type="dxa"/>
          <w:right w:w="28" w:type="dxa"/>
        </w:tblCellMar>
      </w:tblPr>
      <w:tblGrid>
        <w:gridCol w:w="714"/>
        <w:gridCol w:w="492"/>
        <w:gridCol w:w="494"/>
        <w:gridCol w:w="252"/>
        <w:gridCol w:w="1168"/>
        <w:gridCol w:w="130"/>
        <w:gridCol w:w="109"/>
        <w:gridCol w:w="109"/>
        <w:gridCol w:w="109"/>
        <w:gridCol w:w="211"/>
        <w:gridCol w:w="976"/>
        <w:gridCol w:w="109"/>
        <w:gridCol w:w="109"/>
        <w:gridCol w:w="109"/>
        <w:gridCol w:w="109"/>
        <w:gridCol w:w="211"/>
        <w:gridCol w:w="748"/>
        <w:gridCol w:w="109"/>
        <w:gridCol w:w="109"/>
        <w:gridCol w:w="109"/>
        <w:gridCol w:w="109"/>
        <w:gridCol w:w="443"/>
        <w:gridCol w:w="1012"/>
        <w:gridCol w:w="230"/>
        <w:gridCol w:w="109"/>
        <w:gridCol w:w="109"/>
        <w:gridCol w:w="109"/>
        <w:gridCol w:w="232"/>
        <w:gridCol w:w="1190"/>
        <w:gridCol w:w="176"/>
      </w:tblGrid>
      <w:tr>
        <w:trPr/>
        <w:tc>
          <w:tcPr>
            <w:tcW w:w="71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2,238,873 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(220,924)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(116,905)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(104,597)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8,899,141 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1,653,821 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10,623,291 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2,939,236 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433,587 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3,376,780 </w:t>
            </w:r>
          </w:p>
        </w:tc>
        <w:tc>
          <w:tcPr>
            <w:tcW w:w="1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plant and other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$647.5 million and $32.7 million for the exploration and production and midstream segments, respectively. Also includes corporate depletion, depreciation and amortization expenses of $1.0 million. Other expenses for each reportable segment also include (i) production taxes, transportation and processing, (ii) general and administrative expenses, (iii) accretion of asset retirement obligations and (iv) purchased natural gas.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$62.6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$1.94 billion attributable to land and seismic acquisition expenditures related to the exploration and production segment, $240.9 million attributable to midstream acquisition expenditures and $19.2 million in capital expenditures attributable to non-controlling interest in subsidiaries related to the midstream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2024 (the “Annual Report”) filed with the Securities and Exchange Commission (the “SEC”) on February 25, 2025, along with Management’s Discussion and Analysis of Financial Condition and Results of Operations contained in the Annual Report. The Annual Report is accessible on the SEC’s website at </w:t>
      </w:r>
      <w:r>
        <w:rPr>
          <w:rFonts w:ascii="Times New Roman;serif" w:hAnsi="Times New Roman;serif"/>
          <w:b w:val="false"/>
          <w:i/>
          <w:color w:val="000000"/>
          <w:sz w:val="20"/>
          <w:u w:val="single"/>
        </w:rPr>
        <w:t>www.sec.gov</w:t>
      </w:r>
      <w:r>
        <w:rPr>
          <w:color w:val="000000"/>
        </w:rPr>
        <w:t xml:space="preserve"> </w:t>
      </w:r>
      <w:r>
        <w:rPr>
          <w:rFonts w:ascii="Times New Roman;serif" w:hAnsi="Times New Roman;serif"/>
          <w:b w:val="false"/>
          <w:i/>
          <w:color w:val="000000"/>
          <w:sz w:val="20"/>
        </w:rPr>
        <w:t xml:space="preserve">and on our website at </w:t>
      </w:r>
      <w:r>
        <w:rPr>
          <w:rFonts w:ascii="Times New Roman;serif" w:hAnsi="Times New Roman;serif"/>
          <w:b w:val="false"/>
          <w:i/>
          <w:color w:val="000000"/>
          <w:sz w:val="20"/>
          <w:u w:val="single"/>
        </w:rPr>
        <w:t>www.matadorresources.com</w:t>
      </w:r>
      <w:r>
        <w:rPr>
          <w:rFonts w:ascii="Times New Roman;serif" w:hAnsi="Times New Roman;serif"/>
          <w:b w:val="false"/>
          <w:i/>
          <w:color w:val="000000"/>
          <w:sz w:val="20"/>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and (iv) references to the “Ameredev Acquisition” refer to the acquisition of Ameredev Stateline II, LLC from affiliates of EnCap Investments L.P., including (a) certain oil and natural gas producing properties and undeveloped acreage located in Lea County, New Mexico and Loving and Winkler Counties, Texas, and (b) an approximate 19% stake in the parent company of Piñon Midstream, LLC, which was completed by a subsidiary of the Company on September 18, 2024. For certain oil and natural gas terms used in this Quarterly Report, please see the “Glossary of Oil and Natural Gas Terms” included with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and environmental conditions; disruption from our acquisitions making it more difficult to maintain business and operational relationships; significant transaction costs associated with our acquisitions; the risk of litigation and/or regulatory actions related to our acquisitions; and the other factors discussed below and elsewhere in this Quarterly Report and in other documents that we file with or furnish to the SEC, all of which are difficult to predict. Forward-looking statements may include statements about: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strategy;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estimated future reserves and the present value thereof, including whether or not a full-cost ceiling impairment could be realized;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cash flows and liquidity;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timing and payment of dividends, if 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financial strategy, budget, projections and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supply and demand of oil, natural gas and NGLs;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oil, natural gas and NGL prices, including our realized prices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amount of future production of oil and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drilling and production equipment;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oil storage capacity;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oil field labor;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amount, nature and timing of capital expenditures, including future exploration and development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and terms of 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drilling of wells;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negotiate and consummate acquisition and divestiture opportunities;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integration of acquisitions with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 regulation and taxation of the oil and natural gas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and trade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marketing of oil and natural gas;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exploitation projects or property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our midstream business to construct, maintain and operate midstream pipelines and facilities, including the operation of cryogenic natural gas processing plants and the drilling of additional salt water disposal wells;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our midstream business to attract third-party volumes;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costs of exploiting and developing our properties and conducting other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in the oil and natural gas industry, including in both the exploration and production and midstream segments;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effectiveness of our risk management and hedging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environmental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initiatives and efforts relating to environmental, social and governance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counterparty credit risk;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geopolitical instability and developments in oil-producing and natural gas-producing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impact of the Inflation Reduction Act of 2022;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the One Big Beautiful Bill Act of 2025 (the “OBBBA”);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plans, objectives, expectations and intentions contained in this Quarterly Report or in our other filings with the SEC that are not historical.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Third Quarter Highlights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our total oil equivalent production was 19.2 million BOE, and our average daily oil equivalent production was 209,184 BOE per day, of which 119,556 Bbl per day, or 57%, was oil and 537.8 MMcf per day, or 43%, was natural gas. Our average daily oil production of 119,556 Bbl per day for the three months ended September 30, 2025 increased 19% year-over-year from 100,315 Bbl per day for the three months ended September 30, 2024. Our average daily natural gas production of 537.8 MMcf per day for the three months ended September 30, 2025 increased 26% year-over-year from 427.0 MMcf per day for the three months ended September 30,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Delaware Basin contributed 100% of our daily oil production and approximately 94% of our daily natural gas production in the third quarter of 2025, as compared to approximately 99% of our daily oil production and approximately 95% of our daily natural gas production in the third quarter of 2024.</w:t>
      </w:r>
    </w:p>
    <w:p>
      <w:pPr>
        <w:pStyle w:val="TextBody"/>
        <w:bidi w:val="0"/>
        <w:spacing w:lineRule="auto" w:line="288" w:before="120" w:after="283"/>
        <w:ind w:left="0" w:right="0" w:firstLine="495"/>
        <w:jc w:val="left"/>
        <w:rPr/>
      </w:pPr>
      <w:r>
        <w:rPr>
          <w:rFonts w:ascii="Times New Roman;serif" w:hAnsi="Times New Roman;serif"/>
          <w:b w:val="false"/>
          <w:color w:val="000000"/>
          <w:sz w:val="20"/>
        </w:rPr>
        <w:t>For the third quarter of 2025, we reported net income attributable to Matador shareholders of $176.4 million, or $1.42 per diluted common share, on a GAAP basis, as compared to net income attributable to Matador shareholders of $248.3 million, or $1.99 per diluted common share, for the third quarter of 2024. For the third quarter of 2025, our Adjusted EBITDA, a non</w:t>
      </w:r>
      <w:r>
        <w:rPr>
          <w:color w:val="000000"/>
        </w:rPr>
        <w:noBreakHyphen/>
      </w:r>
      <w:r>
        <w:rPr>
          <w:rFonts w:ascii="Times New Roman;serif" w:hAnsi="Times New Roman;serif"/>
          <w:b w:val="false"/>
          <w:color w:val="000000"/>
          <w:sz w:val="20"/>
        </w:rPr>
        <w:t>GAAP financial measure, was $566.5 million, as compared to Adjusted EBITDA of $574.5 million during the third quarter of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we reported net income attributable to Matador shareholders of $566.7 million, or $4.54 per diluted common share, on a GAAP basis, as compared to net income attributable to Matador shareholders of $670.8 million, or $5.44 per diluted common share, for the nine months ended September 30, 2024. For the nine months ended September 30, 2025, our Adjusted EBITDA, a non-GAAP financial measure, was $1.80 billion, as compared to Adjusted EBITDA of $1.66 billion during the nine months ended September 30,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a definition of Adjusted EBITDA and a reconciliation of Adjusted EBITDA to our net income and net cash provided by operating activities, see “—Liquidity and Capital Resources—Non-GAAP Financial Measures.” For more information regarding our financial results for the three and nine months ended September 30, 2025, see “—Results of Operations” below.</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2025 Capital Expenditure Budget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21, 2025, we increased our estimated drilling, completing and equipping (“D/C/E”) capital expenditures for 2025 to a range of $1.47 to $1.55 billion from a range of $1.18 to $1.37 billion. On October 21, 2025, we also adjusted our estimated midstream capital expenditures for 2025 to a range of $155.0 to $175.0 million from a range of $120.0 to $180.0 million, which includes our proportionate share of San Mateo’s estimated 2025 capital expenditures as well as the estimated 2025 capital expenditures for other wholly-owned midstream projects. The midstream capital expenditure budget includes 51% of the costs associated with San Mateo’s construction of an additional natural gas processing plant with a designed inlet capacity of 200 MMcf per day, including a nitrogen rejection unit and additional related facilities, to expand its Marlan cryogenic natural gas processing plant (the “Marlan Processing Plant Expansion”), which came online in the second quarter of 2025.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Capital Resources Update</w:t>
      </w:r>
    </w:p>
    <w:p>
      <w:pPr>
        <w:pStyle w:val="TextBody"/>
        <w:bidi w:val="0"/>
        <w:spacing w:lineRule="auto" w:line="285"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Matador’s Board of Directors (the “Board”) declared quarterly cash dividends of $0.3125 per share of common stock in each of the first, second and third quarters of 2025. On October 15, 2025, the Board amended our dividend policy to increase the quarterly dividend to $0.375 per share of common stock for future dividend payments and also declared a quarterly cash dividend of $0.375 per share of common stock payable on December 5, 2025 to shareholders of record as of November 10, 2025.</w:t>
      </w:r>
    </w:p>
    <w:p>
      <w:pPr>
        <w:pStyle w:val="TextBody"/>
        <w:bidi w:val="0"/>
        <w:spacing w:lineRule="auto" w:line="285"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16, 2025, the Board authorized a share repurchase program (the “Share Repurchase Program”) of up to $400.0 million of common stock. During the three and nine months ended September 30, 2025, the Company repurchased 137,161 and 1,232,828 shares of common stock under the Share Repurchase Program at a weighted average price of $47.06 and $41.11 per common share for a total cost of $6.5 million and $50.7 million, respectively.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(i) $285.0 million in borrowings outstanding under our secured revolving credit facility (the “Credit Agreement”), (ii) approximately $54.0 million in outstanding letters of credit issued pursuant to the Credit Agreement, (iii) $500.0 million of outstanding 6.875% senior notes due 2028 (the “2028 Notes”), (iv) $900.0 million of outstanding 6.50% senior notes due 2032 (the “2032 Notes”) and (v) $750.0 million of outstanding 6.25% senior notes due 2033 (the “2033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2025, San Mateo and certain of its lenders modified San Mateo’s secured revolving credit facility (the “San Mateo Credit Facility”) to (i) increase the lender commitments from $800.0 million to $850.0 million and (ii) add one new bank to San Mateo’s lending group. At September 30, 2025, San Mateo had $815.0 million in borrowings outstanding under the San Mateo Credit Facility and approximately $15.4 million in outstanding letters of credit issued pursuant to the San Mateo Credit Facility. Since September 30, 2025, San Mateo repaid $55.0 million of borrowings under the San Mateo Credit Facility, and at October 21, 2025, San Mateo had $760.0 million in borrowings outstanding under the San Mateo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and estimates from those set forth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2 to the interim unaudited condensed consolidated financial statements in this Quarterly Report for a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revenues and production data for the periods indicated:</w:t>
      </w:r>
    </w:p>
    <w:tbl>
      <w:tblPr>
        <w:tblW w:w="10095" w:type="dxa"/>
        <w:jc w:val="left"/>
        <w:tblInd w:w="0" w:type="dxa"/>
        <w:tblLayout w:type="fixed"/>
        <w:tblCellMar>
          <w:top w:w="28" w:type="dxa"/>
          <w:left w:w="28" w:type="dxa"/>
          <w:bottom w:w="28" w:type="dxa"/>
          <w:right w:w="28" w:type="dxa"/>
        </w:tblCellMar>
      </w:tblPr>
      <w:tblGrid>
        <w:gridCol w:w="1518"/>
        <w:gridCol w:w="1331"/>
        <w:gridCol w:w="133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Data</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Revenues (in thousands)</w:t>
            </w:r>
            <w:r>
              <w:rPr>
                <w:rFonts w:ascii="Times New Roman;serif" w:hAnsi="Times New Roman;serif"/>
                <w:b/>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Production Volumes</w:t>
            </w:r>
            <w:r>
              <w:rPr>
                <w:rFonts w:ascii="Times New Roman;serif" w:hAnsi="Times New Roman;serif"/>
                <w:b/>
                <w:color w:val="000000"/>
                <w:sz w:val="13"/>
              </w:rPr>
              <w:t>(1)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(MBbl)</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(Bcf)</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erif" w:hAnsi="Times New Roman;serif"/>
                <w:b w:val="false"/>
                <w:color w:val="000000"/>
                <w:sz w:val="20"/>
              </w:rPr>
              <w:t>Total oil equivalent (MBOE)</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erif" w:hAnsi="Times New Roman;serif"/>
                <w:b w:val="false"/>
                <w:color w:val="000000"/>
                <w:sz w:val="20"/>
              </w:rPr>
              <w:t>Average daily production (BOE/d)</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Sales Prices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(2)One thousand Bbl of oil.</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(3)One billion cubic feet of natural gas.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(4)One thousand Bbl of oil equivalent, estimated using a conversion ratio of one Bbl of oil per six Mcf of natural gas.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(5)Barrels of oil equivalent per day, estimated using a conversion ratio of one Bbl of oil per six Mcf of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September 30, 2025 as Compared to Three Months Ended September 30, 2024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Oil and natural gas revenues. </w:t>
      </w:r>
      <w:r>
        <w:rPr>
          <w:rFonts w:ascii="Times New Roman;serif" w:hAnsi="Times New Roman;serif"/>
          <w:b w:val="false"/>
          <w:color w:val="000000"/>
          <w:sz w:val="20"/>
        </w:rPr>
        <w:t>Our oil and natural gas revenues increased $40.1 million, or 5%, to $810.2 million for the three months ended September 30, 2025, as compared to $770.2 million for the three months ended September 30, 2024. Our oil revenues increased $15.6 million, or 2%, to $713.9 million for the three months ended September 30, 2025, as compared to $698.4 million for the three months ended September 30, 2024. The increase in oil revenues resulted from a 19% increase in our oil production to 11.0 million Bbl for the three months ended September 30, 2025, as compared to 9.2 million Bbl for the three months ended September 30, 2024, which was partially offset by a 14% decrease in the weighted average oil price realized for the three months ended September 30, 2025 to $64.91 per Bbl, as compared to $75.67 per Bbl for the three months ended September 30, 2024. Our natural gas revenues increased $24.5 million, or 34%, to $96.3 million for the three months ended September 30, 2025, as compared to $71.8 million for the three months ended September 30, 2024. The increase in natural gas revenues primarily resulted from a 26% increase in our natural gas production to 49.5 Bcf for the three months ended September 30, 2025, as compared to 39.3 Bcf for the three months ended September 30, 2024 and a 7% increase in the weighted average natural gas price realized for the three months ended September 30, 2025 to $1.95 per Mcf, as compared to a weighted average natural gas price of $1.83 per Mcf for the three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Third-party midstream services revenues. </w:t>
      </w:r>
      <w:r>
        <w:rPr>
          <w:rFonts w:ascii="Times New Roman;serif" w:hAnsi="Times New Roman;serif"/>
          <w:b w:val="false"/>
          <w:color w:val="000000"/>
          <w:sz w:val="20"/>
        </w:rPr>
        <w:t>Our third-party midstream services revenues increased $5.5 million, or 14%, to $43.8 million for the three months ended September 30, 2025, as compared to $38.3 million for the three months ended September 30, 2024. Third-party midstream services revenues are those revenues from midstream operations related to third parties, including working interest owners in our operated wells. This increase was primarily attributable to (i) an increase in our third-party natural gas gathering and processing revenues to $25.9 million for the three months ended September 30, 2025, as compared to $18.8 million for the three months ended September 30, 2024, and (ii) an increase in our oil transportation revenues to $6.4 million for the three months ended September 30, 2025, as compared to $4.1 million for the three months ended September 30, 2024, which were partially offset by a decrease in our third-party water disposal revenues to $11.5 million for the three months ended September 30, 2025, as compared to $15.4 million for the three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Sales of purchased natural gas.</w:t>
      </w:r>
      <w:r>
        <w:rPr>
          <w:color w:val="000000"/>
        </w:rPr>
        <w:t xml:space="preserve"> </w:t>
      </w:r>
      <w:r>
        <w:rPr>
          <w:rFonts w:ascii="Times New Roman;serif" w:hAnsi="Times New Roman;serif"/>
          <w:b w:val="false"/>
          <w:color w:val="000000"/>
          <w:sz w:val="20"/>
        </w:rPr>
        <w:t>Our sales of purchased natural gas increased $9.4 million, or 18%, to $61.0 million for the three months ended September 30, 2025, as compared to $51.7 million for the three months ended September 30, 2024. This increase was primarily the result of a 15% increase in natural gas volumes sold and a 3% increase in natural gas price realized in those sales.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interim unaudited condensed consolidated statements of income.</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Realized gain on derivatives.</w:t>
      </w:r>
      <w:r>
        <w:rPr>
          <w:color w:val="000000"/>
        </w:rPr>
        <w:t xml:space="preserve"> </w:t>
      </w:r>
      <w:r>
        <w:rPr>
          <w:rFonts w:ascii="Times New Roman;serif" w:hAnsi="Times New Roman;serif"/>
          <w:b w:val="false"/>
          <w:color w:val="000000"/>
          <w:sz w:val="20"/>
        </w:rPr>
        <w:t>Our realized gain on derivatives was $3.9 million for the three months ended September 30, 2025, as compared to a realized gain of $4.5 million for the three months ended September 30, 2024. We realized a net gain of $3.9 million and $4.5 million related to our natural gas basis differential swap contracts for the three months ended September 30, 2025 and 2024, respectively, resulting primarily from natural gas basis differentials that were below the fixed prices of certain of our natural gas basis differential swap contracts. We realized an average gain on our natural gas derivatives of approximately $0.08 per Mcf produced during the three months ended September 30, 2025, as compared to an average gain of approximately $0.11 per Mcf produced during the three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Unrealized gain on derivatives.</w:t>
      </w:r>
      <w:r>
        <w:rPr>
          <w:color w:val="000000"/>
        </w:rPr>
        <w:t xml:space="preserve"> </w:t>
      </w:r>
      <w:r>
        <w:rPr>
          <w:rFonts w:ascii="Times New Roman;serif" w:hAnsi="Times New Roman;serif"/>
          <w:b w:val="false"/>
          <w:color w:val="000000"/>
          <w:sz w:val="20"/>
        </w:rPr>
        <w:t>During the three months ended September 30, 2025, the aggregate net fair value of our open oil and natural gas costless collars and natural gas basis differential swap contracts changed to a net asset of $3.7 million from a net liability of $16.3 million at June 30, 2025, resulting in an unrealized gain on derivatives of $20.0 million for the three months ended September 30, 2025. During the three months ended September 30, 2024, the aggregate net fair value of our open oil costless collar and natural gas basis differential swap contracts changed to a net asset of $28.0 million from a net liability of $7.1 million at June 30, 2024, resulting in an unrealized gain on derivatives of $35.1 million for the three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225"/>
        <w:jc w:val="left"/>
        <w:rPr/>
      </w:pPr>
      <w:r>
        <w:rPr>
          <w:rFonts w:ascii="Times New Roman;serif" w:hAnsi="Times New Roman;serif"/>
          <w:b w:val="false"/>
          <w:i/>
          <w:color w:val="000000"/>
          <w:sz w:val="20"/>
        </w:rPr>
        <w:t>Nine Months Ended September 30, 2025 as Compared to Nine Months Ended September 30, 2024</w:t>
      </w:r>
      <w:r>
        <w:rPr>
          <w:color w:val="000000"/>
        </w:rPr>
        <w:t xml:space="preserve">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Oil and natural gas revenues. </w:t>
      </w:r>
      <w:r>
        <w:rPr>
          <w:rFonts w:ascii="Times New Roman;serif" w:hAnsi="Times New Roman;serif"/>
          <w:b w:val="false"/>
          <w:color w:val="000000"/>
          <w:sz w:val="20"/>
        </w:rPr>
        <w:t>Our oil and natural gas revenues increased $286.0 million, or 13%, to $2.54 billion for the nine months ended September 30, 2025, as compared to $2.25 billion for the nine months ended September 30, 2024. Our oil revenues increased $180.2 million, or 9%, to $2.18 billion for the nine months ended September 30, 2025, as compared to $2.00 billion for the nine months ended September 30, 2024. This increase in oil revenues resulted from a 27% increase in our oil production to 32.5 million Bbl for the nine months ended September 30, 2025, as compared to 25.6 million Bbl for the nine months ended September 30, 2024, which was partially offset by a 14% decrease in the weighted average oil price realized for the nine months ended September 30, 2025 to $67.09 per Bbl, as compared to $78.12 per Bbl for the nine months ended September 30, 2024. Our natural gas revenues increased by $105.8 million, or 43%, to $353.3 million for the nine months ended September 30, 2025, as compared to $247.5 million for the nine months ended September 30, 2024. The increase in natural gas revenues resulted from a 29% increase in our natural gas production to 141.7 Bcf for the nine months ended September 30, 2025, as compared to 110.2 Bcf for the nine months ended September 30, 2024, and an 11% increase in the weighted average natural gas price realized for the nine months ended September 30, 2025 to $2.49 per Mcf, as compared to a weighted average natural gas price of $2.25 per Mcf for the nine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Third-party midstream services revenues. </w:t>
      </w:r>
      <w:r>
        <w:rPr>
          <w:rFonts w:ascii="Times New Roman;serif" w:hAnsi="Times New Roman;serif"/>
          <w:b w:val="false"/>
          <w:color w:val="000000"/>
          <w:sz w:val="20"/>
        </w:rPr>
        <w:t>Our third-party midstream services revenues increased $16.0 million, or 15%, to $119.3 million for the nine months ended September 30, 2025, as compared to $103.3 million for the nine months ended September 30, 2024. This increase was primarily attributable to (i) an increase in our third-party natural gas gathering and processing revenues to $64.8 million for the nine months ended September 30, 2025, as compared to $49.8 million for the nine months ended September 30, 2024, and (ii) an increase in our oil transportation revenues to $17.7 million for the nine months ended September 30, 2025, as compared to $10.6 million for the nine months ended September 30, 2024, which were partially offset by a decrease in our third-party water disposal revenues to $36.8 million for the nine months ended September 30, 2025, as compared to $42.9 million for the nine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Sales of purchased natural gas.</w:t>
      </w:r>
      <w:r>
        <w:rPr>
          <w:color w:val="000000"/>
        </w:rPr>
        <w:t xml:space="preserve"> </w:t>
      </w:r>
      <w:r>
        <w:rPr>
          <w:rFonts w:ascii="Times New Roman;serif" w:hAnsi="Times New Roman;serif"/>
          <w:b w:val="false"/>
          <w:color w:val="000000"/>
          <w:sz w:val="20"/>
        </w:rPr>
        <w:t>Our sales of purchased natural gas increased $44.3 million, or 30%, to $191.7 million for the nine months ended September 30, 2025, as compared to $147.4 million for the nine months ended September 30, 2024. This increase was the result of a 24% increase in natural gas price realized and a 5% increase in natural gas volumes sold.</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Realized gain on derivatives. </w:t>
      </w:r>
      <w:r>
        <w:rPr>
          <w:rFonts w:ascii="Times New Roman;serif" w:hAnsi="Times New Roman;serif"/>
          <w:b w:val="false"/>
          <w:color w:val="000000"/>
          <w:sz w:val="20"/>
        </w:rPr>
        <w:t>Our realized gain on derivatives was $13.6 million for the nine months ended September 30, 2025, as compared to a realized gain of $8.6 million for the nine months ended September 30, 2024. We realized a net gain of $13.6 million and $8.6 million related to our natural gas basis differential swap contracts for the nine months ended September 30, 2025 and 2024, respectively, resulting primarily from natural gas basis differentials that were below the fixed prices of our natural gas basis differential swap contracts. We realized an average gain on our natural gas derivatives of approximately $0.10 per Mcf produced during the nine months ended September 30, 2025, as compared to an average gain of approximately $0.07 per Mcf produced during the nine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Unrealized gain (loss) on derivatives. </w:t>
      </w:r>
      <w:r>
        <w:rPr>
          <w:rFonts w:ascii="Times New Roman;serif" w:hAnsi="Times New Roman;serif"/>
          <w:b w:val="false"/>
          <w:color w:val="000000"/>
          <w:sz w:val="20"/>
        </w:rPr>
        <w:t>During the nine months ended September 30, 2025, the aggregate net fair value of our open oil and natural gas costless collars and natural gas basis differential swap contracts changed to a net asset of $3.7 million from a net asset of $16.0 million at December 31, 2024, resulting in an unrealized loss on derivatives of $12.3 million for the nine months ended September 30, 2025. During the nine months ended September 30, 2024, the aggregate net fair value of our open oil costless collar and natural gas basis differential swap contracts changed to a net asset of $28.0 million from a net asset of $2.7 million at December 31, 2023, resulting in an unrealized gain on derivatives of $25.4 million for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operating expenses and other income (expense) for the periods indicated:</w:t>
      </w:r>
    </w:p>
    <w:tbl>
      <w:tblPr>
        <w:tblW w:w="10205" w:type="dxa"/>
        <w:jc w:val="left"/>
        <w:tblInd w:w="0" w:type="dxa"/>
        <w:tblLayout w:type="fixed"/>
        <w:tblCellMar>
          <w:top w:w="28" w:type="dxa"/>
          <w:left w:w="28" w:type="dxa"/>
          <w:bottom w:w="28" w:type="dxa"/>
          <w:right w:w="28" w:type="dxa"/>
        </w:tblCellMar>
      </w:tblPr>
      <w:tblGrid>
        <w:gridCol w:w="1754"/>
        <w:gridCol w:w="1418"/>
        <w:gridCol w:w="14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5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expenses per BOE)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Production taxes, 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operating</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asset sales and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963,479 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 per BOE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Production taxes, transportation and processing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and other midstream services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September 30, 2025 as Compared to Three Months Ended September 30, 2024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Production taxes, transportation and processing.</w:t>
      </w:r>
      <w:r>
        <w:rPr>
          <w:color w:val="000000"/>
        </w:rPr>
        <w:t xml:space="preserve"> </w:t>
      </w:r>
      <w:r>
        <w:rPr>
          <w:rFonts w:ascii="Times New Roman;serif" w:hAnsi="Times New Roman;serif"/>
          <w:b w:val="false"/>
          <w:color w:val="000000"/>
          <w:sz w:val="20"/>
        </w:rPr>
        <w:t>Our production taxes, transportation and processing expenses increased $10.3 million, or 14%, to $83.1 million for the three months ended September 30, 2025, as compared to $72.7 million for the three months ended September 30, 2024. The increase was primarily attributable to a $7.9 million increase in transportation and processing expenses to $20.5 million for the three months ended September 30, 2025, as compared to $12.6 million for the three months ended September 30, 2024, and a $2.4 million increase in production taxes to $62.6 million for the three months ended September 30, 2025, as compared to $60.2 million for the three months ended September 30, 2024. The increase in transportation and processing expenses is primarily due to a 22% increase in our total oil equivalent production and a change in the mix of revenue contracts between the periods. The increase in production taxes is primarily due to the increase in oil and natural gas revenues between the two periods. On a unit-of-production basis, our production taxes, transportation and processing expenses decreased 6% to $4.32 per BOE for the three months ended September 30, 2025, as compared to $4.61 per BOE for the three months ended September 30, 2024. This decrease per BOE was primarily attributable to a 14% decrease in realized oil prices and a 22% increase in our total oil equivalent production between the two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erif" w:hAnsi="Times New Roman;serif"/>
          <w:b w:val="false"/>
          <w:i/>
          <w:color w:val="000000"/>
          <w:sz w:val="20"/>
        </w:rPr>
        <w:t>Lease operating.</w:t>
      </w:r>
      <w:r>
        <w:rPr>
          <w:color w:val="000000"/>
        </w:rPr>
        <w:t xml:space="preserve"> </w:t>
      </w:r>
      <w:r>
        <w:rPr>
          <w:rFonts w:ascii="Times New Roman;serif" w:hAnsi="Times New Roman;serif"/>
          <w:b w:val="false"/>
          <w:color w:val="000000"/>
          <w:sz w:val="20"/>
        </w:rPr>
        <w:t>Our lease operating expenses increased $20.7 million, or 24%, to $107.5 million for the three months ended September 30, 2025, as compared to $86.8 million for the three months ended September 30, 2024. Our lease operating expenses on a unit-of-production basis increased 1% to $5.58 per BOE for the three months ended September 30, 2025, as compared to $5.50 per BOE for the three months ended September 30, 2024. These increases were primarily attributable to the increased number of wells being operated by us, including 204 wells from the Ameredev Acquisition, and other operators (where we own a working interest) for the three months ended September 30, 2025, as compared to the three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Plant and other midstream services operating. </w:t>
      </w:r>
      <w:r>
        <w:rPr>
          <w:rFonts w:ascii="Times New Roman;serif" w:hAnsi="Times New Roman;serif"/>
          <w:b w:val="false"/>
          <w:color w:val="000000"/>
          <w:sz w:val="20"/>
        </w:rPr>
        <w:t>Our plant and other midstream services operating expenses increased $6.8 million, or 16%, to $50.5 million for the three months ended September 30, 2025, as compared to $43.7 million for the three months ended September 30, 2024. This increase was primarily attributable to increased throughput volumes from Matador’s wholly-owned midstream assets, which resulted in increased expenses associated with our expanded pipeline operations of $24.2 million for the three months ended September 30, 2025, as compared to $16.5 million for the three months ended September 30, 2024, which was partially offset by decreased expenses associated with our commercial produced water disposal operations of $14.8 million for the three months ended September 30, 2025, as compared to $16.7 million for the three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Depletion, depreciation and amortization. </w:t>
      </w:r>
      <w:r>
        <w:rPr>
          <w:rFonts w:ascii="Times New Roman;serif" w:hAnsi="Times New Roman;serif"/>
          <w:b w:val="false"/>
          <w:color w:val="000000"/>
          <w:sz w:val="20"/>
        </w:rPr>
        <w:t xml:space="preserve">Our depletion, depreciation and amortization expenses increased $62.5 million, or 26%, to $305.4 million for the three months ended September 30, 2025, as compared to $242.8 million for the three months ended September 30, 2024, primarily as a result of a 22% increase in our total oil equivalent production for the three months ended September 30, 2025, as compared to the three months ended September 30, 2024. On a unit-of-production basis, our depletion, depreciation and amortization expenses increased 3% to $15.87 per BOE for the three months ended September 30, 2025, as compared to $15.39 per BOE for the three months ended September 30, 2024.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Our general and administrative expenses increased $8.0 million, or 28%, to $36.8 million for the three months ended September 30, 2025, as compared to $28.8 million for the three months ended September 30, 2024. Our general and administrative expenses increased by 5% on a unit-of-production basis to $1.91 per BOE for the three months ended September 30, 2025, as compared to $1.82 per BOE for the three months ended September 30, 2024. These increases were primarily due to increased compensation expenses for our existing employees as well as the addition of new employees to support the continued growth in our land, geoscience, drilling, completion, production, midstream and administration functions. </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For the three months ended September 30, 2025, we incurred total interest expense of $59.0 million. We capitalized $8.4 million of our interest expense on certain qualifying projects for the three months ended September 30, 2025 and expensed the remaining $50.6 million to operations. For the three months ended September 30, 2024, we incurred total interest expense of $44.4 million. We capitalized $8.2 million of our interest expense on certain qualifying projects for the three months ended September 30, 2024 and expensed the remaining $36.2 million to operations. The increase in interest expense for the three months ended September 30, 2025 compared to the three months ended September 30, 2024 was primarily due to a $709.2 million increase in the weighted average of senior notes outstanding between the periods in connection with the Ameredev Acquisition in September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Income tax provision (benefit). </w:t>
      </w:r>
      <w:r>
        <w:rPr>
          <w:rFonts w:ascii="Times New Roman;serif" w:hAnsi="Times New Roman;serif"/>
          <w:b w:val="false"/>
          <w:color w:val="000000"/>
          <w:sz w:val="20"/>
        </w:rPr>
        <w:t>We recorded a current income tax benefit of $39.3 million and a deferred income tax provision of $98.5 million for the three months ended September 30, 2025. We recorded a current income tax benefit of $21.1 million and a deferred income tax provision of $106.4 million for the three months ended September 30, 2024. The increase in the current income tax benefit between the periods was primarily the result of the OBBBA, which made permanent, extended or modified certain provisions under the 2017 Tax Cuts and Jobs Act, among other things. The provisions of the OBBBA that are expected to most significantly impact us, and for which our current estimates are reflected in the unaudited condensed consolidated financial statements for the period ended September 30, 2025, include (i) a permanent extension of 100% bonus depreciation for certain capital expenditures, (ii) immediate deduction of domestic research or experimental expenditures, (iii) acceleration of unamortized domestic research or development expenditures and (iv) elimination of the deduction for depreciation, amortization and depletion from the definition of “adjusted taxable income” for the purpose of calculating interest expense deductions. The effective income tax rate and the total income tax provision for the three months ended September 30, 2025 were not materially impacted by the enactment of the OBBBA. Our effective income tax rates of 25% and 26% for the three months ended September 30, 2025 and 2024, respectively, differed from the U.S. federal statutory rate due primarily to state taxes in New Mexico.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as Compared to Nine Months Ended September 30, 2024</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Production taxes, transportation and processing. </w:t>
      </w:r>
      <w:r>
        <w:rPr>
          <w:rFonts w:ascii="Times New Roman;serif" w:hAnsi="Times New Roman;serif"/>
          <w:b w:val="false"/>
          <w:color w:val="000000"/>
          <w:sz w:val="20"/>
        </w:rPr>
        <w:t>Our production taxes, transportation and processing expenses increased $40.0 million, or 18%, to $259.7 million for the nine months ended September 30, 2025, as compared to $219.7 million for the nine months ended September 30, 2024. This increase was primarily attributable to a $24.9 million increase in production taxes to $199.2 million for the nine months ended September 30, 2025, as compared to $174.3 million for the nine months ended September 30, 2024, and a $15.1 million increase in transportation and processing expenses to $60.5 million for the nine months ended September 30, 2025, as compared to $45.4 million for the nine months ended September 30, 2024. This increase in production taxes, transportation and processing expenses is primarily due to the increase in oil and natural gas revenues between the two periods. On a unit-of-production basis, our production taxes, transportation and processing expenses decreased 7% to $4.63 per BOE for the nine months ended September 30, 2025, as compared to $4.99 per BOE for the nine months ended September 30, 2024. This decrease per BOE was primarily attributable to a 14% decrease in realized oil prices.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Lease operating expenses. </w:t>
      </w:r>
      <w:r>
        <w:rPr>
          <w:rFonts w:ascii="Times New Roman;serif" w:hAnsi="Times New Roman;serif"/>
          <w:b w:val="false"/>
          <w:color w:val="000000"/>
          <w:sz w:val="20"/>
        </w:rPr>
        <w:t>Our lease operating expenses increased $77.6 million, or 32%, to $319.8 million for the nine months ended September 30, 2025, as compared to $242.1 million for the nine months ended September 30, 2024. Our lease operating expenses per unit of production increased 4% to $5.70 per BOE for the nine months ended September 30, 2025, as compared to $5.50 per BOE for the nine months ended September 30, 2024. These increases were primarily attributable to the increased number of wells being operated by us, including 204 wells from the Ameredev Acquisition, and operated by other operators (where we own a working interest) for the nine months ended September 30, 2025, as compared to the nine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Plant and other midstream services operating. </w:t>
      </w:r>
      <w:r>
        <w:rPr>
          <w:rFonts w:ascii="Times New Roman;serif" w:hAnsi="Times New Roman;serif"/>
          <w:b w:val="false"/>
          <w:color w:val="000000"/>
          <w:sz w:val="20"/>
        </w:rPr>
        <w:t>Our plant and other midstream services operating expenses increased $28.5 million, or 24%, to $149.1 million for the nine months ended September 30, 2025, as compared to $120.6 million for the nine months ended September 30, 2024. This increase was primarily attributable to increased throughput volumes from Matador’s wholly-owned midstream assets, which resulted in increased expenses associated with our expanded pipeline operations of $73.6 million for the nine months ended September 30, 2025, as compared to $46.1 million for the nine months ended September 30, 2024.</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 xml:space="preserve">Depletion, depreciation and amortization. </w:t>
      </w:r>
      <w:r>
        <w:rPr>
          <w:rFonts w:ascii="Times New Roman;serif" w:hAnsi="Times New Roman;serif"/>
          <w:b w:val="false"/>
          <w:color w:val="000000"/>
          <w:sz w:val="20"/>
        </w:rPr>
        <w:t>Our depletion, depreciation and amortization expenses increased $208.8 million, or 31%, to $889.8 million for the nine months ended September 30, 2025, as compared to $681.1 million for the nine months ended September 30, 2024, primarily as a result of the approximate 28% increase in our total oil equivalent production for the nine months ended September 30, 2025, as compared to the nine months ended September 30, 2024. On a unit-of-production basis, our depletion, depreciation and amortization expenses increased 2% to $15.85 per BOE for the nine months ended September 30, 2025, as compared to $15.48 per BOE for the nine months ended September 30, 2024, primarily as a result of the Ameredev Acquisition.</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Our general and administrative expenses increased $16.4 million, or 19%, to $102.7 million for the nine months ended September 30, 2025, as compared to $86.4 million for the nine months ended September 30, 2024, primarily as a result of increased payroll for our existing employees as well as with additional employees joining Matador to support our increased land, geoscience, drilling, completion, production, midstream and administration functions as a result of our continued growth. Our general and administrative expenses decreased by 7% on a unit-of-production basis to $1.83 per BOE for the nine months ended September 30, 2025, as compared to $1.96 per BOE for the nine months ended September 30, 2024, primarily as a result of the approximate 28% increase in our total oil equivalent production between the two periods.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For the nine months ended September 30, 2025, we incurred total interest expense of approximately $176.8 million. We capitalized approximately $23.3 million of our interest expense on certain qualifying projects for the nine months ended September 30, 2025 and expensed the remaining $153.5 million to operations. For the nine months ended September 30, 2024, we incurred total interest expense of approximately $135.1 million. We capitalized approximately $23.4 million of our interest expense on certain qualifying projects for the nine months ended September 30, 2024 and expensed the remaining $111.7 million to operations. The increase in interest expense for the nine months ended September 30, 2025 compared to the nine months ended September 30, 2024 was primarily due to an $804.5 million increase in the weighted average of senior notes outstanding between the periods in connection with the Ameredev Acquisition in September 2024.</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Income tax provision</w:t>
      </w:r>
      <w:r>
        <w:rPr>
          <w:rFonts w:ascii="Times New Roman;serif" w:hAnsi="Times New Roman;serif"/>
          <w:b w:val="false"/>
          <w:color w:val="000000"/>
          <w:sz w:val="20"/>
        </w:rPr>
        <w:t xml:space="preserve">. We recorded a current income tax provision of $6.7 million and a deferred income tax provision of $191.8 million for the nine months ended September 30, 2025. We recorded a current income tax provision of $26.3 million and a deferred income tax provision of $203.8 million for the nine months ended September 30, 2024. The decrease in the current income tax provision between the periods was primarily the result of the OBBBA, which made permanent, extended or modified certain provisions under the 2017 Tax Cuts and Jobs Act, among other things. The provisions of the OBBBA that are expected to most significantly impact us, and for which our current estimates are reflected in the unaudited condensed consolidated financial statements for the period ended September 30, 2025, include (i) a permanent extension of 100% bonus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depreciation for certain capital expenditures, (ii) immediate deduction of domestic research or experimental expenditures, (iii) acceleration of unamortized domestic research or development expenditures and (iv) elimination of the deduction for depreciation, amortization and depletion from the definition of “adjusted taxable income” for the purpose of calculating interest expense deductions. The effective income tax rate and the total income tax provision for the nine months ended September 30, 2025 were not materially impacted by the enactment of the OBBBA. Our effective income tax rates of 26% for each of the nine months ended September 30, 2025 and 2024 differed from the U.S. federal statutory rate due primarily to state taxes in New Mexico.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primary use of capital has been, and we expect will continue to be during the remainder of 2025 and for the foreseeable future, for the acquisition, exploration and development of oil and natural gas properties and for midstream investments. We expect to fund our 2025 capital expenditures through a combination of cash on hand, operating cash flows and performance incentives paid to us by Five Point Infrastructure LLC (previously, Five Point Energy LLC) or its affiliates. If capital expenditures were to exceed our operating cash flows during the remainder of 2025, we expect to fund any such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declared quarterly cash dividends of $0.3125 per share of common stock in each of the first, second and third quarters of 2025. On October 15, 2025, the Board amended our dividend policy to increase the quarterly dividend to $0.375 per share of common stock for future dividend payments and also declared a quarterly cash dividend of $0.375 per share of common stock payable on December 5, 2025 to shareholders of record as of November 10, 2025.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16, 2025, the Board authorized the Share Repurchase Program of up to $400.0 million of common stock. These repurchases may be conducted through a variety of methods, including open market purchases, 10b5-1 trading plans, privately negotiated transactions or other means. The timing and number of shares that we may purchase is subject to a variety of factors, including our stock price, market conditions, trading volume and other uses for our free cash flow. There can be no assurance regarding the exact number of shares to be repurchased by the Company, if any. Depending on market conditions and other factors, these repurchases may be commenced or suspended at any time or periodically without prior notice, and the Share Repurchase Program does not obligate the Company to acquire any amount of common stock. During the three and nine months ended September 30, 2025, the Company repurchased 137,161 and 1,232,828 shares of common stock under the Share Repurchase Program at a weighted average price of $47.06 and $41.11 per common share for a total cost of $6.5 million and $50.7 million, respectively.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requires us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We believe that we were in compliance with the terms of the Credit Agreement at September 30, 2025. </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we had cash totaling $20.2 million and restricted cash totaling $76.2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 </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(i) $500.0 million of outstanding 2028 Notes, (ii) $900.0 million of outstanding 2032 Notes, (iii) $750.0 million of outstanding 2033 Notes, (iv) $285.0 million in borrowings outstanding under the Credit Agreement and (v) approximately $54.0 million in outstanding letters of credit issued pursuant to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San Mateo and certain of its lenders modified the San Mateo Credit Facility to (i) increase the lender commitments from $800.0 million to $850.0 million and (ii) add one new bank to San Mateo’s lending group. At September 30, 2025, San Mateo had $815.0 million in borrowings outstanding under the San Mateo Credit Facility and approximately $15.4 million in outstanding letters of credit issued pursuant to the San Mateo Credit Facility. Since September 30, 2025, San Mateo repaid $55.0 million of borrowings under the San Mateo Credit Facility, and at October 21, 2025, San Mateo had $760.0 million in borrowings outstanding under the San Mateo Credit Facility. The outstanding borrowings under the San Mateo Credit Facility mature on November 26, 2029. The San Mateo Credit Facility includes an accordion feature, which provides for potential increases in lender commitments to up to $1.05 billion. The San Mateo Credit Facility is non-recourse with respect to Matador and its other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 We believe that San Mateo was in compliance with the terms of the San Mateo Credit Facility at September 30, 2025.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development of our Delaware Basin assets will be the primary focus of our operations and capital expenditures for the remainder of 2025. We have built significant optionality into our drilling program, which should generally allow us to decrease or increase the number of rigs we operate as necessary based on changing commodity prices and other factors. On October 21, 2025, we increased our estimated D/C/E capital expenditures for 2025 to a range of $1.47 to $1.55 billion from a range of $1.18 to $1.37 billion. On October 21, 2025, we also adjusted our estimated midstream capital expenditures for 2025 to a range of $155.0 to $175.0 million from a range of $120.0 to $180.0 million, which includes our proportionate share of San Mateo’s estimated 2025 capital expenditures as well as the estimated 2025 capital expenditures for other wholly-owned midstream projects. The midstream capital expenditure budget includes 51% of the costs associated with the Marlan Processing Plant Expansion, which came online in the second quarter of 2025. Substantially all of these 2025 estimated capital expenditures are expected to be allocated to (i) the further delineation and development of our leasehold position, (ii) the construction, installation and maintenance of midstream assets and (iii) our participation in certain non-operated well opportunities. Our Delaware Basin operated drilling program for the remainder of 2025 is expected to focus on the continued development of our various asset areas throughout the Delaware Basin, with a continued emphasis on drilling and completing a high percentage of longer horizontal wells.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2025.</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2025.</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2025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Exploration and development activities are subject to a number of risks and uncertainties, which could cause these activities to be less successful than we anticipate. A significant portion of our anticipated cash flows from operations for the remainder of 2025 is expected to come from producing wells and development activities on currently proved properties in the Delaware Basin and the Haynesville shale in Northwest Louisiana.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2025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unaudited cash flows for the nine months ended September 30, 2025 and 2024 are presented below:</w:t>
      </w:r>
    </w:p>
    <w:tbl>
      <w:tblPr>
        <w:tblW w:w="9489" w:type="dxa"/>
        <w:jc w:val="left"/>
        <w:tblInd w:w="0" w:type="dxa"/>
        <w:tblLayout w:type="fixed"/>
        <w:tblCellMar>
          <w:top w:w="28" w:type="dxa"/>
          <w:left w:w="28" w:type="dxa"/>
          <w:bottom w:w="28" w:type="dxa"/>
          <w:right w:w="28" w:type="dxa"/>
        </w:tblCellMar>
      </w:tblPr>
      <w:tblGrid>
        <w:gridCol w:w="2358"/>
        <w:gridCol w:w="2080"/>
        <w:gridCol w:w="2087"/>
        <w:gridCol w:w="211"/>
        <w:gridCol w:w="976"/>
        <w:gridCol w:w="109"/>
        <w:gridCol w:w="109"/>
        <w:gridCol w:w="109"/>
        <w:gridCol w:w="109"/>
        <w:gridCol w:w="211"/>
        <w:gridCol w:w="97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(3,280,718)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restricted cash</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color w:val="000000"/>
              </w:rPr>
              <w:t xml:space="preserve"> </w:t>
            </w:r>
            <w:r>
              <w:rPr>
                <w:rFonts w:ascii="Times New Roman;serif" w:hAnsi="Times New Roman;serif"/>
                <w:b w:val="false"/>
                <w:color w:val="000000"/>
                <w:sz w:val="20"/>
              </w:rPr>
              <w:t>attributable to Matador Resources Company shareholders</w:t>
            </w:r>
            <w:r>
              <w:rPr>
                <w:rFonts w:ascii="Times New Roman;serif" w:hAnsi="Times New Roman;serif"/>
                <w:b w:val="false"/>
                <w:color w:val="000000"/>
                <w:sz w:val="13"/>
              </w:rPr>
              <w:t xml:space="preserve">(1)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1,657,927 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(1)Adjusted EBITDA is a non-GAAP financial measure. For a definition of Adjusted EBITDA and a reconciliation of Adjusted EBITDA to our net income and net cash provided by operating activities, see “—Non-GAAP Financial Measures” below.</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$278.6 million to $1.95 billion for the nine months ended September 30, 2025 from $1.67 billion for the nine months ended September 30, 2024. Excluding changes in operating assets and liabilities, net cash provided by operating activities increased $154.9 million to $1.77 billion for the nine months ended September 30, 2025 from $1.62 billion for the nine months ended September 30, 2024. This increase was primarily attributable to increased oil and natural gas production and higher realized natural gas prices for the nine months ended September 30, 2025, as compared to the nine months ended September 30, 2024, partially offset by lower realized oil prices. Changes in our operating assets and liabilities between the periods resulted in a $123.7 million increase in net cash provided by operating activities for the nine months ended September 30, 2025, as compared to the nine months ended September 30, 2024.</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decreased $1.71 billion to $1.57 billion for the nine months ended September 30, 2025 from $3.28 billion for the nine months ended September 30, 2024. This decrease in net cash used in investing activities between the periods was primarily due to (i) a $1.83 billion decrease in expenditures related to the Ameredev Acquisition that occurred in September 2024, (ii) a $60.0 million decrease in expenditures related to the acquisition of oil and natural gas properties and (iii) a $21.5 million increase in cash provided by proceeds from the sale of assets. These decreases in cash used in investing activities between the periods were partially offset by a $187.6 million increase in D/C/E capital expenditures primarily attributable to our operated and non-operated drilling, completion and equipping activities in the Delaware Basin and an $18.2 million increase in midstream capital expenditures. </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(Used in) Provided by Financing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$1.96 billion to $379.3 million for the nine months ended September 30, 2025 from net cash provided by financing activities of $1.58 billion for the nine months ended September 30, 2024. This increase in net cash used in financing activities between the periods was primarily due to (i) a $1.27 billion decrease in net proceeds from debt and equity offerings in the prior period, (ii) a $765.5 million increase in net repayments under the Credit Agreement, (iii) a $56.5 million increase in net distributions related to San Mateo, (iv) a $50.7 million increase in cash used to repurchase common stock in the current period and (v) a $43.2 million increase in dividends paid. These increases in net cash used in financing activities were partially offset by (i) a $196.0 million increase in net borrowings under the San Mateo Credit Facility, and (ii) a $25.4 million decrease in costs to amend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5 to the interim unaudited condensed consolidated financial statements in this Quarterly Report for a summary of our debt, including the Credit Agreement, the San Mateo Credit Facility, the 2028 Notes, the 2032 Notes and the 2033 Notes.</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should not be considered an alternative to, or more meaningful than, net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calculation of Adjusted EBITDA and the reconciliation of Adjusted EBITDA to the GAAP financial measures of net income and net cash provided by operating activities, respectively. </w:t>
      </w:r>
    </w:p>
    <w:tbl>
      <w:tblPr>
        <w:tblW w:w="10205" w:type="dxa"/>
        <w:jc w:val="left"/>
        <w:tblInd w:w="0" w:type="dxa"/>
        <w:tblLayout w:type="fixed"/>
        <w:tblCellMar>
          <w:top w:w="28" w:type="dxa"/>
          <w:left w:w="28" w:type="dxa"/>
          <w:bottom w:w="28" w:type="dxa"/>
          <w:right w:w="28" w:type="dxa"/>
        </w:tblCellMar>
      </w:tblPr>
      <w:tblGrid>
        <w:gridCol w:w="1567"/>
        <w:gridCol w:w="1358"/>
        <w:gridCol w:w="136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Adjusted EBITDA Reconciliation to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on asset sales and impairment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1,748,424 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1,657,927 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72"/>
        <w:gridCol w:w="1356"/>
        <w:gridCol w:w="136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7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Adjusted EBITDA Reconciliation to Net Cash Provided by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1,671,926 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 (working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non-cash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(benefit)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asset sales and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and non-recurring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net income attributable to Matador shareholders decreased $71.9 million to $176.4 million, as compared to $248.3 million for the three months ended September 30, 2024. The decrease in net income attributable to Matador shareholders primarily resulted from a $62.5 million increase in depletion, depreciation and amortization expenses, a $20.7 million increase in lease operating expenses, a $14.5 million increase in interest expense and lower realized oil prices for the three months ended September 30, 2025, as compared to the three months ended September 30, 2024. These decreases were partially offset by a $26.2 million decrease in the income tax provision, which was primarily due to the enactment of the OBBBA, increased oil and natural gas production and higher realized natural gas prices for the three months ended September 30, 2025, as compared to the three months ended September 30, 2024.</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income attributable to Matador shareholders decreased $104.1 million to $566.7 million, as compared to net income attributable to Matador shareholders of $670.8 million for the nine months ended September 30, 2024. The decrease in net income attributable to Matador shareholders primarily resulted from a $208.8 million increase in depletion, depreciation and amortization expenses, a $77.6 million increase in lease operating expenses, a $40.0 million increase in production taxes, transportation and processing expenses, a $41.8 million increase in interest expense, a $37.7 million increase in unrealized loss on derivatives, a $28.5 million increase in plant and other midstream services operating expenses and lower realized oil prices for the nine months ended September 30, 2025, as compared to the nine months ended September 30, 2024. These decreases were partially offset by increased oil and natural gas production, higher realized natural gas prices and a $31.6 million decrease in the income tax provision, which was primarily due to the enactment of the OBBBA, for the nine months ended September 30, 2025, as compared to the nine months ended September 30, 2024.</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decreased $8.0 million to $566.5 million for the three months ended September 30, 2025, as compared to $574.5 million for the three months ended September 30, 2024. This decrease was primarily attributable to a $20.7 million increase in lease operating expenses, a $14.5 million increase in interest expense and lower realized oil prices for the three months ended September 30, 2025, as compared to the three months ended September 30, 2024. These decreases were partially offset by increased oil and natural gas production and higher realized natural gas prices for the three months ended September 30, 2025, as compared to the three months ended September 30, 2024.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increased $147.1 million to $1.80 billion for the nine months ended September 30, 2025, as compared to $1.66 billion for the nine months ended September 30, 2024. This increase is primarily attributable to increased oil and natural gas production and higher realized natural gas prices, partially offset by lower realized oil prices, for the nine months ended September 30, 2025, as compared to the nine months ended September 30, 2024. These increases were partially offset by a $77.6 million increase in lease operating expenses, a $40.0 million increase in production taxes, transportation and processing expenses, a $28.5 million increase in plant and other midstream services operating expenses and lower realized oil prices for the nine months ended September 30, 2025, as compared to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we enter into off-balance sheet arrangements and transactions that can give rise to material off-balance sheet obligations. As of September 30, 2025,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to the interim unaudited condensed consolidated financial statements in this Quarterly Report for more information regarding our off-balance sheet arrangements.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Obligations and Commitments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had the following material contractual obligations and commitments at September 30, 2025: </w:t>
      </w:r>
    </w:p>
    <w:tbl>
      <w:tblPr>
        <w:tblW w:w="10205" w:type="dxa"/>
        <w:jc w:val="left"/>
        <w:tblInd w:w="0" w:type="dxa"/>
        <w:tblLayout w:type="fixed"/>
        <w:tblCellMar>
          <w:top w:w="28" w:type="dxa"/>
          <w:left w:w="28" w:type="dxa"/>
          <w:bottom w:w="28" w:type="dxa"/>
          <w:right w:w="28" w:type="dxa"/>
        </w:tblCellMar>
      </w:tblPr>
      <w:tblGrid>
        <w:gridCol w:w="1028"/>
        <w:gridCol w:w="750"/>
        <w:gridCol w:w="74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02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w:t>
              <w:br/>
              <w:t>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w:t>
              <w:br/>
              <w:t>Than</w:t>
              <w:br/>
              <w:t>5 Years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Borrowings, including letters of credit</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unsecured notes</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Non-operated drilling commitments</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Drilling rig contracts</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retirement obligations</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Transportation, gathering, processing and disposal agreements with non-affiliates</w:t>
            </w:r>
            <w:r>
              <w:rPr>
                <w:rFonts w:ascii="Times New Roman;serif" w:hAnsi="Times New Roman;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Transportation, gathering, processing and disposal agreements with San Mateo</w:t>
            </w:r>
            <w:r>
              <w:rPr>
                <w:rFonts w:ascii="Times New Roman;serif" w:hAnsi="Times New Roman;serif"/>
                <w:b w:val="false"/>
                <w:color w:val="000000"/>
                <w:sz w:val="13"/>
              </w:rPr>
              <w:t xml:space="preserve">(7)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Midstream contracts</w:t>
            </w:r>
            <w:r>
              <w:rPr>
                <w:rFonts w:ascii="Times New Roman;serif" w:hAnsi="Times New Roman;serif"/>
                <w:b w:val="false"/>
                <w:color w:val="000000"/>
                <w:sz w:val="13"/>
              </w:rPr>
              <w:t xml:space="preserve">(8)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2,232,276 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amounts included in the table above represent principal maturities only. At September 30, 2025, we had $285.0 million in borrowings outstanding under the Credit Agreement and approximately $54.0 million in outstanding letters of credit issued pursuant to the Credit Agreement. The outstanding borrowings under the Credit Agreement mature on March 22, 2029. At September 30, 2025, San Mateo had $815.0 million of borrowings outstanding under the San Mateo Credit Facility and approximately $15.4 million in outstanding letters of credit issued pursuant to the San Mateo Credit Facility. The outstanding borrowings under the San Mateo Credit Facility mature on November 26, 2029. Assuming the amounts outstanding and interest rates of 6.02% and 6.27% respectively, for the Credit Agreement and the San Mateo Credit Facility at September 30, 2025, the interest expense for such facilities is expected to be approximately $17.4 million and $51.8 million, respectively, each year until maturity.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amounts included in the table above represent principal maturities only. Interest expense on the $500.0 million of outstanding 2028 Notes as of September 30, 2025 is expected to be approximately $34.4 million each year until maturity. Interest expense on the $900.0 million of outstanding 2032 Notes as of September 30, 2025 is expected to be approximately $58.5 million each year until maturity. Interest expense on the $750.0 million of outstanding 2033 Notes as of September 30, 2025 is expected to be approximately $46.9 million each year until maturity.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(3)At September 30, 2025, we had outstanding commitments to participate in the drilling and completion of various non-operated wells.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(4)We do not own or operate our own drilling rigs, but instead we enter into contracts with third parties for such drilling rigs.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(5)The amounts included in the table above represent discounted cash flow estimates for future asset retirement obligations at September 30, 2025.</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10 to the interim unaudited condensed consolidated financial statements in this Quarterly Report for more information about these contractual commitments.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(7)We dedicated to San Mateo our current and certain future leasehold interests in the Rustler Breaks asset area and the Wolf portion of the West Texas asset area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15</w:t>
        <w:noBreakHyphen/>
        <w:t>year, fixed-fee natural gas processing agreements. In 2024, we also dedicated to San Mateo certain of our current and future leasehold interests in the Ranger and Antelope Ridge asset areas pursuant to 15-year, fixed-fee natural gas gathering, compression, treating and processing agreements with San Mateo. See Note 10 to the interim unaudited condensed consolidated financial statements in this Quarterly Report for more information about these contractual commitments.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(8)At September 30, 2025, we had outstanding commitments to purchase compressors to be utilized in San Mateo’s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General Outlook and Trends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success and financial results are dependent on many factors beyond our control, such as economic, political and regulatory developments, as well as competition from other sources of energy. For example, the current administration and Congress have altered, and may continue to alter, our current regulatory framework and may impact our business and the oil and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including ongoing military conflicts between Russia and Ukraine and in the Middle East, political instability, particularly in China and in the Middle East, the actions of Organization of Petroleum Exporting Countries, Russia and certain other oil-exporting countries (“OPEC+”), weather, pipeline capacity constraints, inventory storage levels, domestic or global health concerns, oil and natural gas price differentials and other factors.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prices we receive for oil, natural gas and NGLs heavily influence our revenues, profitability, cash flow available for capital expenditures, the repayment of debt, the payment of cash dividends, if any, and the repurchase of common stock,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Oil prices were lower in the third quarter of 2025, as compared to the third quarter of 2024. For the three months ended September 30, 2025, oil prices averaged $64.97 per Bbl, ranging from a high of $70.00 per Bbl in late July to a low of $61.87 per Bbl in early September, based upon the West Texas Intermediate (“WTI”) oil futures contract price for the earliest delivery date. Oil prices averaged $75.27 per Bbl for the three months ended September 30, 2024. We realized a weighted average oil price of $64.91 per Bbl (with no realized gains or losses from oil derivatives) for our oil production for the three months ended September 30, 2025, as compared to $75.67 per Bbl (with no realized gains or losses from oil derivatives) for our oil production for the three months ended September 30, 2024. Oil prices have remained volatile since September 30, 2025. At October 21, 2025, the WTI oil futures contract for the earliest delivery date had decreased from the average price for the third quarter of 2025 of $64.97 per Bbl, settling at $57.82 per Bbl.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Natural gas prices were higher in the third quarter of 2025, as compared to the third quarter of 2024. For the three months ended September 30, 2025, natural gas prices averaged $3.07 per MMBtu, ranging from a high of $3.57 per MMBtu in mid-July to a low of $2.70 per MMBtu in late August, based upon the NYMEX Henry Hub natural gas futures contract price for the earliest delivery date. Natural gas prices averaged $2.23 per MMBtu for the three months ended September 30, 2024. We report production volumes in two streams, oil and natural gas (which includes both dry gas and NGLs). NGL prices were lower for the third quarter of 2025, as compared to the third quarter of 2024, which partially offset the higher natural gas prices between the two periods. We realized a weighted average natural gas price of $1.95 per Mcf ($2.03 per Mcf including realized gains from natural gas derivatives) for our natural gas production (including revenues attributable to NGLs) for the three months ended September 30, 2025, as compared to $1.83 per Mcf ($1.94 per Mcf including realized gains from natural gas derivatives) for our natural gas production (including revenues attributable to NGLs) for the three months ended September 30, 2024. Certain volumes of our natural gas production are sold at prices established at the beginning of each month by the various markets where we sell our natural gas production, and certain volumes of our natural gas production are sold at daily market prices. At October 21, 2025, the NYMEX Henry Hub natural gas futures contract price for the earliest delivery date had increased from the average price for the third quarter of 2025 of $3.07 per MMBtu, to $3.47 per MMBtu.</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September 30, 2025,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Midland-Cushing (Oklahoma) oil price differential has been highly volatile in recent years. At October 21, 2025, this oil price differential was positive at approximately +$0.67 per Bbl. At October 21, 2025, we had no derivative contracts in place to mitigate our exposure to this Midland-Cushing (Oklahoma) oil price differential for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volumes of our Delaware Basin natural gas production are exposed to the Waha-Henry Hub basis differential, which has also been highly volatile in recent years. In recent years, concerns about natural gas pipeline takeaway capacity out of the Delaware Basin began to increase and as a result, the Waha-Henry Hub basis differential began to widen. The Waha-Henry Hub basis differential averaged ($2.40) per MMBtu for the nine months ended September 30, 2025. Between September 30, 2025 and October 21, 2025, this natural gas price differential remained wide at approximately ($2.51) per MMBtu. A significant portion of our Delaware Basin natural gas production, however, is sold at Houston Ship Channel pricing and is not exposed to Waha pricing. During 2023 and 2024,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4% of our reported natural gas production for the nine months ended September 30, 2025 was attributable to the Haynesville shale play, which is not exposed to Waha pricing. In addition, as a two-stream reporter, most of our natural gas volumes in the Delaware Basin are processed for NGLs, resulting in a further reduction in the reported natural gas volumes exposed to Waha pricing.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nine months of 2025, we realized a net gain on our natural gas basis differential derivative contracts of approximately $13.6 million, resulting primarily from natural gas basis differentials that were below the fixed prices of certain of our natural gas basis differential swap contracts.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at times, including in October 2025,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2024 and 2025, we may again temporarily shut in certain high gas-oil ratio wells and take other actions to mitigate the impact on our realized natural gas prices and results.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at times experienced inflation in the costs of certain oilfield services, including diesel, steel, labor, trucking, sand, personnel and completion costs, among others. Should oil prices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Tariffs and Trading Relationships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April 2025, the United States government announced a baseline tariff of 10% on products imported from all countries and an additional individualized reciprocal tariff on the countries with which the United States has the largest trade deficits, including China. Since that time, the United States has expanded tariffs on key industrial inputs, including tariffs on steel and aluminum imports. Increased tariffs by the United States have led and may continue to lead to the imposition of retaliatory tariffs by foreign jurisdictions. Additionally, the United States government has at times announced, rescinded, modified and temporarily suspended multiple tariffs on several foreign jurisdictions, which has increased uncertainty regarding the ultimate effect of the tariffs on economic conditions. Current uncertainties about tariffs and their effects on trading relationships may affect costs for and availability of raw materials, equipment and other inputs critical to our operations, and may contribute to inflation in the markets in which we operate. Although we are continuing to monitor the economic effects of such announcements, as well as opportunities to mitigate their related impacts, costs and other effects associated with the tariffs remain uncertain.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 The following disclosures about our regulatory matters include updates to, and should be read in conjunction with, the above referenced sections of the Annual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Eighth Circuit considered the litigation. On March 27, 2025, the SEC voted to end the defense of the rules in the litigation, and on July 23, 2025, it filed a status report requesting that the Eighth Circuit proceed with the case and issue an opinion on the challenges to the climate disclosure rules. On September 12, 2025, the Eighth Circuit denied the SEC’s request to proceed with the case and indicated that the case would be held in abeyance until the SEC either renews its defense of the rules or revises the rules via notice-and-comment rulemaking.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18, 2024, the Environmental Protection Agency (the “EPA”) published final rules under authority of the Inflation Reduction Act of 2022 that would impose a waste emissions charge on large emitters of waste methane from the oil and gas sector. On March 14, 2025, President Trump signed a Joint Resolution of Disapproval under the Congressional Review Act to nullify and prohibit the waste emissions charge rules from taking effect. In line with the Joint Resolution of Disapproval, the EPA issued a final rule on May 19, 2025, removing the waste emissions charge rules from the Code of Federal Regulations. However, the underlying law mandating the waste emissions charge remains in effect. The OBBBA delayed collection of the charge until 2034. On September 16, 2025, the EPA proposed a rule that would suspend the Greenhouse Gas Reporting Program for the petroleum and natural gas source category until 2034 as well. Additionally, on March 8, 2024, the EPA issued a final rule to regulate emissions from oil and natural gas sources that includes New Source Performance Standards to limit greenhouse gas and volatile organic compound emissions for new, modified or reconstructed sources. Through an interim final rule issued on July 31, 2025, the EPA extended certain compliance deadlines contained in the final rule to various dates ranging from late 2025 to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sources and effects of our market risk since December 31, 2024, which are disclosed in Part II, Item 7A of the Annual Report and incorporated herein by reference.</w:t>
      </w:r>
    </w:p>
    <w:p>
      <w:pPr>
        <w:pStyle w:val="TextBody"/>
        <w:bidi w:val="0"/>
        <w:spacing w:lineRule="auto" w:line="288" w:before="120" w:after="283"/>
        <w:ind w:left="0" w:right="0" w:firstLine="495"/>
        <w:jc w:val="left"/>
        <w:rPr/>
      </w:pPr>
      <w:r>
        <w:rPr>
          <w:rFonts w:ascii="Times New Roman;serif" w:hAnsi="Times New Roman;serif"/>
          <w:b w:val="false"/>
          <w:i/>
          <w:color w:val="000000"/>
          <w:sz w:val="20"/>
        </w:rPr>
        <w:t>Commodity price exposure.</w:t>
      </w:r>
      <w:r>
        <w:rPr>
          <w:color w:val="000000"/>
        </w:rPr>
        <w:t xml:space="preserve"> </w:t>
      </w:r>
      <w:r>
        <w:rPr>
          <w:rFonts w:ascii="Times New Roman;serif" w:hAnsi="Times New Roman;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record all derivative financial instruments at fair value. The fair value of our derivative financial instruments is determined using purchase and sale information available for similarly traded securities. At September 30, 2025, Bank of America, PNC Bank, Truist Bank, The Bank of Nova Scotia, Royal Bank of Canada, Comerica Bank, BOKF (or affiliates thereof), The Toronto Dominion Bank, J.P. Morgan Chase Bank and Wells Fargo Bank were the counterparties for our derivative instruments. We have considered the credit standing of the counterparties in determining the fair value of our derivative financial instruments.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2025, we had various costless collar contracts open and in place to mitigate our exposure to oil and natural gas price volatility, each with an established price floor and ceiling. At September 30, 2025, we had natural gas basis differential swap contracts open and in place to mitigate our exposure to natural gas price volatility, with a specific term (calculation period), notional quantity (volume hedged) and fixed price. We had no open contracts associated with NGL prices at September 30,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See Note 8 to the interim unaudited condensed consolidated financial statements in this Quarterly Report for a summary of our open derivative financial instruments. Such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of Disclosure Controls and Procedures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September 30, 2025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bidi w:val="0"/>
        <w:spacing w:lineRule="auto" w:line="240"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Changes in Internal Control over Financial Reporting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changes in our internal controls that have materially affected or are reasonably likely to have a material effect on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material changes regarding the legal proceedings we have disclosed in “Item 3. Legal Proceedings”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risks and uncertainties in the course of our business. For a discussion of such risks and uncertainties, please see “Item 1A. Risk Factors” in the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Repurchase of Equity by the Company or Affiliates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information about our acquisition of equity securities during the quarter ended September 30, 2025: </w:t>
      </w:r>
    </w:p>
    <w:tbl>
      <w:tblPr>
        <w:tblW w:w="10205" w:type="dxa"/>
        <w:jc w:val="left"/>
        <w:tblInd w:w="0" w:type="dxa"/>
        <w:tblLayout w:type="fixed"/>
        <w:tblCellMar>
          <w:top w:w="28" w:type="dxa"/>
          <w:left w:w="28" w:type="dxa"/>
          <w:bottom w:w="28" w:type="dxa"/>
          <w:right w:w="28" w:type="dxa"/>
        </w:tblCellMar>
      </w:tblPr>
      <w:tblGrid>
        <w:gridCol w:w="643"/>
        <w:gridCol w:w="352"/>
        <w:gridCol w:w="353"/>
        <w:gridCol w:w="109"/>
        <w:gridCol w:w="109"/>
        <w:gridCol w:w="109"/>
        <w:gridCol w:w="576"/>
        <w:gridCol w:w="460"/>
        <w:gridCol w:w="461"/>
        <w:gridCol w:w="109"/>
        <w:gridCol w:w="109"/>
        <w:gridCol w:w="109"/>
        <w:gridCol w:w="267"/>
        <w:gridCol w:w="781"/>
        <w:gridCol w:w="138"/>
        <w:gridCol w:w="109"/>
        <w:gridCol w:w="109"/>
        <w:gridCol w:w="109"/>
        <w:gridCol w:w="772"/>
        <w:gridCol w:w="664"/>
        <w:gridCol w:w="666"/>
        <w:gridCol w:w="109"/>
        <w:gridCol w:w="109"/>
        <w:gridCol w:w="109"/>
        <w:gridCol w:w="488"/>
        <w:gridCol w:w="1911"/>
        <w:gridCol w:w="365"/>
      </w:tblGrid>
      <w:tr>
        <w:trPr/>
        <w:tc>
          <w:tcPr>
            <w:tcW w:w="6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(or Approximate Dollar Value in thousands) of Shares that May Yet Be Purchased under the Plans or Programs</w:t>
            </w:r>
            <w:r>
              <w:rPr>
                <w:rFonts w:ascii="Times New Roman;serif" w:hAnsi="Times New Roman;serif"/>
                <w:b/>
                <w:color w:val="000000"/>
                <w:sz w:val="13"/>
              </w:rPr>
              <w:t>(2)</w:t>
            </w:r>
          </w:p>
        </w:tc>
      </w:tr>
      <w:tr>
        <w:trPr/>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to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355,751 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to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110,661 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350,477 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to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349,293 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140,761 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137,161 </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(1)During the third quarter of 2025, the Company re-acquired 3,600 shares of common stock from certain employees in order to satisfy the employees’ tax liability in connection with the vesting of restricted stock.</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April 2025, the Board authorized the Share Repurchase Program covering up to $400.0 million of common stock. During the third quarter of 2025, we repurchased 137,161 shares of our common stock under the Share Repurchase Program at a weighted average price of $47.06 per common share for a total cost of $6.5 million, excluding accrued excise tax of $0.1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Insider Trading Plans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officer (as defined in Rule 16a-1(f) under the Exchange Act) of the Company adopted, modified or terminated a “Rule 10b5-1 trading arrangement” or “non-Rule 10b5-1 trading arrangement,” as each term is defined in Item 408(a) of Regulation S-K.</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870143f6ba0462686fb48d9203899c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098"/>
        <w:gridCol w:w="2945"/>
        <w:gridCol w:w="2974"/>
        <w:gridCol w:w="15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Securities Purchase Agreement, dated June 12, 2024, by and among MRC Toro, LLC, MRC Energy Company (solely for the limited purposes stated therein), Ameredev II Parent, LLC, Ameredev Intermediate II, LLC and Ameredev Stateline II, LLC (incorporated by reference to Exhibit 2.1 to the Current Report on Form 8-K filed on June 12, 2024).</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Amendment No. 1 to Securities Purchase Agreement, dated August 29, 2024, by and among MRC Toro, LLC, Ameredev II Parent, LLC, Ameredev Intermediate II, LLC and Ameredev Stateline II, LLC (incorporated by reference to Exhibit 2.3 to the Quarterly Report on Form 10-Q for the quarter ended September 30, 2024).</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No. 2 to Securities Purchase Agreement, dated February 14, 2025, by and among MRC Toro, LLC, Ameredev II Parent, LLC and Ameredev Intermediate II, LLC (incorporated by reference to Exhibit 2.6 to the Annual Report on Form 10-K for the year ended December 31, 2024).</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Amended and Restated Bylaws of Matador Resources Company, as amended (incorporated by reference to Exhibit 3.1 to the Current Report on Form 8-K filed on February 22, 2018).</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Employment Agreement between Matador Resources Company and each of Christopher P. Calvert, W. Thomas Elsener, Bryan A. Erman, Robert T. Macalik and Glenn W. Stetson (incorporated by reference to Exhibit 10.2 to the Quarterly Report on Form 10-Q for the quarter ended March 31, 2024)</w:t>
              </w:r>
            </w:hyperlink>
            <w:r>
              <w:rPr>
                <w:rFonts w:ascii="Times New Roman;serif" w:hAnsi="Times New Roman;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mtdr10qex311.htm">
              <w:r>
                <w:rPr>
                  <w:rStyle w:val="InternetLink"/>
                  <w:rFonts w:ascii="Times New Roman;serif" w:hAnsi="Times New Roman;serif"/>
                  <w:b w:val="false"/>
                  <w:color w:val="0000FF"/>
                  <w:sz w:val="20"/>
                  <w:u w:val="single"/>
                </w:rPr>
                <w:t>Certification of Principal Executive Officer pursuant to Section 302 of the Sarbanes-Oxley Act of 2002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mtdr10qex312.htm">
              <w:r>
                <w:rPr>
                  <w:rStyle w:val="InternetLink"/>
                  <w:rFonts w:ascii="Times New Roman;serif" w:hAnsi="Times New Roman;serif"/>
                  <w:b w:val="false"/>
                  <w:color w:val="0000FF"/>
                  <w:sz w:val="20"/>
                  <w:u w:val="single"/>
                </w:rPr>
                <w:t>Certification of Principal Financial Officer pursuant to Section 302 of the Sarbanes-Oxley Act of 2002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mtdr10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 (furnished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930mtdr10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 (furnished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Matador Resources Company’s Quarterly Report on Form 10-Q for the quarter ended September 30, 2025, formatted in Inline XBRL (Inline eXtensible Business Reporting Language): (i) the Condensed Consolidated Balance Sheets - Unaudited, (ii) the Condensed Consolidated Statements of Income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a management contract or compensatory plan or arrangement.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039" w:type="dxa"/>
        <w:jc w:val="right"/>
        <w:tblInd w:w="0" w:type="dxa"/>
        <w:tblLayout w:type="fixed"/>
        <w:tblCellMar>
          <w:top w:w="28" w:type="dxa"/>
          <w:left w:w="28" w:type="dxa"/>
          <w:bottom w:w="28" w:type="dxa"/>
          <w:right w:w="28" w:type="dxa"/>
        </w:tblCellMar>
      </w:tblPr>
      <w:tblGrid>
        <w:gridCol w:w="726"/>
        <w:gridCol w:w="640"/>
        <w:gridCol w:w="643"/>
        <w:gridCol w:w="134"/>
        <w:gridCol w:w="134"/>
        <w:gridCol w:w="136"/>
        <w:gridCol w:w="109"/>
        <w:gridCol w:w="109"/>
        <w:gridCol w:w="109"/>
        <w:gridCol w:w="964"/>
        <w:gridCol w:w="964"/>
        <w:gridCol w:w="137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MATADOR RESOURCES COMPANY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tbl>
      <w:tblPr>
        <w:tblW w:w="7180" w:type="dxa"/>
        <w:jc w:val="right"/>
        <w:tblInd w:w="0" w:type="dxa"/>
        <w:tblLayout w:type="fixed"/>
        <w:tblCellMar>
          <w:top w:w="28" w:type="dxa"/>
          <w:left w:w="28" w:type="dxa"/>
          <w:bottom w:w="28" w:type="dxa"/>
          <w:right w:w="28" w:type="dxa"/>
        </w:tblCellMar>
      </w:tblPr>
      <w:tblGrid>
        <w:gridCol w:w="726"/>
        <w:gridCol w:w="640"/>
        <w:gridCol w:w="643"/>
        <w:gridCol w:w="134"/>
        <w:gridCol w:w="134"/>
        <w:gridCol w:w="136"/>
        <w:gridCol w:w="109"/>
        <w:gridCol w:w="109"/>
        <w:gridCol w:w="109"/>
        <w:gridCol w:w="1301"/>
        <w:gridCol w:w="1301"/>
        <w:gridCol w:w="183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T. Macalik</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T. Macalik</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Joseph Wm. Foran,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110" w:type="dxa"/>
        <w:jc w:val="left"/>
        <w:tblInd w:w="0" w:type="dxa"/>
        <w:tblLayout w:type="fixed"/>
        <w:tblCellMar>
          <w:top w:w="28" w:type="dxa"/>
          <w:left w:w="28" w:type="dxa"/>
          <w:bottom w:w="28" w:type="dxa"/>
          <w:right w:w="28" w:type="dxa"/>
        </w:tblCellMar>
      </w:tblPr>
      <w:tblGrid>
        <w:gridCol w:w="553"/>
        <w:gridCol w:w="487"/>
        <w:gridCol w:w="489"/>
        <w:gridCol w:w="1068"/>
        <w:gridCol w:w="1068"/>
        <w:gridCol w:w="1073"/>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24,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Robert T. Macalik,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968" w:type="dxa"/>
        <w:jc w:val="left"/>
        <w:tblInd w:w="0" w:type="dxa"/>
        <w:tblLayout w:type="fixed"/>
        <w:tblCellMar>
          <w:top w:w="28" w:type="dxa"/>
          <w:left w:w="28" w:type="dxa"/>
          <w:bottom w:w="28" w:type="dxa"/>
          <w:right w:w="28" w:type="dxa"/>
        </w:tblCellMar>
      </w:tblPr>
      <w:tblGrid>
        <w:gridCol w:w="553"/>
        <w:gridCol w:w="487"/>
        <w:gridCol w:w="489"/>
        <w:gridCol w:w="908"/>
        <w:gridCol w:w="908"/>
        <w:gridCol w:w="908"/>
        <w:gridCol w:w="496"/>
        <w:gridCol w:w="496"/>
        <w:gridCol w:w="72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24, 2025</w:t>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T. Macalik</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T. Macalik</w:t>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Matador Resources Company (the “Company”) on Form 10-Q for the period ended September 30, 2025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110" w:type="dxa"/>
        <w:jc w:val="left"/>
        <w:tblInd w:w="0" w:type="dxa"/>
        <w:tblLayout w:type="fixed"/>
        <w:tblCellMar>
          <w:top w:w="28" w:type="dxa"/>
          <w:left w:w="28" w:type="dxa"/>
          <w:bottom w:w="28" w:type="dxa"/>
          <w:right w:w="28" w:type="dxa"/>
        </w:tblCellMar>
      </w:tblPr>
      <w:tblGrid>
        <w:gridCol w:w="553"/>
        <w:gridCol w:w="487"/>
        <w:gridCol w:w="489"/>
        <w:gridCol w:w="1068"/>
        <w:gridCol w:w="1068"/>
        <w:gridCol w:w="1073"/>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24,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Matador Resources Company (the “Company”) on Form 10-Q for the period ended September 30, 2025 as filed with the Securities and Exchange Commission on the date hereof (the “Form 10-Q”), I, Robert T. Macalik, hereby certify in my capacity as Executive Vice President and Chief Financial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965" w:type="dxa"/>
        <w:jc w:val="left"/>
        <w:tblInd w:w="0" w:type="dxa"/>
        <w:tblLayout w:type="fixed"/>
        <w:tblCellMar>
          <w:top w:w="28" w:type="dxa"/>
          <w:left w:w="28" w:type="dxa"/>
          <w:bottom w:w="28" w:type="dxa"/>
          <w:right w:w="28" w:type="dxa"/>
        </w:tblCellMar>
      </w:tblPr>
      <w:tblGrid>
        <w:gridCol w:w="553"/>
        <w:gridCol w:w="487"/>
        <w:gridCol w:w="489"/>
        <w:gridCol w:w="1228"/>
        <w:gridCol w:w="1228"/>
        <w:gridCol w:w="1232"/>
        <w:gridCol w:w="219"/>
        <w:gridCol w:w="219"/>
        <w:gridCol w:w="310"/>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24, 2025</w:t>
            </w:r>
          </w:p>
        </w:tc>
        <w:tc>
          <w:tcPr>
            <w:tcW w:w="3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T. Macalik</w:t>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T. Macalik</w:t>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006/000110465924070829/tm2417025d1_ex2-1.htm" TargetMode="External"/><Relationship Id="rId3" Type="http://schemas.openxmlformats.org/officeDocument/2006/relationships/hyperlink" Target="https://www.sec.gov/Archives/edgar/data/1520006/000152000624000209/a20240930mtdr10qex23.htm" TargetMode="External"/><Relationship Id="rId4" Type="http://schemas.openxmlformats.org/officeDocument/2006/relationships/hyperlink" Target="https://www.sec.gov/Archives/edgar/data/1520006/000152000625000066/a20241231mtdr10kex26.htm" TargetMode="External"/><Relationship Id="rId5" Type="http://schemas.openxmlformats.org/officeDocument/2006/relationships/hyperlink" Target="https://www.sec.gov/Archives/edgar/data/1520006/000152000617000188/a20170630mtdr10q-exhibit32.htm" TargetMode="External"/><Relationship Id="rId6" Type="http://schemas.openxmlformats.org/officeDocument/2006/relationships/hyperlink" Target="https://www.sec.gov/Archives/edgar/data/1520006/000152000617000188/a20170630mtdr10q-exhibit33.htm" TargetMode="External"/><Relationship Id="rId7" Type="http://schemas.openxmlformats.org/officeDocument/2006/relationships/hyperlink" Target="https://www.sec.gov/Archives/edgar/data/1520006/000152000617000188/a20170630mtdr10q-exhibit34.htm" TargetMode="External"/><Relationship Id="rId8" Type="http://schemas.openxmlformats.org/officeDocument/2006/relationships/hyperlink" Target="https://www.sec.gov/Archives/edgar/data/1520006/000152000618000051/a20171231mtdr8k-amendedbyl.htm" TargetMode="External"/><Relationship Id="rId9" Type="http://schemas.openxmlformats.org/officeDocument/2006/relationships/hyperlink" Target="https://www.sec.gov/Archives/edgar/data/1520006/000152000624000105/a20240331mtdr10qex10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27119</Words>
  <Characters>153338</Characters>
  <CharactersWithSpaces>179269</CharactersWithSpaces>
  <Paragraphs>3330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