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2"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00" w:lineRule="exact"/>
        <w:rPr>
          <w:sz w:val="24"/>
          <w:szCs w:val="24"/>
          <w:color w:val="auto"/>
        </w:rPr>
      </w:pPr>
    </w:p>
    <w:p>
      <w:pPr>
        <w:ind w:left="440" w:right="30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40" w:right="28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7"/>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c>
          <w:tcPr>
            <w:tcW w:w="0" w:type="dxa"/>
            <w:vAlign w:val="bottom"/>
          </w:tcPr>
          <w:p>
            <w:pPr>
              <w:spacing w:after="0"/>
              <w:rPr>
                <w:sz w:val="1"/>
                <w:szCs w:val="1"/>
                <w:color w:val="auto"/>
              </w:rPr>
            </w:pPr>
          </w:p>
        </w:tc>
      </w:tr>
      <w:tr>
        <w:trPr>
          <w:trHeight w:val="146"/>
        </w:trPr>
        <w:tc>
          <w:tcPr>
            <w:tcW w:w="5920" w:type="dxa"/>
            <w:vAlign w:val="bottom"/>
          </w:tcPr>
          <w:p>
            <w:pPr>
              <w:jc w:val="center"/>
              <w:ind w:right="347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5400 LBJ Freeway, Suite 1500</w:t>
            </w:r>
          </w:p>
        </w:tc>
        <w:tc>
          <w:tcPr>
            <w:tcW w:w="14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c>
          <w:tcPr>
            <w:tcW w:w="0" w:type="dxa"/>
            <w:vAlign w:val="bottom"/>
          </w:tcPr>
          <w:p>
            <w:pPr>
              <w:spacing w:after="0"/>
              <w:rPr>
                <w:sz w:val="1"/>
                <w:szCs w:val="1"/>
                <w:color w:val="auto"/>
              </w:rPr>
            </w:pPr>
          </w:p>
        </w:tc>
      </w:tr>
      <w:tr>
        <w:trPr>
          <w:trHeight w:val="232"/>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59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4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69"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36"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0"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26, 2022, there were 118,125,452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80" w:type="dxa"/>
            <w:vAlign w:val="bottom"/>
            <w:gridSpan w:val="6"/>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8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Pr>
          <w:p>
            <w:pPr>
              <w:spacing w:after="0"/>
              <w:rPr>
                <w:sz w:val="15"/>
                <w:szCs w:val="15"/>
                <w:color w:val="auto"/>
              </w:rPr>
            </w:pPr>
          </w:p>
        </w:tc>
        <w:tc>
          <w:tcPr>
            <w:tcW w:w="103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480" w:type="dxa"/>
            <w:vAlign w:val="bottom"/>
            <w:tcBorders>
              <w:top w:val="single" w:sz="8" w:color="auto"/>
            </w:tcBorders>
            <w:gridSpan w:val="2"/>
          </w:tcPr>
          <w:p>
            <w:pPr>
              <w:jc w:val="center"/>
              <w:ind w:left="310"/>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Financial Statements — Unaudited</w:t>
            </w: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March 31, 2022 and December 31, 2021</w:t>
            </w:r>
          </w:p>
        </w:tc>
        <w:tc>
          <w:tcPr>
            <w:tcW w:w="3700" w:type="dxa"/>
            <w:vAlign w:val="bottom"/>
            <w:gridSpan w:val="5"/>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2022 and 2021</w:t>
            </w:r>
          </w:p>
        </w:tc>
        <w:tc>
          <w:tcPr>
            <w:tcW w:w="2120" w:type="dxa"/>
            <w:vAlign w:val="bottom"/>
            <w:gridSpan w:val="3"/>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for the Three Months Ended March 31, 2022 and 2021</w:t>
            </w:r>
          </w:p>
        </w:tc>
        <w:tc>
          <w:tcPr>
            <w:tcW w:w="540" w:type="dxa"/>
            <w:vAlign w:val="bottom"/>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2021</w:t>
            </w:r>
          </w:p>
        </w:tc>
        <w:tc>
          <w:tcPr>
            <w:tcW w:w="540" w:type="dxa"/>
            <w:vAlign w:val="bottom"/>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80" w:type="dxa"/>
            <w:vAlign w:val="bottom"/>
            <w:gridSpan w:val="2"/>
          </w:tcPr>
          <w:p>
            <w:pPr>
              <w:spacing w:after="0"/>
              <w:rPr>
                <w:sz w:val="18"/>
                <w:szCs w:val="18"/>
                <w:color w:val="auto"/>
              </w:rPr>
            </w:pPr>
          </w:p>
        </w:tc>
        <w:tc>
          <w:tcPr>
            <w:tcW w:w="4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w w:val="88"/>
              </w:rPr>
              <w:t>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19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2"/>
          </w:tcPr>
          <w:p>
            <w:pPr>
              <w:spacing w:after="0"/>
              <w:rPr>
                <w:sz w:val="18"/>
                <w:szCs w:val="18"/>
                <w:color w:val="auto"/>
              </w:rPr>
            </w:pPr>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Item 1. Legal Proceedings</w:t>
            </w:r>
          </w:p>
        </w:tc>
        <w:tc>
          <w:tcPr>
            <w:tcW w:w="680" w:type="dxa"/>
            <w:vAlign w:val="bottom"/>
            <w:gridSpan w:val="2"/>
          </w:tcPr>
          <w:p>
            <w:pPr>
              <w:spacing w:after="0"/>
              <w:rPr>
                <w:sz w:val="18"/>
                <w:szCs w:val="18"/>
                <w:color w:val="auto"/>
              </w:rPr>
            </w:pP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3040" w:type="dxa"/>
            <w:vAlign w:val="bottom"/>
            <w:gridSpan w:val="6"/>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2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22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164,242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Joint interest billings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48,366</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28,810</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371,305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Evaluated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6,007,325</w:t>
            </w:r>
          </w:p>
        </w:tc>
        <w:tc>
          <w:tcPr>
            <w:tcW w:w="0" w:type="dxa"/>
            <w:vAlign w:val="bottom"/>
          </w:tcPr>
          <w:p>
            <w:pPr>
              <w:spacing w:after="0"/>
              <w:rPr>
                <w:sz w:val="1"/>
                <w:szCs w:val="1"/>
                <w:color w:val="auto"/>
              </w:rPr>
            </w:pPr>
          </w:p>
        </w:tc>
      </w:tr>
      <w:tr>
        <w:trPr>
          <w:trHeight w:val="195"/>
        </w:trPr>
        <w:tc>
          <w:tcPr>
            <w:tcW w:w="8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Unproved and unevaluated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979,391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964,714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properties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900,979</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(4,142,309)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(4,046,456)</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3,995,641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3,856,685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34,163</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4,567,328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4,262,153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253,283</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Royalties payable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due to affiliates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instruments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28,692</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464,837</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385,000</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1,042,975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1,042,580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41,689</w:t>
            </w: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77,938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22,721</w:t>
            </w:r>
          </w:p>
        </w:tc>
        <w:tc>
          <w:tcPr>
            <w:tcW w:w="0" w:type="dxa"/>
            <w:vAlign w:val="bottom"/>
          </w:tcPr>
          <w:p>
            <w:pPr>
              <w:spacing w:after="0"/>
              <w:rPr>
                <w:sz w:val="1"/>
                <w:szCs w:val="1"/>
                <w:color w:val="auto"/>
              </w:rPr>
            </w:pPr>
          </w:p>
        </w:tc>
      </w:tr>
      <w:tr>
        <w:trPr>
          <w:trHeight w:val="189"/>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1,691,930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1,669,928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color w:val="auto"/>
              </w:rPr>
              <w:t>Common stock - $0.01 par value, 160,000,000 shares authorized; 118,090,652 and 117,861,923 shares issued; and 118,066,432 and</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117,850,233 shares outstanding, respectively</w:t>
            </w: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2,087,788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2,077,592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(171,318)</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Treasury stock, at cost, 24,220 and 11,945 shares, respectively</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2,118,600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1,907,210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218,864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220,178</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2,337,464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2,127,388</w:t>
            </w:r>
          </w:p>
        </w:tc>
        <w:tc>
          <w:tcPr>
            <w:tcW w:w="0" w:type="dxa"/>
            <w:vAlign w:val="bottom"/>
          </w:tcPr>
          <w:p>
            <w:pPr>
              <w:spacing w:after="0"/>
              <w:rPr>
                <w:sz w:val="1"/>
                <w:szCs w:val="1"/>
                <w:color w:val="auto"/>
              </w:rPr>
            </w:pPr>
          </w:p>
        </w:tc>
      </w:tr>
      <w:tr>
        <w:trPr>
          <w:trHeight w:val="190"/>
        </w:trPr>
        <w:tc>
          <w:tcPr>
            <w:tcW w:w="840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4,567,328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4,262,153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906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 UNAUDITED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9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626,515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316,233</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0" w:type="dxa"/>
            <w:vAlign w:val="bottom"/>
          </w:tcPr>
          <w:p>
            <w:pPr>
              <w:spacing w:after="0"/>
              <w:rPr>
                <w:sz w:val="1"/>
                <w:szCs w:val="1"/>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266,845</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34,174</w:t>
            </w:r>
          </w:p>
        </w:tc>
        <w:tc>
          <w:tcPr>
            <w:tcW w:w="0" w:type="dxa"/>
            <w:vAlign w:val="bottom"/>
          </w:tcPr>
          <w:p>
            <w:pPr>
              <w:spacing w:after="0"/>
              <w:rPr>
                <w:sz w:val="1"/>
                <w:szCs w:val="1"/>
                <w:color w:val="auto"/>
              </w:rPr>
            </w:pP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operating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25,939</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0" w:type="dxa"/>
            <w:vAlign w:val="bottom"/>
          </w:tcPr>
          <w:p>
            <w:pPr>
              <w:spacing w:after="0"/>
              <w:rPr>
                <w:sz w:val="1"/>
                <w:szCs w:val="1"/>
                <w:color w:val="auto"/>
              </w:rPr>
            </w:pP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natural gas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74,863</w:t>
            </w:r>
          </w:p>
        </w:tc>
        <w:tc>
          <w:tcPr>
            <w:tcW w:w="0" w:type="dxa"/>
            <w:vAlign w:val="bottom"/>
          </w:tcPr>
          <w:p>
            <w:pPr>
              <w:spacing w:after="0"/>
              <w:rPr>
                <w:sz w:val="1"/>
                <w:szCs w:val="1"/>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174,182</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92,663</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0" w:type="dxa"/>
            <w:vAlign w:val="bottom"/>
          </w:tcPr>
          <w:p>
            <w:pPr>
              <w:spacing w:after="0"/>
              <w:rPr>
                <w:sz w:val="1"/>
                <w:szCs w:val="1"/>
                <w:color w:val="auto"/>
              </w:rPr>
            </w:pPr>
          </w:p>
        </w:tc>
      </w:tr>
      <w:tr>
        <w:trPr>
          <w:trHeight w:val="223"/>
        </w:trPr>
        <w:tc>
          <w:tcPr>
            <w:tcW w:w="9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60,645</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116,807</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119,814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118,669</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200" w:lineRule="exact"/>
        <w:rPr>
          <w:sz w:val="20"/>
          <w:szCs w:val="20"/>
          <w:color w:val="auto"/>
        </w:rPr>
      </w:pPr>
    </w:p>
    <w:p>
      <w:pPr>
        <w:spacing w:after="0" w:line="21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tbl>
      <w:tblPr>
        <w:tblLayout w:type="fixed"/>
        <w:tblInd w:w="0" w:type="dxa"/>
        <w:tblCellMar>
          <w:top w:w="0" w:type="dxa"/>
          <w:left w:w="0" w:type="dxa"/>
          <w:bottom w:w="0" w:type="dxa"/>
          <w:right w:w="0" w:type="dxa"/>
        </w:tblCellMar>
      </w:tblPr>
      <w:tr>
        <w:trPr>
          <w:trHeight w:val="131"/>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8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8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9"/>
                <w:szCs w:val="9"/>
                <w:color w:val="auto"/>
              </w:rPr>
            </w:pPr>
          </w:p>
        </w:tc>
        <w:tc>
          <w:tcPr>
            <w:tcW w:w="720" w:type="dxa"/>
            <w:vAlign w:val="bottom"/>
            <w:vMerge w:val="restart"/>
          </w:tcPr>
          <w:p>
            <w:pPr>
              <w:jc w:val="right"/>
              <w:ind w:right="20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$ 2,077,592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(171,318)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2,127,388</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($0.05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Contribution related to formation of San Mateo, net of tax of $4.8</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million (see Note 6)</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207,124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224,185</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118,091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$ 2,087,788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29,940</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2,118,600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218,864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2,337,464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2021</w:t>
      </w:r>
    </w:p>
    <w:p>
      <w:pPr>
        <w:spacing w:after="0" w:line="323"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Total</w:t>
      </w:r>
    </w:p>
    <w:p>
      <w:pPr>
        <w:jc w:val="center"/>
        <w:ind w:left="6220"/>
        <w:spacing w:after="0" w:line="221" w:lineRule="auto"/>
        <w:rPr>
          <w:sz w:val="20"/>
          <w:szCs w:val="20"/>
          <w:color w:val="auto"/>
        </w:rPr>
      </w:pPr>
      <w:r>
        <w:rPr>
          <w:rFonts w:ascii="Times New Roman" w:cs="Times New Roman" w:eastAsia="Times New Roman" w:hAnsi="Times New Roman"/>
          <w:sz w:val="14"/>
          <w:szCs w:val="14"/>
          <w:b w:val="1"/>
          <w:bCs w:val="1"/>
          <w:color w:val="auto"/>
        </w:rPr>
        <w:t>shareholders’</w:t>
      </w:r>
    </w:p>
    <w:tbl>
      <w:tblPr>
        <w:tblLayout w:type="fixed"/>
        <w:tblInd w:w="0" w:type="dxa"/>
        <w:tblCellMar>
          <w:top w:w="0" w:type="dxa"/>
          <w:left w:w="0" w:type="dxa"/>
          <w:bottom w:w="0" w:type="dxa"/>
          <w:right w:w="0" w:type="dxa"/>
        </w:tblCellMar>
      </w:tblPr>
      <w:tr>
        <w:trPr>
          <w:trHeight w:val="131"/>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5"/>
                <w:szCs w:val="5"/>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48"/>
        </w:trPr>
        <w:tc>
          <w:tcPr>
            <w:tcW w:w="3980" w:type="dxa"/>
            <w:vAlign w:val="bottom"/>
          </w:tcPr>
          <w:p>
            <w:pPr>
              <w:spacing w:after="0"/>
              <w:rPr>
                <w:sz w:val="4"/>
                <w:szCs w:val="4"/>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$ 2,027,069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(741,705)</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1,513,025</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($0.025 per share)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15,376</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60,645</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69,498</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$ 2,043,703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(683,973)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1,359,395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1,580,533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780" w:type="dxa"/>
            <w:vAlign w:val="bottom"/>
          </w:tcPr>
          <w:p>
            <w:pPr>
              <w:jc w:val="center"/>
              <w:ind w:left="839"/>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 UNAUDITED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780" w:type="dxa"/>
            <w:vAlign w:val="bottom"/>
          </w:tcPr>
          <w:p>
            <w:pPr>
              <w:jc w:val="center"/>
              <w:ind w:left="819"/>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128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r>
      <w:tr>
        <w:trPr>
          <w:trHeight w:val="225"/>
        </w:trPr>
        <w:tc>
          <w:tcPr>
            <w:tcW w:w="128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18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224,185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69,498</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Unrealized loss on derivatives</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75,029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43,423</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95,853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74,863</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Deferred income tax provision</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53,119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debt issuance cost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r>
      <w:tr>
        <w:trPr>
          <w:trHeight w:val="195"/>
        </w:trPr>
        <w:tc>
          <w:tcPr>
            <w:tcW w:w="90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(39,680)</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Other long-term 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Royalties payable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8,311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r>
      <w:tr>
        <w:trPr>
          <w:trHeight w:val="195"/>
        </w:trPr>
        <w:tc>
          <w:tcPr>
            <w:tcW w:w="90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r>
      <w:tr>
        <w:trPr>
          <w:trHeight w:val="210"/>
        </w:trPr>
        <w:tc>
          <w:tcPr>
            <w:tcW w:w="90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15,409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060" w:type="dxa"/>
            <w:vAlign w:val="bottom"/>
            <w:tcBorders>
              <w:bottom w:val="single" w:sz="8" w:color="CCEEFF"/>
            </w:tcBorders>
            <w:gridSpan w:val="2"/>
          </w:tcPr>
          <w:p>
            <w:pPr>
              <w:ind w:left="1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3"/>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328,954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169,395</w:t>
            </w:r>
          </w:p>
        </w:tc>
      </w:tr>
      <w:tr>
        <w:trPr>
          <w:trHeight w:val="195"/>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Drilling, completion and equipping capital expenditures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(85,986)</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(6,676)</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11,911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9"/>
        </w:trPr>
        <w:tc>
          <w:tcPr>
            <w:tcW w:w="1280" w:type="dxa"/>
            <w:vAlign w:val="bottom"/>
          </w:tcPr>
          <w:p>
            <w:pPr>
              <w:spacing w:after="0"/>
              <w:rPr>
                <w:sz w:val="16"/>
                <w:szCs w:val="16"/>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(108,895)</w:t>
            </w:r>
          </w:p>
        </w:tc>
      </w:tr>
      <w:tr>
        <w:trPr>
          <w:trHeight w:val="21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Credit Agreement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Repayments of borrowings under San Mateo Credit Facility</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Dividends paid</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related to formation of San Mateo</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22,750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15,376</w:t>
            </w:r>
          </w:p>
        </w:tc>
      </w:tr>
      <w:tr>
        <w:trPr>
          <w:trHeight w:val="195"/>
        </w:trPr>
        <w:tc>
          <w:tcPr>
            <w:tcW w:w="9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(14,210)</w:t>
            </w:r>
          </w:p>
        </w:tc>
      </w:tr>
      <w:tr>
        <w:trPr>
          <w:trHeight w:val="210"/>
        </w:trPr>
        <w:tc>
          <w:tcPr>
            <w:tcW w:w="9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r>
      <w:tr>
        <w:trPr>
          <w:trHeight w:val="196"/>
        </w:trPr>
        <w:tc>
          <w:tcPr>
            <w:tcW w:w="9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02"/>
        </w:trPr>
        <w:tc>
          <w:tcPr>
            <w:tcW w:w="1280" w:type="dxa"/>
            <w:vAlign w:val="bottom"/>
            <w:shd w:val="clear" w:color="auto" w:fill="CCEEFF"/>
          </w:tcPr>
          <w:p>
            <w:pPr>
              <w:spacing w:after="0"/>
              <w:rPr>
                <w:sz w:val="17"/>
                <w:szCs w:val="17"/>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(103,626)</w:t>
            </w:r>
          </w:p>
        </w:tc>
      </w:tr>
      <w:tr>
        <w:trPr>
          <w:trHeight w:val="18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restricted cash</w:t>
            </w:r>
          </w:p>
        </w:tc>
        <w:tc>
          <w:tcPr>
            <w:tcW w:w="1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33,237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(43,126)</w:t>
            </w:r>
          </w:p>
        </w:tc>
      </w:tr>
      <w:tr>
        <w:trPr>
          <w:trHeight w:val="21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86,920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91,383</w:t>
            </w:r>
          </w:p>
        </w:tc>
      </w:tr>
      <w:tr>
        <w:trPr>
          <w:trHeight w:val="19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120,157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48,257</w:t>
            </w:r>
          </w:p>
        </w:tc>
      </w:tr>
      <w:tr>
        <w:trPr>
          <w:trHeight w:val="27"/>
        </w:trPr>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 (Note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(collectively with its subsidiaries, “San Mateo”),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Interim Financial Statements, Basis of Presentation, Consolidation and Significant Estimates</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2021 filed with the SEC on February 28, 2022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March 31, 2022. Amounts as of December 31, 2021 are derived from the Company’s audited consolidated financial statements included in the Annual Report.</w:t>
      </w:r>
    </w:p>
    <w:p>
      <w:pPr>
        <w:spacing w:after="0" w:line="8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three months ended March 31, 2022 and 2021 (in thousands).</w:t>
      </w:r>
    </w:p>
    <w:p>
      <w:pPr>
        <w:spacing w:after="0" w:line="171"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663,160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336,181</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32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(25,913)</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(75,029)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(43,423)</w:t>
            </w:r>
          </w:p>
        </w:tc>
      </w:tr>
      <w:tr>
        <w:trPr>
          <w:trHeight w:val="223"/>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565,692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266,845</w:t>
            </w:r>
          </w:p>
        </w:tc>
      </w:tr>
      <w:tr>
        <w:trPr>
          <w:trHeight w:val="21"/>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213,279</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102,954</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336,181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both the three months ended March 31, 2022 and 2021, the cost center ceiling was higher than the capitalized costs of oil and natural gas properties, and, as a result, no impairment charge was necessary.</w:t>
      </w:r>
    </w:p>
    <w:p>
      <w:pPr>
        <w:spacing w:after="0" w:line="75"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Company capitalized approximately $13.2 million and $9.5 million of its general and administrative costs and approximately $3.5 million and $0.6 million of its interest expense for the three months ended March 31, 2022 and 2021,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68"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weighted average common shares outstanding for the three months ended March 31, 2022 and 2021 (in thousands).</w:t>
      </w:r>
    </w:p>
    <w:p>
      <w:pPr>
        <w:spacing w:after="0" w:line="13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ind w:left="93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13335</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116,807</w:t>
            </w:r>
          </w:p>
        </w:tc>
      </w:tr>
      <w:tr>
        <w:trPr>
          <w:trHeight w:val="229"/>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3"/>
        </w:trPr>
        <w:tc>
          <w:tcPr>
            <w:tcW w:w="8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118,669</w:t>
            </w:r>
          </w:p>
        </w:tc>
      </w:tr>
      <w:tr>
        <w:trPr>
          <w:trHeight w:val="20"/>
        </w:trPr>
        <w:tc>
          <w:tcPr>
            <w:tcW w:w="8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A total of 1.5 million options to purchase shares of Matador’s common stock were excluded from the diluted weighted average common shares outstanding for the three months ended March 31, 2021, because their effects were anti-dilutive.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 RETIREMENT OBLIGATIONS</w:t>
      </w:r>
    </w:p>
    <w:p>
      <w:pPr>
        <w:spacing w:after="0" w:line="121" w:lineRule="exact"/>
        <w:rPr>
          <w:sz w:val="20"/>
          <w:szCs w:val="20"/>
          <w:color w:val="auto"/>
        </w:rPr>
      </w:pPr>
    </w:p>
    <w:p>
      <w:pPr>
        <w:ind w:right="8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three months ended March 31, 2022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w:t>
            </w:r>
          </w:p>
        </w:tc>
      </w:tr>
      <w:tr>
        <w:trPr>
          <w:trHeight w:val="229"/>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30"/>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10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Divestitures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9"/>
        </w:trPr>
        <w:tc>
          <w:tcPr>
            <w:tcW w:w="10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41,547</w:t>
            </w:r>
          </w:p>
        </w:tc>
      </w:tr>
      <w:tr>
        <w:trPr>
          <w:trHeight w:val="229"/>
        </w:trPr>
        <w:tc>
          <w:tcPr>
            <w:tcW w:w="10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41,265</w:t>
            </w:r>
          </w:p>
        </w:tc>
      </w:tr>
      <w:tr>
        <w:trPr>
          <w:trHeight w:val="21"/>
        </w:trPr>
        <w:tc>
          <w:tcPr>
            <w:tcW w:w="10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120"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interim unaudited condensed consolidated balance sheet at March 31,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At March 31, 2022, the Company had (i) $1.05 billion of outstanding senior notes due 2026 (the “Notes”), (ii) $50.0 million in borrowings outstanding under its reserves-based revolving credit facility (the “Credit Agreement”) and (iii) approximately $45.8 million in outstanding letters of credit issued pursuant to the Credit Agreement. Between March 31, 2022 and April 26, 2022, the Company repaid the remaining $50.0 million of borrowings under the Credit Agreement. During the first quarter of 2022, the $7.5 million unsecured U.S. Small Business Administration loan was forgiven under the terms of the loan agreement and recorded as a gain on the extinguishment of debt within “Other expense” on the unaudited condensed consolidated statement of operations.</w:t>
      </w:r>
    </w:p>
    <w:p>
      <w:pPr>
        <w:spacing w:after="0" w:line="7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At March 31, 2022, San Mateo had $405.0 million in borrowings outstanding under its revolving credit facility (the “San Mateo Credit Facility”) and approximately $9.0 million in outstanding letters of credit issued pursuant to the San Mateo Credit Facility. Between March 31, 2022 and April 26, 2022, San Mateo repaid $30.0 million of borrowings under the San Mateo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April 2022, the lenders completed their review of the Company’s proved oil and natural gas reserves, and, as a result, the borrowing base was increased to $2.0 billion, the borrowing commitment was increased to $775.0 million and the maximum facility amount remained $1.5 billion. In addition, the terms of the Credit Agreement were amended to increase the sublimit for issuances of letters of credit under the Credit Agreement from $50 million to $100 million and replace the London Interbank Offered Rate (“LIBOR”) interest rate benchmark with an Adjusted Term SOFR (as defined in the Credit Agreement) interest rate benchmark. 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(as defined in the Credit Agreement), in each case depending on the level of borrowings under the Credit Agreement. In addition, the Adjusted Term SOFR includes a credit spread adjustment of 0.10% per annum for all interest periods. This April 2022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October 31, 2026.</w:t>
      </w:r>
    </w:p>
    <w:p>
      <w:pPr>
        <w:spacing w:after="0" w:line="89"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 — Continued</w:t>
      </w:r>
    </w:p>
    <w:p>
      <w:pPr>
        <w:spacing w:after="0" w:line="200" w:lineRule="exact"/>
        <w:rPr>
          <w:sz w:val="20"/>
          <w:szCs w:val="20"/>
          <w:color w:val="auto"/>
        </w:rPr>
      </w:pPr>
    </w:p>
    <w:p>
      <w:pPr>
        <w:spacing w:after="0" w:line="25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EBITDA ratio, which is defined as debt outstanding (net of up to $75.0 million of cash or cash equivalents), divided by a rolling four quarter EBITDA calculation, of 3.5 to 1.0 or less. The Company believes that it was in compliance with the terms of the Credit Agreement at March 31, 2022.</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San Mateo Credit Facility is non-recourse with respect to Matador and its wholly-owned subsidiaries but is guaranteed by San Mateo’s subsidiaries and secured by substantially all of San Mateo’s assets, including real property. The San Mateo Credit Facility matures December 19, 2023 and lender commitments under the revolving credit facility were $450.0 million at March 31, 2022 (subject to San Mateo’s compliance with the covenants noted below). The San Mateo Credit Facility includes an accordion feature, which provides for potential increases in lender commitments to up to $700.0 million.</w:t>
      </w:r>
    </w:p>
    <w:p>
      <w:pPr>
        <w:spacing w:after="0" w:line="7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March 31,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119"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At March 31, 2022, the Company had $1.05 billion of outstanding Notes, which have a 5.875% coupon rate. The Notes mature September 15, 2026, and interest is payable on the Notes semi-annually in arrears on each March 15 and September 15. The Notes are guaranteed on a senior unsecured basis by certain subsidiaries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21"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Company recorded a current income tax provision of $15.4 million and a deferred income tax provision of $53.1 million for the three months ended March 31, 2022. The Company’s effective income tax rate of 25% for the three months ended March 31, 2022 differed from the U.S. federal statutory rate due primarily to permanent differences between book and tax income and state taxes, primarily in New Mexico.</w:t>
      </w:r>
    </w:p>
    <w:p>
      <w:pPr>
        <w:spacing w:after="0" w:line="68"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Company recorded an income tax provision of $2.8 million for the three months ended March 31, 2021, which resulted in an effective tax rate of 4%. The effective tax rate differed from amounts computed by applying the U.S. federal statutory rate to the pre-tax income due primarily to recording a net deferred tax liability for state taxes, primarily in New Mexico, and continuing to recognize a valuation allowance against our U.S. federal net deferred tax assets. As a result of the full-cost ceiling impairments recorded in 2020, the Company recognized a valuation allowance against its net deferred tax assets for the year ended December 31, 2020. Due to a variety of factors, including the Company’s significant net income during 2021, the Company’s federal valuation allowance was reversed as of September 30, 2021 as the deferred tax assets were determined to be more likely than not to be utilized.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awards to certain of its employees of 222,938 service-based restricted stock units to be settled in cash, which are liability instruments, and 230,251 performance-based stock units and 205,156 service-based shares of restricted stock, which are equity instruments. The performance-based stock units vest in an amount between zero and 200% of the target units granted based on the Company’s relative total shareholder return over the three-year period ending December 31, 2024, as compared to a designated peer group. The service-based restricted stock and restricted stock units vest over a three-year period. The fair value of these awards was approximately $31.4 million on the grant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Dividend</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Company’s Board of Directors (the “Board”) declared a quarterly cash dividend of $0.05 per share of common stock. The dividend, which totaled $5.9 million, was paid on March 14, 2022. In April 2022, the Board declared a quarterly cash dividend of $0.05 per share of common stock payable on June 3, 2022 to shareholders of record as of May 18, 2022.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 — Continued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Distributions and Contributions</w:t>
      </w:r>
    </w:p>
    <w:p>
      <w:pPr>
        <w:spacing w:after="0" w:line="119"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San Mateo distributed $19.1 million and $14.8 million, respectively, to the Company and $18.4 million and $14.2 million, respectively, to a subsidiary of Five Point Energy LLC (“Five Point”), the Company’s joint venture partner in San Mateo. During the three months ended March 31, 2022 and 2021, there were no contributions to San Mateo by either the Company or Five Point.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jc w:val="both"/>
        <w:ind w:right="80" w:firstLine="445"/>
        <w:spacing w:after="0" w:line="258" w:lineRule="auto"/>
        <w:rPr>
          <w:sz w:val="20"/>
          <w:szCs w:val="20"/>
          <w:color w:val="auto"/>
        </w:rPr>
      </w:pPr>
      <w:r>
        <w:rPr>
          <w:rFonts w:ascii="Times New Roman" w:cs="Times New Roman" w:eastAsia="Times New Roman" w:hAnsi="Times New Roman"/>
          <w:sz w:val="18"/>
          <w:szCs w:val="18"/>
          <w:color w:val="auto"/>
        </w:rPr>
        <w:t>Five Point paid to the Company $22.8 million and $15.4 million in performance incentives during the three months ended March 31, 2022 and 2021, respectively. These performance incentives are recorded when received, net of the $4.8 million deferred tax impact to Matador for the three months ended March 31, 2022, in “Additional paid-in capital” in the Company’s interim unaudited condensed consolidated balance sheets. These performance incentives for the three months ended March 31, 2022 and 2021 are also denoted as “Contributions related to formation of San Mateo” under “Financing activities” in the Company’s interim unaudited condensed consolidated statements of cash flows and changes in shareholders’ equity.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At March 31, 2022,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March 31, 2022, each contract was set to expire at varying times during 2022. The Company had no open contracts associated with natural gas liquids (“NGL”) prices at March 31, 2022.</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for oil and natural gas at March 31, 2022.</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Notional Quantity (Bbl or</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60" w:type="dxa"/>
            <w:vAlign w:val="bottom"/>
          </w:tcPr>
          <w:p>
            <w:pPr>
              <w:spacing w:after="0"/>
              <w:rPr>
                <w:sz w:val="15"/>
                <w:szCs w:val="15"/>
                <w:color w:val="auto"/>
              </w:rPr>
            </w:pPr>
          </w:p>
        </w:tc>
        <w:tc>
          <w:tcPr>
            <w:tcW w:w="12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176"/>
        </w:trPr>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2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Floor ($/Bbl or</w:t>
            </w: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Ceiling ($/Bbl or</w:t>
            </w: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43"/>
        </w:trPr>
        <w:tc>
          <w:tcPr>
            <w:tcW w:w="1620" w:type="dxa"/>
            <w:vAlign w:val="bottom"/>
            <w:gridSpan w:val="2"/>
            <w:vMerge w:val="continue"/>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2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60" w:type="dxa"/>
            <w:vAlign w:val="bottom"/>
          </w:tcPr>
          <w:p>
            <w:pPr>
              <w:spacing w:after="0"/>
              <w:rPr>
                <w:sz w:val="21"/>
                <w:szCs w:val="21"/>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04/01/2022 - 12/31/2022</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(59,752)</w:t>
            </w:r>
          </w:p>
        </w:tc>
        <w:tc>
          <w:tcPr>
            <w:tcW w:w="0" w:type="dxa"/>
            <w:vAlign w:val="bottom"/>
          </w:tcPr>
          <w:p>
            <w:pPr>
              <w:spacing w:after="0"/>
              <w:rPr>
                <w:sz w:val="1"/>
                <w:szCs w:val="1"/>
                <w:color w:val="auto"/>
              </w:rPr>
            </w:pPr>
          </w:p>
        </w:tc>
      </w:tr>
      <w:tr>
        <w:trPr>
          <w:trHeight w:val="230"/>
        </w:trPr>
        <w:tc>
          <w:tcPr>
            <w:tcW w:w="1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tcBorders>
              <w:bottom w:val="single" w:sz="8" w:color="CCEEFF"/>
            </w:tcBorders>
          </w:tcPr>
          <w:p>
            <w:pPr>
              <w:jc w:val="right"/>
              <w:ind w:right="490"/>
              <w:spacing w:after="0"/>
              <w:rPr>
                <w:sz w:val="20"/>
                <w:szCs w:val="20"/>
                <w:color w:val="auto"/>
              </w:rPr>
            </w:pPr>
            <w:r>
              <w:rPr>
                <w:rFonts w:ascii="Times New Roman" w:cs="Times New Roman" w:eastAsia="Times New Roman" w:hAnsi="Times New Roman"/>
                <w:sz w:val="18"/>
                <w:szCs w:val="18"/>
                <w:color w:val="auto"/>
              </w:rPr>
              <w:t>04/01/2022 - 12/31/2022</w:t>
            </w:r>
          </w:p>
        </w:tc>
        <w:tc>
          <w:tcPr>
            <w:tcW w:w="10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42,000,000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(89,933)</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basis swap contracts for oil at March 31, 2022.</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6"/>
                <w:szCs w:val="16"/>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60" w:type="dxa"/>
            <w:vAlign w:val="bottom"/>
          </w:tcPr>
          <w:p>
            <w:pPr>
              <w:spacing w:after="0"/>
              <w:rPr>
                <w:sz w:val="16"/>
                <w:szCs w:val="16"/>
                <w:color w:val="auto"/>
              </w:rPr>
            </w:pPr>
          </w:p>
        </w:tc>
        <w:tc>
          <w:tcPr>
            <w:tcW w:w="1260" w:type="dxa"/>
            <w:vAlign w:val="bottom"/>
          </w:tcPr>
          <w:p>
            <w:pPr>
              <w:jc w:val="right"/>
              <w:ind w:right="430"/>
              <w:spacing w:after="0" w:line="184" w:lineRule="exact"/>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176"/>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29"/>
        </w:trPr>
        <w:tc>
          <w:tcPr>
            <w:tcW w:w="316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(Bbl)</w:t>
            </w:r>
          </w:p>
        </w:tc>
        <w:tc>
          <w:tcPr>
            <w:tcW w:w="260" w:type="dxa"/>
            <w:vAlign w:val="bottom"/>
          </w:tcPr>
          <w:p>
            <w:pPr>
              <w:spacing w:after="0"/>
              <w:rPr>
                <w:sz w:val="19"/>
                <w:szCs w:val="19"/>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($/Bbl)</w:t>
            </w:r>
          </w:p>
        </w:tc>
        <w:tc>
          <w:tcPr>
            <w:tcW w:w="16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Basis</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04/01/2022 - 12/31/2022</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open basis swap contracts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2022, the aggregate liability value for the Company’s open derivative financial instruments was $89.9 million.</w:t>
      </w:r>
    </w:p>
    <w:p>
      <w:pPr>
        <w:spacing w:after="0" w:line="117"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 — Continued</w:t>
      </w:r>
    </w:p>
    <w:p>
      <w:pPr>
        <w:spacing w:after="0" w:line="200" w:lineRule="exact"/>
        <w:rPr>
          <w:sz w:val="20"/>
          <w:szCs w:val="20"/>
          <w:color w:val="auto"/>
        </w:rPr>
      </w:pPr>
    </w:p>
    <w:p>
      <w:pPr>
        <w:spacing w:after="0" w:line="259" w:lineRule="exact"/>
        <w:rPr>
          <w:sz w:val="20"/>
          <w:szCs w:val="20"/>
          <w:color w:val="auto"/>
        </w:rPr>
      </w:pPr>
    </w:p>
    <w:p>
      <w:pPr>
        <w:ind w:right="300" w:firstLine="445"/>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gross asset and liability fair values of the Company’s commodity price derivative financial instruments and the location of these balances in the interim unaudited condensed consolidated balance sheets as of March 31, 2022 and December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0" w:type="dxa"/>
            <w:vAlign w:val="bottom"/>
          </w:tcPr>
          <w:p>
            <w:pPr>
              <w:spacing w:after="0"/>
              <w:rPr>
                <w:sz w:val="16"/>
                <w:szCs w:val="16"/>
                <w:color w:val="auto"/>
              </w:rPr>
            </w:pPr>
          </w:p>
        </w:tc>
        <w:tc>
          <w:tcPr>
            <w:tcW w:w="15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0" w:type="dxa"/>
            <w:vAlign w:val="bottom"/>
          </w:tcPr>
          <w:p>
            <w:pPr>
              <w:spacing w:after="0"/>
              <w:rPr>
                <w:sz w:val="1"/>
                <w:szCs w:val="1"/>
                <w:color w:val="auto"/>
              </w:rPr>
            </w:pPr>
          </w:p>
        </w:tc>
      </w:tr>
      <w:tr>
        <w:trPr>
          <w:trHeight w:val="189"/>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60" w:type="dxa"/>
            <w:vAlign w:val="bottom"/>
          </w:tcPr>
          <w:p>
            <w:pPr>
              <w:spacing w:after="0"/>
              <w:rPr>
                <w:sz w:val="16"/>
                <w:szCs w:val="16"/>
                <w:color w:val="auto"/>
              </w:rPr>
            </w:pPr>
          </w:p>
        </w:tc>
        <w:tc>
          <w:tcPr>
            <w:tcW w:w="1500" w:type="dxa"/>
            <w:vAlign w:val="bottom"/>
            <w:gridSpan w:val="2"/>
          </w:tcPr>
          <w:p>
            <w:pPr>
              <w:jc w:val="center"/>
              <w:ind w:right="4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160" w:type="dxa"/>
            <w:vAlign w:val="bottom"/>
          </w:tcPr>
          <w:p>
            <w:pPr>
              <w:spacing w:after="0"/>
              <w:rPr>
                <w:sz w:val="16"/>
                <w:szCs w:val="16"/>
                <w:color w:val="auto"/>
              </w:rPr>
            </w:pPr>
          </w:p>
        </w:tc>
        <w:tc>
          <w:tcPr>
            <w:tcW w:w="15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30"/>
        </w:trPr>
        <w:tc>
          <w:tcPr>
            <w:tcW w:w="6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19"/>
                <w:szCs w:val="19"/>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(90,097)</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(89,907)</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interim unaudited condensed consolidated statements of operations for the periods presented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58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Location in Condensed Consolidated</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Instrument</w:t>
            </w:r>
          </w:p>
        </w:tc>
        <w:tc>
          <w:tcPr>
            <w:tcW w:w="65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2320" w:type="dxa"/>
            <w:vAlign w:val="bottom"/>
            <w:gridSpan w:val="2"/>
            <w:vMerge w:val="continue"/>
          </w:tcPr>
          <w:p>
            <w:pPr>
              <w:spacing w:after="0"/>
              <w:rPr>
                <w:sz w:val="16"/>
                <w:szCs w:val="16"/>
                <w:color w:val="auto"/>
              </w:rPr>
            </w:pPr>
          </w:p>
        </w:tc>
        <w:tc>
          <w:tcPr>
            <w:tcW w:w="6580" w:type="dxa"/>
            <w:vAlign w:val="bottom"/>
            <w:gridSpan w:val="2"/>
          </w:tcPr>
          <w:p>
            <w:pPr>
              <w:ind w:left="248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20" w:type="dxa"/>
            <w:vAlign w:val="bottom"/>
            <w:tcBorders>
              <w:top w:val="single" w:sz="8" w:color="CCEEFF"/>
            </w:tcBorders>
            <w:shd w:val="clear" w:color="auto" w:fill="CCEEFF"/>
          </w:tcPr>
          <w:p>
            <w:pPr>
              <w:spacing w:after="0"/>
              <w:rPr>
                <w:sz w:val="19"/>
                <w:szCs w:val="19"/>
                <w:color w:val="auto"/>
              </w:rPr>
            </w:pPr>
          </w:p>
        </w:tc>
        <w:tc>
          <w:tcPr>
            <w:tcW w:w="6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Realized loss on derivatives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(26,075)</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Realized (loss) gain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gridSpan w:val="4"/>
          </w:tcPr>
          <w:p>
            <w:pPr>
              <w:ind w:left="56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0" w:type="dxa"/>
            <w:vAlign w:val="bottom"/>
          </w:tcPr>
          <w:p>
            <w:pPr>
              <w:spacing w:after="0"/>
              <w:rPr>
                <w:sz w:val="1"/>
                <w:szCs w:val="1"/>
                <w:color w:val="auto"/>
              </w:rPr>
            </w:pPr>
          </w:p>
        </w:tc>
      </w:tr>
      <w:tr>
        <w:trPr>
          <w:trHeight w:val="223"/>
        </w:trPr>
        <w:tc>
          <w:tcPr>
            <w:tcW w:w="2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Unrealized loss on derivatives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(39,269)</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 Unrealized loss on derivatives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23"/>
        </w:trPr>
        <w:tc>
          <w:tcPr>
            <w:tcW w:w="890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0" w:type="dxa"/>
            <w:vAlign w:val="bottom"/>
          </w:tcPr>
          <w:p>
            <w:pPr>
              <w:spacing w:after="0"/>
              <w:rPr>
                <w:sz w:val="1"/>
                <w:szCs w:val="1"/>
                <w:color w:val="auto"/>
              </w:rPr>
            </w:pPr>
          </w:p>
        </w:tc>
      </w:tr>
      <w:tr>
        <w:trPr>
          <w:trHeight w:val="223"/>
        </w:trPr>
        <w:tc>
          <w:tcPr>
            <w:tcW w:w="23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6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121"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8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 Continued</w:t>
      </w:r>
    </w:p>
    <w:p>
      <w:pPr>
        <w:spacing w:after="0" w:line="35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March 31, 2022 and December 31, 2021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Oil derivatives and basis swaps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Natural gas derivatives</w:t>
      </w:r>
    </w:p>
    <w:p>
      <w:pPr>
        <w:spacing w:after="0" w:line="23" w:lineRule="exact"/>
        <w:rPr>
          <w:sz w:val="20"/>
          <w:szCs w:val="20"/>
          <w:color w:val="auto"/>
        </w:rPr>
      </w:pPr>
    </w:p>
    <w:p>
      <w:pPr>
        <w:ind w:left="480" w:right="1800" w:hanging="323"/>
        <w:spacing w:after="0" w:line="292" w:lineRule="auto"/>
        <w:rPr>
          <w:sz w:val="20"/>
          <w:szCs w:val="20"/>
          <w:color w:val="auto"/>
        </w:rPr>
      </w:pPr>
      <w:r>
        <w:rPr>
          <w:rFonts w:ascii="Times New Roman" w:cs="Times New Roman" w:eastAsia="Times New Roman" w:hAnsi="Times New Roman"/>
          <w:sz w:val="18"/>
          <w:szCs w:val="18"/>
          <w:color w:val="auto"/>
        </w:rPr>
        <w:t>Contingent consideration related to business combination Total</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Oil derivatives and basis swaps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Natural gas derivatives</w:t>
      </w:r>
    </w:p>
    <w:p>
      <w:pPr>
        <w:spacing w:after="0" w:line="23" w:lineRule="exact"/>
        <w:rPr>
          <w:sz w:val="20"/>
          <w:szCs w:val="20"/>
          <w:color w:val="auto"/>
        </w:rPr>
      </w:pPr>
    </w:p>
    <w:p>
      <w:pPr>
        <w:ind w:left="480" w:right="1800" w:hanging="323"/>
        <w:spacing w:after="0" w:line="292" w:lineRule="auto"/>
        <w:rPr>
          <w:sz w:val="20"/>
          <w:szCs w:val="20"/>
          <w:color w:val="auto"/>
        </w:rPr>
      </w:pPr>
      <w:r>
        <w:rPr>
          <w:rFonts w:ascii="Times New Roman" w:cs="Times New Roman" w:eastAsia="Times New Roman" w:hAnsi="Times New Roman"/>
          <w:sz w:val="18"/>
          <w:szCs w:val="18"/>
          <w:color w:val="auto"/>
        </w:rPr>
        <w:t>Contingent consideration related to business combination 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March 31, 2022 using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4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(59,726)</w:t>
            </w:r>
          </w:p>
        </w:tc>
      </w:tr>
      <w:tr>
        <w:trPr>
          <w:trHeight w:val="230"/>
        </w:trPr>
        <w:tc>
          <w:tcPr>
            <w:tcW w:w="160" w:type="dxa"/>
            <w:vAlign w:val="bottom"/>
          </w:tcPr>
          <w:p>
            <w:pPr>
              <w:spacing w:after="0"/>
              <w:rPr>
                <w:sz w:val="19"/>
                <w:szCs w:val="19"/>
                <w:color w:val="auto"/>
              </w:rPr>
            </w:pP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w:t>
            </w:r>
          </w:p>
        </w:tc>
      </w:tr>
      <w:tr>
        <w:trPr>
          <w:trHeight w:val="234"/>
        </w:trPr>
        <w:tc>
          <w:tcPr>
            <w:tcW w:w="160" w:type="dxa"/>
            <w:vAlign w:val="bottom"/>
          </w:tcPr>
          <w:p>
            <w:pPr>
              <w:spacing w:after="0"/>
              <w:rPr>
                <w:sz w:val="20"/>
                <w:szCs w:val="20"/>
                <w:color w:val="auto"/>
              </w:rPr>
            </w:pPr>
          </w:p>
        </w:tc>
        <w:tc>
          <w:tcPr>
            <w:tcW w:w="10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-290830</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0</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-591185</wp:posOffset>
            </wp:positionV>
            <wp:extent cx="711517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700" w:hanging="68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$(89,907)  $  (16,029)  $   (105,936)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2803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 using</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4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30"/>
        </w:trPr>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14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-479425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-187960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-779145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the carrying values reported on the interim unaudited condensed consolidated balance sheets for accounts receivable, prepaid expenses and other current assets, accounts payable, accrued liabilities, royalties payable, amounts due to affiliates, advances from joint interest owners, income taxes payable and other current liabilities approximated their fair values due to their short-term maturities.</w:t>
      </w:r>
    </w:p>
    <w:p>
      <w:pPr>
        <w:spacing w:after="0" w:line="68"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68"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 fair value of the Notes was $1.07 billion and $1.08 billion, respectively, based on quoted market prices, which represent Level 1 inputs in the fair value hierarchy.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$11.0 million and $12.6 million for deliveries under these agreements during the three months ended March 31, 2022 and 2021,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March 31, 2022, the total deficiencies required to be paid by the Company under these agreements would be approximately $552.1 million.</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March 31, 2022 was approximately $351.7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Accrued Liabilities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current accrued liabilities at March 31, 2022 and December 31,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37,458</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 — Continued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three months ended March 31, 2022 and 2021 (in thousands).</w:t>
      </w:r>
    </w:p>
    <w:p>
      <w:pPr>
        <w:spacing w:after="0" w:line="23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asset retirement obligations related to mineral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drilling, completion and equipping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acquisition of oil and natural gas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liabilities for midstream properties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a liability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inventory to oil and natural gas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bl>
    <w:p>
      <w:pPr>
        <w:spacing w:after="0" w:line="360"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7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30,333</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121"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Substantially all of the Company’s midstream operations in the Rustler Breaks, Wolf and Stateline asset areas and the Greater Stebbins Area in the Delaware Basin, which comprise most of the Company’s midstream operations, are conducted through San Mateo. San Mateo and its subsidiaries are not guarantors of the Notes.</w:t>
      </w:r>
    </w:p>
    <w:p>
      <w:pPr>
        <w:spacing w:after="0" w:line="80"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626,515</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(50,085)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(50,085)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256,385</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296,990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38,559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(26,242)</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309,307</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4,567,328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239,848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19,081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259,154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46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$87.3 million and $8.0 million for the exploration and production and midstream segments, respectively. Also includes corporate depletion, depreciation and amortization expenses of $0.6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40" w:right="26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$41.1 million attributable to land and seismic acquisition expenditures related to the exploration and production segment and $9.3 million in capital expenditures attributable to non-controlling interest in subsidiaries related to the midstream segment.</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6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21"/>
                <w:szCs w:val="21"/>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316,233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(28,471)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(28,471)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174,182</w:t>
            </w: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91,328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21,297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(19,962)</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92,663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3,738,881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134,865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9,773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144,771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0"/>
          <w:szCs w:val="20"/>
          <w:color w:val="auto"/>
        </w:rPr>
      </w:pPr>
    </w:p>
    <w:p>
      <w:pPr>
        <w:ind w:left="340" w:right="44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$66.4 million and $7.8 million for the exploration and production and midstream segments, respectively. Also includes corporate depletion, depreciation and amortization expenses of $0.7 million.</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$8.9 million in net income attributable to non-controlling interest in subsidiaries related to the midstream segment.</w:t>
      </w:r>
    </w:p>
    <w:p>
      <w:pPr>
        <w:spacing w:after="0" w:line="122" w:lineRule="exact"/>
        <w:rPr>
          <w:rFonts w:ascii="Times New Roman" w:cs="Times New Roman" w:eastAsia="Times New Roman" w:hAnsi="Times New Roman"/>
          <w:sz w:val="14"/>
          <w:szCs w:val="14"/>
          <w:color w:val="auto"/>
        </w:rPr>
      </w:pPr>
    </w:p>
    <w:p>
      <w:pPr>
        <w:ind w:left="340" w:right="4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$8.7 million attributable to land and seismic acquisition expenditures related to the exploration and production segment and $4.4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0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BUSINESS COMBINATION</w:t>
      </w:r>
    </w:p>
    <w:p>
      <w:pPr>
        <w:spacing w:after="0" w:line="200" w:lineRule="exact"/>
        <w:rPr>
          <w:sz w:val="20"/>
          <w:szCs w:val="20"/>
          <w:color w:val="auto"/>
        </w:rPr>
      </w:pPr>
    </w:p>
    <w:p>
      <w:pPr>
        <w:spacing w:after="0" w:line="23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December 14, 2021, the Company completed an acquisition of assets from a private operator. This acquisition was accounted for as a business combination in accordance with ASC Topic 805, which requires the assets acquired and liabilities assumed to be recorded at fair value as of the respective acquisition date. The Company obtained certain oil and natural gas producing properties and undeveloped acreage located in Lea and Eddy Counties, New Mexico, strategically located primarily within the Company’s existing acreage in its Ranger and Arrowhead asset areas.</w:t>
      </w:r>
    </w:p>
    <w:p>
      <w:pPr>
        <w:spacing w:after="0" w:line="7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As consideration for the business combination, the Company paid approximately $161.7 million in cash, subject to certain customary post-closing working capital adjustments, including adjusting for production, revenues, operating expenses and capital expenditures from August 1, 2021 to closing. In addition, the Company will increase the purchase price by $5.0 million for each quarter during 2022 in which the average oil price, as defined in the purchase and sale agreement, is greater than $75.00 per barrel. The Company recorded this contingent consideration at fair value on the date of the business combination and will record the change in the fair value in future periods as “Other expense” in its unaudited condensed consolidated statements of operations. The fair value of the contingent consideration increased $7.8 million between December 31, 2021 and March 31, 2022 to an estimated fair value of $16.0 million as of March 31, 2022. The Company used the Monte Carlo simulation method to measure the fair value of the contingent consideration, which has unobservable inputs and is thus classified at Level 3 in the fair value hierarchy (see Note 8 for discussion of the fair value hierarchy).</w:t>
      </w:r>
    </w:p>
    <w:p>
      <w:pPr>
        <w:spacing w:after="0" w:line="80"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consideration given related to this business combination was as follows (in thousands). The Company anticipates that the allocation of the consideration given should be finalized during 2022 upon determination of the final customary purchase price adjustments.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Consideration given</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Allocation</w:t>
            </w:r>
          </w:p>
        </w:tc>
      </w:tr>
      <w:tr>
        <w:trPr>
          <w:trHeight w:val="21"/>
        </w:trPr>
        <w:tc>
          <w:tcPr>
            <w:tcW w:w="80" w:type="dxa"/>
            <w:vAlign w:val="bottom"/>
            <w:tcBorders>
              <w:bottom w:val="single" w:sz="8" w:color="CCEDFF"/>
            </w:tcBorders>
          </w:tcPr>
          <w:p>
            <w:pPr>
              <w:spacing w:after="0" w:line="20" w:lineRule="exact"/>
              <w:rPr>
                <w:sz w:val="1"/>
                <w:szCs w:val="1"/>
                <w:color w:val="auto"/>
              </w:rPr>
            </w:pPr>
          </w:p>
        </w:tc>
        <w:tc>
          <w:tcPr>
            <w:tcW w:w="1540" w:type="dxa"/>
            <w:vAlign w:val="bottom"/>
            <w:tcBorders>
              <w:top w:val="single" w:sz="8" w:color="auto"/>
              <w:bottom w:val="single" w:sz="8" w:color="CCEDFF"/>
            </w:tcBorders>
          </w:tcPr>
          <w:p>
            <w:pPr>
              <w:spacing w:after="0" w:line="20" w:lineRule="exact"/>
              <w:rPr>
                <w:sz w:val="1"/>
                <w:szCs w:val="1"/>
                <w:color w:val="auto"/>
              </w:rPr>
            </w:pPr>
          </w:p>
        </w:tc>
        <w:tc>
          <w:tcPr>
            <w:tcW w:w="620" w:type="dxa"/>
            <w:vAlign w:val="bottom"/>
            <w:tcBorders>
              <w:bottom w:val="single" w:sz="8" w:color="CCEDFF"/>
            </w:tcBorders>
          </w:tcPr>
          <w:p>
            <w:pPr>
              <w:spacing w:after="0" w:line="20" w:lineRule="exact"/>
              <w:rPr>
                <w:sz w:val="1"/>
                <w:szCs w:val="1"/>
                <w:color w:val="auto"/>
              </w:rPr>
            </w:pPr>
          </w:p>
        </w:tc>
        <w:tc>
          <w:tcPr>
            <w:tcW w:w="7560" w:type="dxa"/>
            <w:vAlign w:val="bottom"/>
            <w:tcBorders>
              <w:bottom w:val="single" w:sz="8" w:color="CCED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0"/>
        </w:trPr>
        <w:tc>
          <w:tcPr>
            <w:tcW w:w="80" w:type="dxa"/>
            <w:vAlign w:val="bottom"/>
            <w:tcBorders>
              <w:bottom w:val="single" w:sz="8" w:color="CCEDFF"/>
            </w:tcBorders>
            <w:shd w:val="clear" w:color="auto" w:fill="CCEDFF"/>
          </w:tcPr>
          <w:p>
            <w:pPr>
              <w:spacing w:after="0"/>
              <w:rPr>
                <w:sz w:val="20"/>
                <w:szCs w:val="20"/>
                <w:color w:val="auto"/>
              </w:rPr>
            </w:pPr>
          </w:p>
        </w:tc>
        <w:tc>
          <w:tcPr>
            <w:tcW w:w="9720" w:type="dxa"/>
            <w:vAlign w:val="bottom"/>
            <w:tcBorders>
              <w:bottom w:val="single" w:sz="8" w:color="CCEDFF"/>
            </w:tcBorders>
            <w:gridSpan w:val="3"/>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4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$161,680</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of contingent consideration at December 14, 2021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consideration given</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$163,439</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0"/>
        </w:trPr>
        <w:tc>
          <w:tcPr>
            <w:tcW w:w="98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1440" w:type="dxa"/>
            <w:vAlign w:val="bottom"/>
            <w:shd w:val="clear" w:color="auto" w:fill="CCEEFF"/>
          </w:tcPr>
          <w:p>
            <w:pPr>
              <w:spacing w:after="0"/>
              <w:rPr>
                <w:sz w:val="21"/>
                <w:szCs w:val="21"/>
                <w:color w:val="auto"/>
              </w:rPr>
            </w:pPr>
          </w:p>
        </w:tc>
      </w:tr>
      <w:tr>
        <w:trPr>
          <w:trHeight w:val="48"/>
        </w:trPr>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75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r>
      <w:tr>
        <w:trPr>
          <w:trHeight w:val="230"/>
        </w:trPr>
        <w:tc>
          <w:tcPr>
            <w:tcW w:w="9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1440" w:type="dxa"/>
            <w:vAlign w:val="bottom"/>
          </w:tcPr>
          <w:p>
            <w:pPr>
              <w:spacing w:after="0"/>
              <w:rPr>
                <w:sz w:val="19"/>
                <w:szCs w:val="19"/>
                <w:color w:val="auto"/>
              </w:rPr>
            </w:pPr>
          </w:p>
        </w:tc>
      </w:tr>
      <w:tr>
        <w:trPr>
          <w:trHeight w:val="236"/>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Evaluated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$139,312</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Unproved and unevaluated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31,745</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6"/>
        </w:trPr>
        <w:tc>
          <w:tcPr>
            <w:tcW w:w="8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4"/>
        </w:trPr>
        <w:tc>
          <w:tcPr>
            <w:tcW w:w="80" w:type="dxa"/>
            <w:vAlign w:val="bottom"/>
          </w:tcPr>
          <w:p>
            <w:pPr>
              <w:spacing w:after="0"/>
              <w:rPr>
                <w:sz w:val="20"/>
                <w:szCs w:val="20"/>
                <w:color w:val="auto"/>
              </w:rPr>
            </w:pPr>
          </w:p>
        </w:tc>
        <w:tc>
          <w:tcPr>
            <w:tcW w:w="9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6"/>
        </w:trPr>
        <w:tc>
          <w:tcPr>
            <w:tcW w:w="80" w:type="dxa"/>
            <w:vAlign w:val="bottom"/>
            <w:tcBorders>
              <w:bottom w:val="single" w:sz="8" w:color="CCEEFF"/>
            </w:tcBorders>
            <w:shd w:val="clear" w:color="auto" w:fill="CCEEFF"/>
          </w:tcPr>
          <w:p>
            <w:pPr>
              <w:spacing w:after="0"/>
              <w:rPr>
                <w:sz w:val="22"/>
                <w:szCs w:val="22"/>
                <w:color w:val="auto"/>
              </w:rPr>
            </w:pPr>
          </w:p>
        </w:tc>
        <w:tc>
          <w:tcPr>
            <w:tcW w:w="97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8"/>
        </w:trPr>
        <w:tc>
          <w:tcPr>
            <w:tcW w:w="80" w:type="dxa"/>
            <w:vAlign w:val="bottom"/>
          </w:tcPr>
          <w:p>
            <w:pPr>
              <w:spacing w:after="0"/>
              <w:rPr>
                <w:sz w:val="19"/>
                <w:szCs w:val="19"/>
                <w:color w:val="auto"/>
              </w:rPr>
            </w:pPr>
          </w:p>
        </w:tc>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$163,439</w:t>
            </w:r>
          </w:p>
        </w:tc>
      </w:tr>
      <w:tr>
        <w:trPr>
          <w:trHeight w:val="22"/>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2021 (the “Annual Report”) filed with the Securities and Exchange Commission (the “SEC”) on February 28, 2022, along with Management’s Discussion and Analysis of Financial Condition and Results of Operations contained in the Annual Report. The Annual Report is accessible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our website at </w:t>
      </w:r>
      <w:r>
        <w:rPr>
          <w:rFonts w:ascii="Times New Roman" w:cs="Times New Roman" w:eastAsia="Times New Roman" w:hAnsi="Times New Roman"/>
          <w:sz w:val="18"/>
          <w:szCs w:val="18"/>
          <w:i w:val="1"/>
          <w:iCs w:val="1"/>
          <w:u w:val="single" w:color="auto"/>
          <w:color w:val="auto"/>
        </w:rPr>
        <w:t>www.matadorresources.com</w:t>
      </w:r>
      <w:r>
        <w:rPr>
          <w:rFonts w:ascii="Times New Roman" w:cs="Times New Roman" w:eastAsia="Times New Roman" w:hAnsi="Times New Roman"/>
          <w:sz w:val="18"/>
          <w:szCs w:val="18"/>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For certain oil and natural gas terms used in this Quarterly Report, please see the “Glossary of Oil and Natural Gas Terms” included with the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7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Times New Roman" w:cs="Times New Roman" w:eastAsia="Times New Roman" w:hAnsi="Times New Roman"/>
          <w:sz w:val="18"/>
          <w:szCs w:val="18"/>
          <w:color w:val="0A0A0A"/>
        </w:rPr>
        <w:t>general economic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our ability to execute 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weather and environmental conditions; the impact of the worldwide spread of the novel coronavirus (“COVID-19”) on oil and natural gas demand, oil and natural gas prices and our business; the operating results of our midstream joint venture’s oil, natural gas and water gathering and transportation systems, pipelines and facilities, the acquiring of third-party business and the drilling of any additional salt water disposal wells; </w:t>
      </w:r>
      <w:r>
        <w:rPr>
          <w:rFonts w:ascii="Times New Roman" w:cs="Times New Roman" w:eastAsia="Times New Roman" w:hAnsi="Times New Roman"/>
          <w:sz w:val="18"/>
          <w:szCs w:val="18"/>
          <w:color w:val="000000"/>
        </w:rPr>
        <w:t>and the other factors discussed below and elsewhere in this Quarterly Report and in other documents that we file with or furnish to the</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United States Securities and Exchange Commission (the “SEC”), all of which are difficult to predict. Forward-looking statements may include statements about:</w:t>
      </w:r>
    </w:p>
    <w:p>
      <w:pPr>
        <w:spacing w:after="0" w:line="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not a full-cost ceiling impairment could be realized;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payment of dividends, if 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natural gas liquids;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natural gas liquids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field labor;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midstream joint venture to construct, maintain and operate midstream pipelines and facilities, including the operation of its Black River cryogenic natural gas processing plant and the drilling of additional salt water disposal wells;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midstream joint venture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initiatives and efforts relating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the oil and natural gas industry and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or in our other filings with the SEC that are not historical.</w:t>
      </w:r>
    </w:p>
    <w:p>
      <w:pPr>
        <w:spacing w:after="0" w:line="9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produced water gathering services and produced water disposal services to third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Highlights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our total oil equivalent production was 8.5 million BOE, and our average daily oil equivalent production was 94,000 BOE per day, of which 53,600 Bbl per day, or 57%, was oil and 242.4 MMcf per day, or 43%, was natural gas. Our average daily oil production of 53,600 Bbl per day for the three months ended March 31, 2022 increased 29% year-over-year from 41,500 Bbl per day for the three months ended March 31, 2021. Our average daily natural gas production of 242.4 MMcf per day for the three months ended March 31, 2022 increased 24% year-over-year from 194.7 MMcf per day for the three months ended March 31, 2021.</w:t>
      </w:r>
    </w:p>
    <w:p>
      <w:pPr>
        <w:spacing w:after="0" w:line="75"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For the first quarter of 2022, we reported net income attributable to Matador shareholders of $207.1 million, or $1.73 per diluted common share, on a generally accepted accounting principles in the United States (“GAAP”) basis, as compared to net income attributable to Matador shareholders of $60.6 million, or $0.51 per diluted common share, for the first quarter of 2021. For the first quarter of 2022, our Adjusted EBITDA attributable to Matador shareholders (“Adjusted EBITDA”), a non-GAAP</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financial measure, was $461.8 million, as compared to Adjusted EBITDA of $198.1 million during the first quarter of 2021. For a definition of Adjusted EBITDA and a reconciliation of Adjusted EBITDA to our net income (loss) and net cash provided by operating activities, see “—Liquidity and Capital Resources—Non-GAAP Financial Measures.” For more information regarding our financial results for the three months ended March 31, 2022, see “— Results of Operations”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Update</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began 2022 operating five drilling rigs in the Delaware Basin but contracted a sixth drilling rig during the first quarter to begin development of certain recently acquired assets in the western portion of the Ranger asset area in Lea County, New Mexico. Our 2022 drilling program is expected to focus on operating these six rigs across our various Delaware Basin assets. At April 26, 2022, four of these rigs were operating in the Antelope Ridge asset area, one of these rigs was operating in the Rustler Breaks asset area and the sixth rig was operating on recently acquired acreage in the Ranger asset area in Lea County, New Mexico. We expect to operate this sixth drilling rig in the Ranger asset area for the remainder of 2022. We have built significant optionality into our drilling program, which should generally allow us to decrease or increase the number of rigs we operate as necessary based on changing commodity prices and other factors.</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turned to sales a total of 38 gross (26.4 net) wells in the Delaware Basin during the first quarter of 2022, including 26 gross (24.2 net) operated wells and 12 gross (2.2 net) non-operated wells. During the first quarter of 2022, we turned to sales 11 gross (11.0 net) operated wells in the Stateline asset area: four were Wolfcamp B completions, five were Third Bone Spring Carbonate completions and two were First Bone Spring completions. On the Rodney Robinson leasehold in the western portion of the Antelope Ridge asset area, we turned to sales nine gross (8.1 net) operated wells: three were First Bone Spring completions, two were Second Bone Spring completions, three were Avalon completions and one was a Third Bone Spring completion. We also turned to sales one gross (0.9 net) operated well elsewhere in the Antelope Ridge asset area, three gross (2.8 net) operated wells in the Wolf asset area and two gross (1.4 net) operated wells in the Ranger asset area, all of which were Second Bone Spring completions. We also participated in five gross (1.4 net) non-operated wells turned to sales in the Rustler Breaks asset area, four gross (0.8 net) non-operated wells in the Ranger asset area and three gross (less than 0.1 net) non-operated wells in the Antelope Ridge asset area.</w:t>
      </w:r>
    </w:p>
    <w:p>
      <w:pPr>
        <w:spacing w:after="0" w:line="80"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Our average daily oil equivalent production in the Delaware Basin for the first quarter of 2022 was 89,400 BOE per day, consisting of 52,300 Bbl of oil per day and 222.5 MMcf of natural gas per day, a 31% increase from 68,000 BOE per day, consisting of 39,900 Bbl of oil per day and 168.5 MMcf of natural gas per day, in the first quarter of 2021. The Delaware Basin contributed approximately 98% of our daily oil production and approximately 92% of our daily natural gas production in the first quarter of 2022, as compared to approximately 96% of our daily oil production and approximately 87% of our daily natural gas production in the first quarter of 2021.</w:t>
      </w:r>
    </w:p>
    <w:p>
      <w:pPr>
        <w:spacing w:after="0" w:line="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we did not turn to sales any operated wells on our leasehold properties in the Eagle Ford shale play in South Texas or in the Haynesville shale and Cotton Valley plays in Northwest Louisiana, although we did participate in the drilling and completion of six gross (0.4 net) non-operated Haynesville shale wells.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 Resources Update</w:t>
      </w:r>
    </w:p>
    <w:p>
      <w:pPr>
        <w:spacing w:after="0" w:line="119"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In February 2022, our Board of Directors (the “Board”) declared a quarterly cash dividend of $0.05 per share of common stock, which was paid on March 14, 2022. In April 2022, the Board declared a quarterly cash dividend of $0.05 per share of common stock payable on June 3, 2022 to shareholders of record as of May 18, 2022.</w:t>
      </w:r>
    </w:p>
    <w:p>
      <w:pPr>
        <w:spacing w:after="0" w:line="68" w:lineRule="exact"/>
        <w:rPr>
          <w:sz w:val="20"/>
          <w:szCs w:val="20"/>
          <w:color w:val="auto"/>
        </w:rPr>
      </w:pPr>
    </w:p>
    <w:p>
      <w:pPr>
        <w:jc w:val="both"/>
        <w:ind w:right="420" w:firstLine="445"/>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we repaid $50.0 million of the borrowings under our fourth amended and restated credit agreement (the “Credit Agreement”). Our outstanding borrowings under our Credit Agreement at March 31, 2022 were $50.0 million. Between March 31, 2022 and April 26, 2022, we repaid the remaining $50.0 million of borrowings under the Credit Agreement.</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In April 2022, the lenders under our Credit Agreement, led by Royal Bank of Canada, completed their review of our proved oil and natural gas reserves, and, as a result, the borrowing base was increased to $2.0 billion from $1.35 billion previously, the Company’s elected borrowing commitment increased to $775.0 million from $700.0 million, the maximum facility amount remained $1.5 billion and one additional bank joined our lending group. In addition, the terms of the Credit Agreement were amended to increase the sublimit for issuances of letters of credit under the Credit Agreement from $50 million to $100 million and replace the London Interbank Offered Rate (“LIBOR”) interest rate benchmark with an Adjusted Term SOFR (as defined in the Credit Agreement) interest rate benchmark. 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(as defined in the Credit Agreement), in each case depending on the level of borrowings under the Credit Agreement. In addition, the Adjusted Term SOFR includes a credit spread adjustment of 0.10% per annum for all interest periods. This April 2022 redetermination constituted the regularly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scheduled May 1 redetermination. Borrowings under the Credit Agreement are limited to the lowest of the borrowing base, the maximum facility amount and the elected borrowing commitment.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recent accounting pronouncements that are expected to have a material impact on our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revenues and production data for the periods indicated:</w:t>
      </w:r>
    </w:p>
    <w:p>
      <w:pPr>
        <w:spacing w:after="0" w:line="23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Revenues (in thousands)</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213,279</w:t>
            </w:r>
          </w:p>
        </w:tc>
      </w:tr>
      <w:tr>
        <w:trPr>
          <w:trHeight w:val="229"/>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102,954</w:t>
            </w:r>
          </w:p>
        </w:tc>
      </w:tr>
      <w:tr>
        <w:trPr>
          <w:trHeight w:val="223"/>
        </w:trPr>
        <w:tc>
          <w:tcPr>
            <w:tcW w:w="8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oil and natural gas revenues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316,233</w:t>
            </w:r>
          </w:p>
        </w:tc>
      </w:tr>
      <w:tr>
        <w:trPr>
          <w:trHeight w:val="229"/>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r>
      <w:tr>
        <w:trPr>
          <w:trHeight w:val="229"/>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r>
      <w:tr>
        <w:trPr>
          <w:trHeight w:val="230"/>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w:t>
            </w:r>
          </w:p>
        </w:tc>
      </w:tr>
      <w:tr>
        <w:trPr>
          <w:trHeight w:val="229"/>
        </w:trPr>
        <w:tc>
          <w:tcPr>
            <w:tcW w:w="8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(43,423)</w:t>
            </w:r>
          </w:p>
        </w:tc>
      </w:tr>
      <w:tr>
        <w:trPr>
          <w:trHeight w:val="223"/>
        </w:trPr>
        <w:tc>
          <w:tcPr>
            <w:tcW w:w="8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266,845</w:t>
            </w:r>
          </w:p>
        </w:tc>
      </w:tr>
      <w:tr>
        <w:trPr>
          <w:trHeight w:val="230"/>
        </w:trPr>
        <w:tc>
          <w:tcPr>
            <w:tcW w:w="8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Net Production Volumes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7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Oil (MBbl)</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30"/>
        </w:trPr>
        <w:tc>
          <w:tcPr>
            <w:tcW w:w="87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Natural gas (Bcf)</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8760" w:type="dxa"/>
            <w:vAlign w:val="bottom"/>
            <w:shd w:val="clear" w:color="auto" w:fill="CCEEFF"/>
          </w:tcPr>
          <w:p>
            <w:pPr>
              <w:ind w:left="760"/>
              <w:spacing w:after="0" w:line="230" w:lineRule="exact"/>
              <w:rPr>
                <w:sz w:val="20"/>
                <w:szCs w:val="20"/>
                <w:color w:val="auto"/>
              </w:rPr>
            </w:pPr>
            <w:r>
              <w:rPr>
                <w:rFonts w:ascii="Times New Roman" w:cs="Times New Roman" w:eastAsia="Times New Roman" w:hAnsi="Times New Roman"/>
                <w:sz w:val="18"/>
                <w:szCs w:val="18"/>
                <w:color w:val="auto"/>
              </w:rPr>
              <w:t>Total oil equivalent (MBOE)</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r>
      <w:tr>
        <w:trPr>
          <w:trHeight w:val="230"/>
        </w:trPr>
        <w:tc>
          <w:tcPr>
            <w:tcW w:w="8760" w:type="dxa"/>
            <w:vAlign w:val="bottom"/>
          </w:tcPr>
          <w:p>
            <w:pPr>
              <w:ind w:left="760"/>
              <w:spacing w:after="0" w:line="230" w:lineRule="exact"/>
              <w:rPr>
                <w:sz w:val="20"/>
                <w:szCs w:val="20"/>
                <w:color w:val="auto"/>
              </w:rPr>
            </w:pPr>
            <w:r>
              <w:rPr>
                <w:rFonts w:ascii="Times New Roman" w:cs="Times New Roman" w:eastAsia="Times New Roman" w:hAnsi="Times New Roman"/>
                <w:sz w:val="18"/>
                <w:szCs w:val="18"/>
                <w:color w:val="auto"/>
              </w:rPr>
              <w:t>Average daily production (BOE/d)</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73,983</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realized derivatives (per Bbl)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29"/>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realized derivatives (per Bbl)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r>
      <w:tr>
        <w:trPr>
          <w:trHeight w:val="230"/>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realized derivatives (per Mcf)</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30"/>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with realized derivatives (per Mcf)</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280" w:hanging="332"/>
        <w:spacing w:after="0" w:line="302"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billion cubic feet of natural gas.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 equivalent, estimated using a conversion ratio of one Bbl of oil per six Mcf of natural gas.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Barrels of oil equivalent per day, estimated using a conversion ratio of one Bbl of oil per six Mcf of natural gas.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March 31, 2022 as Compared to Three Months Ended March 31, 2021</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 xml:space="preserve">Oil and natural gas revenues. </w:t>
      </w:r>
      <w:r>
        <w:rPr>
          <w:rFonts w:ascii="Times New Roman" w:cs="Times New Roman" w:eastAsia="Times New Roman" w:hAnsi="Times New Roman"/>
          <w:sz w:val="17"/>
          <w:szCs w:val="17"/>
          <w:color w:val="auto"/>
        </w:rPr>
        <w:t>Our oil and natural gas revenues increased $310.3 million, or 98%, to $626.5 million for the three months ended March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2022, as compared to $316.2 million for the three months ended March 31, 2021. Our oil revenues increased $246.8 million, or 116%, to $460.1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2022, as compared to $213.3 million for the three months ended March 31, 2021. This increase in oil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resulted from a 67% increase in the weighted average oil price realized for the three months ended March 31, 2022 to $95.45 per Bbl,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$57.05 per Bbl for the three months ended March 31, 2021, and from a 29% increase in our oil production to 4.8 million Bbl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as compared to 3.7 million Bbl for the three months ended March 31, 2021. Our natural gas revenues increased $63.4 million, or 62%,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$166.4 million for the three months ended March 31, 2022, as compared to $103.0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million for the three months ended March 31, 2021. The increase in natural gas revenues resulted from a 30% increase in the weighted average natural gas price realized for the three months ended March 31, 2022 to $7.63 per Mcf, as compared to a weighted average natural gas price of $5.88 per Mcf realized for the three months ended March 31, 2021, and from a 25% increase in our natural gas production to 21.8 Bcf for the three months ended March 31, 2022, as compared to 17.5 Bcf for the three months ended March 31, 2021.</w:t>
      </w:r>
    </w:p>
    <w:p>
      <w:pPr>
        <w:spacing w:after="0" w:line="70"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$1.9 million, or 12%, to $17.3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2022, as compared to $15.4 million for the three months ended March 31, 2021. Third-party midstream services revenues are those revenues from midstream operations related to third parties, including working interest owners in our operated wells. This increase was primarily attributable to an increase in our third-party natural gas gathering, transportation and processing revenues to $7.7 million for the three months ended March 31, 2022, as compared to $6.8 million for the three months ended March 31, 2021, and an increase in our third-party salt water disposal revenues to $7.8 million for the three months ended March 31, 2022, as compared to $6.5 million for the three months ended March 31, 2021.</w:t>
      </w:r>
    </w:p>
    <w:p>
      <w:pPr>
        <w:spacing w:after="0" w:line="74"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increased $14.8 million, over four-fold, to $19.3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2022, as compared to $4.5 million for the three months ended March 31, 2021. This increase was the result of both an increase in purchased natural gas volumes sold and the natural gas price realized during the three months ended March 31, 2022.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 in Eddy County, New Mexico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statements of operations.</w:t>
      </w:r>
    </w:p>
    <w:p>
      <w:pPr>
        <w:spacing w:after="0" w:line="7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Realized loss on derivatives. </w:t>
      </w:r>
      <w:r>
        <w:rPr>
          <w:rFonts w:ascii="Times New Roman" w:cs="Times New Roman" w:eastAsia="Times New Roman" w:hAnsi="Times New Roman"/>
          <w:sz w:val="18"/>
          <w:szCs w:val="18"/>
          <w:color w:val="auto"/>
        </w:rPr>
        <w:t>Our realized net loss on derivatives was $22.4 million for the three months ended March 31, 2022,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net loss of $25.9 million for the three months ended March 31, 2021. We realized a net loss of $18.2 million related to our oil costless collar and oil and oil basis swap contracts for the three months ended March 31, 2022, resulting primarily from oil prices that were above the ceiling prices of certain of our oil costless collar contracts and above the strike prices of certain of our oil and oil basis swap contracts. We realized a net loss of $4.3 million related to our natural gas costless collar contracts for the three months ended March 31, 2022, resulting primarily from natural gas prices that were above the ceiling prices of certain of our natural gas costless collar contracts. We realized an average loss on our oil derivatives of approximately $3.77 per Bbl produced during the three months ended March 31, 2022, as compared to an average loss of approximately $6.97 per Bbl produced during the three months ended March 31, 2021. We realized an average loss on our natural gas derivatives of approximately $0.20 per Mcf produced during the three months ended March 31, 2022, as compared to an average gain on our natural gas derivatives of approximately $0.01 per Mcf produced during the three months ended March 31, 2021.</w:t>
      </w:r>
    </w:p>
    <w:p>
      <w:pPr>
        <w:spacing w:after="0" w:line="77" w:lineRule="exact"/>
        <w:rPr>
          <w:sz w:val="20"/>
          <w:szCs w:val="20"/>
          <w:color w:val="auto"/>
        </w:rPr>
      </w:pPr>
    </w:p>
    <w:p>
      <w:pPr>
        <w:ind w:right="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Unrealized loss on derivatives. </w:t>
      </w:r>
      <w:r>
        <w:rPr>
          <w:rFonts w:ascii="Times New Roman" w:cs="Times New Roman" w:eastAsia="Times New Roman" w:hAnsi="Times New Roman"/>
          <w:sz w:val="18"/>
          <w:szCs w:val="18"/>
          <w:color w:val="auto"/>
        </w:rPr>
        <w:t>Our unrealized net loss on derivatives was $75.0 million for the three months ended March 31, 2022,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unrealized net loss of $43.4 million for the three months ended March 31, 2021. During the three months ended March 31, 2022, the aggregate net fair value of our open oil and natural gas derivative contracts decreased to a net liability of $89.9 million from a net liability of $14.9 million at December 31, 2021, resulting in an unrealized loss on derivatives of $75.0 million for the three months ended March 31, 2022. During the three months ended March 31, 2021, the aggregate net fair value of our open oil and natural gas derivative contracts decreased to a net liability of $79.3 million from a net liability of $35.9 million at December 31, 2020, resulting in an unrealized loss on derivatives of $43.4 million for the three months ended March 31, 2021.</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operating expenses and other income (expense)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r>
      <w:tr>
        <w:trPr>
          <w:trHeight w:val="196"/>
        </w:trPr>
        <w:tc>
          <w:tcPr>
            <w:tcW w:w="8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34,174</w:t>
            </w:r>
          </w:p>
        </w:tc>
      </w:tr>
      <w:tr>
        <w:trPr>
          <w:trHeight w:val="229"/>
        </w:trPr>
        <w:tc>
          <w:tcPr>
            <w:tcW w:w="8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25,939</w:t>
            </w:r>
          </w:p>
        </w:tc>
      </w:tr>
      <w:tr>
        <w:trPr>
          <w:trHeight w:val="229"/>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w:t>
            </w:r>
          </w:p>
        </w:tc>
      </w:tr>
      <w:tr>
        <w:trPr>
          <w:trHeight w:val="230"/>
        </w:trPr>
        <w:tc>
          <w:tcPr>
            <w:tcW w:w="8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natural gas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r>
      <w:tr>
        <w:trPr>
          <w:trHeight w:val="229"/>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74,863</w:t>
            </w:r>
          </w:p>
        </w:tc>
      </w:tr>
      <w:tr>
        <w:trPr>
          <w:trHeight w:val="229"/>
        </w:trPr>
        <w:tc>
          <w:tcPr>
            <w:tcW w:w="8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w:t>
            </w:r>
          </w:p>
        </w:tc>
      </w:tr>
      <w:tr>
        <w:trPr>
          <w:trHeight w:val="223"/>
        </w:trPr>
        <w:tc>
          <w:tcPr>
            <w:tcW w:w="8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174,182</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92,663</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w:t>
            </w:r>
          </w:p>
        </w:tc>
      </w:tr>
      <w:tr>
        <w:trPr>
          <w:trHeight w:val="229"/>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87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(20,325)</w:t>
            </w:r>
          </w:p>
        </w:tc>
      </w:tr>
      <w:tr>
        <w:trPr>
          <w:trHeight w:val="223"/>
        </w:trPr>
        <w:tc>
          <w:tcPr>
            <w:tcW w:w="87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72,338</w:t>
            </w:r>
          </w:p>
        </w:tc>
      </w:tr>
      <w:tr>
        <w:trPr>
          <w:trHeight w:val="23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3"/>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69,498</w:t>
            </w:r>
          </w:p>
        </w:tc>
      </w:tr>
      <w:tr>
        <w:trPr>
          <w:trHeight w:val="230"/>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r>
      <w:tr>
        <w:trPr>
          <w:trHeight w:val="223"/>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207,124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60,645</w:t>
            </w: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8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Expenses per BOE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8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8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4"/>
        </w:trPr>
        <w:tc>
          <w:tcPr>
            <w:tcW w:w="8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bl>
    <w:p>
      <w:pPr>
        <w:spacing w:after="0" w:line="1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March 31, 2022 as Compared to Three Months Ended March 31, 2021</w:t>
      </w:r>
    </w:p>
    <w:p>
      <w:pPr>
        <w:spacing w:after="0" w:line="117" w:lineRule="exact"/>
        <w:rPr>
          <w:sz w:val="20"/>
          <w:szCs w:val="20"/>
          <w:color w:val="auto"/>
        </w:rPr>
      </w:pPr>
    </w:p>
    <w:p>
      <w:pPr>
        <w:ind w:right="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and transportation and processing expenses increased $25.6 million, or 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$59.8 million for the three months ended March 31, 2022, as compared to $34.2 million for the three months ended March 31, 2021. On a unit-of-production basis, our production taxes and transportation and processing expenses increased 38% to $7.07 per BOE for the three months ended March 31, 2022, as compared to $5.13 per BOE for the three months ended March 31, 2021. These increases were attributable to a $25.0 million increase in production taxes to $48.7 million for the three months ended March 31, 2022, as compared to $23.7 million for the three months ended March 31, 2021, primarily due to the significant increase in the weighted average oil and natural gas prices realized between the two periods.</w:t>
      </w:r>
    </w:p>
    <w:p>
      <w:pPr>
        <w:spacing w:after="0" w:line="7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Our lease operating expenses increased $8.0 million, or 31%, to $34.0 million for the three months ended March 31,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$25.9 million for the three months ended March 31, 2021. Our lease operating expenses on a unit-of-production basis increased 3% to $4.01 per BOE for the three months ended March 31, 2022, as compared to $3.90 per BOE for the three months ended March 31, 2021. These increases were primarily attributable to increases in expenses associated with servicing an increased number of operated and non-operated wells and additional workovers for the three months ended March 31, 2022, as compared to the three months ended March 31, 2021.</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$5.8 million, or 42%, to $19.5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2022, as compared to $13.7 million for the three months ended March 31, 2021. This increase was primarily attributable to increased Company and third-party volumes, which caused (i) increased expenses associated with our commercial produced water disposal operations of $10.0 million for the three months ended March 31, 2022, as compared to $7.7 million for the three months ended March 31, 2021, (ii) increased expenses associated with our pipeline operations of $5.6 million for the three months ended March 31, 2022, as compared to $3.2 million for the three months ended March 31, 2021, and (iii) increased expenses associated with operating the Black River Processing Plant of $3.8 million for the three months ended March 31, 2022, as compared to $2.7 million for the three months ended March 31, 2021.</w:t>
      </w:r>
    </w:p>
    <w:p>
      <w:pPr>
        <w:spacing w:after="0" w:line="7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$21.0 million, or 28%, to $95.9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2022, as compared to $74.9 million for the three months ended March 31, 2021, primarily as a result of the 27% increase in our total oil equivalent production for the three months ended March 31, 2022, as compared to March 31, 2021. On a unit-of-production basis, our depletion, depreciation and amortization expenses increased 1% to $11.33 per BOE for the three months ended March 31, 2022, as compared to $11.24 per BOE for the three months ended March 31, 2021.</w:t>
      </w:r>
    </w:p>
    <w:p>
      <w:pPr>
        <w:spacing w:after="0" w:line="75" w:lineRule="exact"/>
        <w:rPr>
          <w:sz w:val="20"/>
          <w:szCs w:val="20"/>
          <w:color w:val="auto"/>
        </w:rPr>
      </w:pPr>
    </w:p>
    <w:p>
      <w:pPr>
        <w:ind w:right="14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increased $7.5 million, or 34%, to $29.7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as compared to $22.2 million for the three months ended March 31, 2021. Our general and administrative expenses increased 6% on a unit-of-production basis to $3.52 per BOE for the three months ended March 31, 2022, as compared to $3.33 per BOE for the three months ended March 31, 2021. These increases were primarily attributable to an increase in employee stock-based compensation expense primarily associated with our cash-settled stock awards, the values of which are remeasured at each reporting period. The share price of our common stock increased by 43% from $36.92 at December 31, 2021 to $52.98 at March 31, 2022.</w:t>
      </w:r>
    </w:p>
    <w:p>
      <w:pPr>
        <w:spacing w:after="0" w:line="74"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three months ended March 31, 2022, we incurred total interest expense of $19.8 million. We capitalized $3.5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on certain qualifying projects for the three months ended March 31, 2022 and expensed the remaining $16.3 million to operations. For the three months ended March 31, 2021, we incurred total interest expense of $20.2 million. We capitalized $0.6 million of our interest expense on certain qualifying projects for the three months ended March 31, 2021 and expensed the remaining $19.7 million to operations.</w:t>
      </w:r>
    </w:p>
    <w:p>
      <w:pPr>
        <w:spacing w:after="0" w:line="72"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As a result of the full-cost ceiling impairments recorded during 2020, we recognized a valuation allowance against our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deferred tax assets as of September 30, 2020. We recorded an income tax provision of $2.8 million for the three months ended March 31, 2021. Our income tax provision differed from amounts computed by applying the U.S. federal statutory rate to the pre-tax income due to recording the net deferred tax liability for state taxes, primarily in New Mexico, and continuing to recognize a valuation allowance against our U.S. federal net deferred tax assets. Due to a variety of factors, including our significant net income during 2021, our federal valuation allowance was reversed in 2021. Our current income tax provision was $15.4 million and our deferred income tax provision was $53.1 million for the three months ended March 31, 2022. Our effective tax rate of 25% for the three months ended March 31, 2022 differed from the U.S. federal statutory rate due primarily to permanent differences between book and taxable income and state taxes, primarily in New Mexico.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to be during the remainder of 2022 and for the foreseeable future, for the acquisition, exploration and development of oil and natural gas properties and for midstream investments. Excluding any possible significant acquisitions, we expect to fund our capital expenditures for the remainder of 2022 primarily through a combination of cash on hand, operating cash flows and performance incentives paid to us by a subsidiary of Five Point Energy LLC, our joint venture partner in San Mateo, in connection with San Mateo. If capital expenditures were to exceed our operating cash flows during the remainder of 2022, we expect to fund any such excess capital expenditures through borrowings under the Credit Agreement or San Mateo’s revolving credit facility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satisfactory terms or at all. Our future success in growing proved reserves and production will be highly dependent on our ability to generate operating cash flows and access outside sources of capital.</w:t>
      </w:r>
    </w:p>
    <w:p>
      <w:pPr>
        <w:spacing w:after="0" w:line="54"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At March 31, 2022, we had cash totaling $63.0 million and restricted cash totaling $57.2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 During the first quarter of 2022, we repaid $50.0 million in borrowings under the Credit Agreement. Between March 31, 2022 and April 26, 2022, we repaid the remaining $50.0 million of borrowings under the Credit Agreement, leaving no outstanding borrowings under the Credit Agreement. During the first quarter of 2022, we borrowed $20.0 million under the San Mateo Credit Facility. Between March 31, 2022 and April 26, 2022, we repaid $30.0 million of borrowings under the San Mateo Credit Facility.</w:t>
      </w:r>
    </w:p>
    <w:p>
      <w:pPr>
        <w:spacing w:after="0" w:line="81"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In February 2022, the Board declared a quarterly cash dividend of $0.05 per share of common stock, which was paid on March 14, 2022. In April 2022, the Board declared a quarterly cash dividend of $0.05 per share of common stock payable on June 3, 2022 to shareholders of record as of May 18, 2022.</w:t>
      </w:r>
    </w:p>
    <w:p>
      <w:pPr>
        <w:spacing w:after="0" w:line="68"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At March 31, 2022, we had (i) $1.05 billion of outstanding 5.875% senior notes due September 2026 (the “Notes”), (ii) $50.0 million in borrowings outstanding under the Credit Agreement and (iii) approximately $45.8 million in outstanding letters of credit issued pursuant to the Credit Agreement. During the first quarter of 2022, the $7.5 million unsecured U.S. Small Business Administration loan was forgiven under the terms of the loan agreement.</w:t>
      </w:r>
    </w:p>
    <w:p>
      <w:pPr>
        <w:spacing w:after="0" w:line="68"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In April 2022, the lenders under our Credit Agreement completed their review of our proved oil and natural gas reserves, and, as a result, the borrowing base was increased to $2.0 billion from $1.35 billion, the borrowing commitment was increased to $775.0 million from $700.0 million and the maximum facility amount remained $1.5 billion. In addition, the terms of the Credit Agreement were amended to increase the sublimit for issuances of letters of credit under the Credit Agreement from $50 million to $100 million and replace the LIBOR interest rate benchmark with an Adjusted Term SOFR interest rate benchmark. After giving effect to the amendment to the Credit Agreement,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in each case depending on the level of borrowings under the Credit Agreement. In addition, the Adjusted Term SOFR includes a credit spread adjustment of 0.10% per annum for all interest periods. Borrowings under the Credit Agreement are limited to the lowest of the borrowing base, the maximum facility amount and the elected commitment (subject to compliance with the covenant noted below). The Credit Agreement matures in October 2026.</w:t>
      </w:r>
    </w:p>
    <w:p>
      <w:pPr>
        <w:spacing w:after="0" w:line="86" w:lineRule="exact"/>
        <w:rPr>
          <w:sz w:val="20"/>
          <w:szCs w:val="20"/>
          <w:color w:val="auto"/>
        </w:rPr>
      </w:pPr>
    </w:p>
    <w:p>
      <w:pPr>
        <w:jc w:val="both"/>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We believe that we were in compliance with the terms of the Credit Agreement at March 31, 2022.</w:t>
      </w:r>
    </w:p>
    <w:p>
      <w:pPr>
        <w:spacing w:after="0" w:line="75"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At March 31, 2022, San Mateo had $405.0 million in borrowings outstanding under the San Mateo Credit Facility and approximately $9.0 million in outstanding letters of credit issued pursuant to the San Mateo Credit Facility. The San Mateo Credit Facility matures December 19, 2023 and the lender commitments under that facility are $450 million (subject to San Mateo’s compliance with the covenants noted below). The San Mateo Credit Facility includes an accordion feature, which provides for potential increases in lender commitments to up to $700.0 million. The San Mateo Credit Facility is guaranteed by San Mateo’s subsidiaries, secured by substantially all of San Mateo’s assets, including real property, and is non-recourse with respect to Matador and its wholly-owned subsidiaries.</w:t>
      </w:r>
    </w:p>
    <w:p>
      <w:pPr>
        <w:spacing w:after="0" w:line="7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March 31, 2022.</w:t>
      </w:r>
    </w:p>
    <w:p>
      <w:pPr>
        <w:spacing w:after="0" w:line="7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During the first quarter of 2022, the oil and natural gas industry experienced continued improvement in commodity prices as compared to the same period in 2021, primarily resulting from (i) improvements in oil demand as the impact from COVID-19 has subsided, (ii) actions taken by the Organization of Petroleum Exporting Countries, Russia and certain other oil-exporting countries (“OPEC+”) to moderate the worldwide supply of oil and (iii) changes in supply and demand dynamics,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particularly with respect to instability in Russia and Ukraine. As a result, West Texas Intermediate (“WTI”) oil prices have increased from $75.21 per barrel at December 31, 2021 to as high as $123.70 per barrel in early March 2022, based upon the WTI oil futures contract price for earliest delivery date. Prices for natural gas were also much higher during the first quarter of 2022 as compared to 2021, increasing from $3.73 per MMBtu at December 31, 2021 to as high as $6.27 in late January 2022, based upon the NYMEX Henry Hub natural gas futures contract price for earliest delivery date. While oil and natural gas prices have improved significantly in 2022, the general outlook for the oil and natural gas industry for the remainder of the year remains unclear, and we can provide no assurances that commodity prices will remain at current levels. In fact, commodity prices may decline from their current levels. The economic disruptions associated with COVID-19 and the conflict between Russia and Ukraine and the volatility in oil and natural gas prices have also impacted our ability to access the capital markets on reasonably similar terms as were available prior to 2020.</w:t>
      </w:r>
    </w:p>
    <w:p>
      <w:pPr>
        <w:spacing w:after="0" w:line="84"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for the remainder of 2022. We began 2022 operating five contracted drilling rigs in the Delaware Basin and, in February 2022, we added a sixth drilling rig. We currently plan to operate six drilling rigs in the Delaware Basin throughout the remainder of 2022. Our 2022 estimated capital expenditure budget consists of $640.0 to $710.0 million for drilling, completing and equipping wells (“D/C/E capital expenditures”) and $50.0 to $60.0 million for midstream capital expenditures, which primarily reflects our proportionate share of San Mateo’s estimated 2022 capital expenditures. Substantially all of these 2022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2022 Delaware Basin operated drilling program is expected to continue to focus on the continued development of our various asset areas throughout the Delaware Basin, with a continued emphasis on drilling and completing a higher percentage of longer horizontal wells in 2022, including 90% with anticipated completed lateral lengths of two miles or greater. We have built significant optionality into our drilling program, which should generally allow us to increase or decrease the number of rigs we operate as necessary based on changing commodity prices and other factors.</w:t>
      </w:r>
    </w:p>
    <w:p>
      <w:pPr>
        <w:spacing w:after="0" w:line="82"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may divest portions of our non-core assets, particularly in the Eagle Ford shale in South Texas and the Haynesville shale and Cotton Valley plays in Northwest Louisiana, as well as consider monetizing other assets, such as certain acreage, mineral and royalty interests and midstream assets, as value-creating opportunities arise. In addition, we intend to continue evaluating the opportunistic acquisition of acreage, mineral and royalty interests and midstream assets, principally in the Delaware Basin, during the remainder of 2022. These monetizations, divestitures and capital expenditures are opportunity-specific, and purchase price multiples and per-acre prices can vary significantly based on the asset or prospect. As a result, it is difficult to estimate these monetizations, divestitures and capital expenditures with any degree of certainty; therefore, we have not provided estimated proceeds related to monetizations or divestitures or estimated capital expenditures related to acquiring acreage, mineral and royalty interests and midstream assets for 2022.</w:t>
      </w:r>
    </w:p>
    <w:p>
      <w:pPr>
        <w:spacing w:after="0" w:line="81"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2022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80"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2022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the remainder of 2022 and the hedges we currently have in place. For further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Note 7 to the interim unaudited condensed consolidated financial statements in this Quarterly Report for a summary of our open derivative financial instruments.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unaudited cash flows for the three months ended March 31, 2022 and 2021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r>
      <w:tr>
        <w:trPr>
          <w:trHeight w:val="19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(108,895)</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(103,626)</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(43,126)</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198,115</w:t>
            </w:r>
          </w:p>
        </w:tc>
      </w:tr>
      <w:tr>
        <w:trPr>
          <w:trHeight w:val="297"/>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85" w:lineRule="exact"/>
        <w:rPr>
          <w:sz w:val="20"/>
          <w:szCs w:val="20"/>
          <w:color w:val="auto"/>
        </w:rPr>
      </w:pPr>
    </w:p>
    <w:p>
      <w:pPr>
        <w:ind w:left="340" w:right="300" w:hanging="332"/>
        <w:spacing w:after="0" w:line="30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(loss) and net cash provided by operating activities, see “—Non-GAAP Financial Measures” below.</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 increased $159.6 million to $329.0 million for the three months ended March 31, 2022 from $169.4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2021. Excluding changes in operating assets and liabilities, net cash provided by operating activities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$260.2 million to $452.9 million for the three months ended March 31, 2022 from $192.7 million for the three months ended March 31, 2021,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significantly higher realized oil and natural gas prices and higher oil and natural gas production for the three months ended March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compared to the three months ended March 31, 2021. Changes in our operating assets and liabilities between the two periods resulted in a net decrease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$100.6 million in net cash provided by operating activities for the three months ended March 31, 2022, as compared to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2021.</w:t>
      </w:r>
    </w:p>
    <w:p>
      <w:pPr>
        <w:spacing w:after="0" w:line="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increased $143.0 million to $251.9 million for the three months ended March 31, 2022 from $108.9 million for the three months ended March 31, 2021. This increase in net cash used in investing activities was primarily due to an increase of $121.8 million in D/C/E capital expenditures and an increase of $37.1 million in expenditures related to acquisition of oil and natural gas properties for the three months ended March 31, 2022, as compared to the three months ended March 31, 2021. Cash used for D/C/E capital expenditures and for the acquisition of oil and natural gas properties for the three months ended March 31, 2022 and 2021 was primarily attributable to our operated and non-operated drilling and completion activities in the Delaware Basin.</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decreased $59.8 million to $43.8 million for the three months ended March 31, 2022 from $103.6 million for the three months ended March 31, 2021. During the three months ended March 31, 2022, our primary uses of cash related to financing activities were for the net repayment of $50.0 million in borrowings under our Credit Agreement. These payments were partially offset by net borrowings under the San Mateo Credit Facility of $20.0 million. During the three months ended March 31, 2021, our primary use of cash related to financing activities was for the repayment of $100.0 million in borrowings under our Credit Agreement.</w:t>
      </w:r>
    </w:p>
    <w:p>
      <w:pPr>
        <w:spacing w:after="0" w:line="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See Note 4 to the interim unaudited condensed consolidated financial statements in this Quarterly Report for a summary of our debt, including the Credit Agreement, the San Mateo Credit Facility and the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Guarantor Financial Information</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Notes are jointly and severally guaranteed by certain subsidiaries of Matador (the “Guarantor Subsidiaries”) on a full and unconditional basis (except for customary release provisions). At March 31, 2022,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are not guarantors of the Notes.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Matador (as issuer of the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0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449,942</w:t>
            </w:r>
          </w:p>
        </w:tc>
      </w:tr>
      <w:tr>
        <w:trPr>
          <w:trHeight w:val="229"/>
        </w:trPr>
        <w:tc>
          <w:tcPr>
            <w:tcW w:w="9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3,184,954</w:t>
            </w:r>
          </w:p>
        </w:tc>
      </w:tr>
      <w:tr>
        <w:trPr>
          <w:trHeight w:val="229"/>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50,171</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520,240</w:t>
            </w:r>
          </w:p>
        </w:tc>
      </w:tr>
      <w:tr>
        <w:trPr>
          <w:trHeight w:val="230"/>
        </w:trPr>
        <w:tc>
          <w:tcPr>
            <w:tcW w:w="9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1,092,975</w:t>
            </w:r>
          </w:p>
        </w:tc>
      </w:tr>
      <w:tr>
        <w:trPr>
          <w:trHeight w:val="229"/>
        </w:trPr>
        <w:tc>
          <w:tcPr>
            <w:tcW w:w="9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189,547</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29"/>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534,492</w:t>
            </w:r>
          </w:p>
        </w:tc>
      </w:tr>
      <w:tr>
        <w:trPr>
          <w:trHeight w:val="22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261,248</w:t>
            </w:r>
          </w:p>
        </w:tc>
      </w:tr>
      <w:tr>
        <w:trPr>
          <w:trHeight w:val="223"/>
        </w:trPr>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273,244</w:t>
            </w:r>
          </w:p>
        </w:tc>
      </w:tr>
      <w:tr>
        <w:trPr>
          <w:trHeight w:val="23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(14,577)</w:t>
            </w:r>
          </w:p>
        </w:tc>
      </w:tr>
      <w:tr>
        <w:trPr>
          <w:trHeight w:val="230"/>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(68,528)</w:t>
            </w:r>
          </w:p>
        </w:tc>
      </w:tr>
      <w:tr>
        <w:trPr>
          <w:trHeight w:val="248"/>
        </w:trPr>
        <w:tc>
          <w:tcPr>
            <w:tcW w:w="9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190,139</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75"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7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r>
      <w:tr>
        <w:trPr>
          <w:trHeight w:val="196"/>
        </w:trPr>
        <w:tc>
          <w:tcPr>
            <w:tcW w:w="85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Income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Matador Resources Company shareholders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207,124</w:t>
            </w:r>
          </w:p>
        </w:tc>
        <w:tc>
          <w:tcPr>
            <w:tcW w:w="10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60,645</w:t>
            </w:r>
          </w:p>
        </w:tc>
        <w:tc>
          <w:tcPr>
            <w:tcW w:w="20" w:type="dxa"/>
            <w:vAlign w:val="bottom"/>
          </w:tcPr>
          <w:p>
            <w:pPr>
              <w:spacing w:after="0"/>
              <w:rPr>
                <w:sz w:val="19"/>
                <w:szCs w:val="19"/>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20" w:type="dxa"/>
            <w:vAlign w:val="bottom"/>
          </w:tcPr>
          <w:p>
            <w:pPr>
              <w:spacing w:after="0"/>
              <w:rPr>
                <w:sz w:val="19"/>
                <w:szCs w:val="19"/>
                <w:color w:val="auto"/>
              </w:rPr>
            </w:pP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20" w:type="dxa"/>
            <w:vAlign w:val="bottom"/>
          </w:tcPr>
          <w:p>
            <w:pPr>
              <w:spacing w:after="0"/>
              <w:rPr>
                <w:sz w:val="19"/>
                <w:szCs w:val="19"/>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20" w:type="dxa"/>
            <w:vAlign w:val="bottom"/>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0" w:type="dxa"/>
            <w:vAlign w:val="bottom"/>
          </w:tcPr>
          <w:p>
            <w:pPr>
              <w:spacing w:after="0"/>
              <w:rPr>
                <w:sz w:val="19"/>
                <w:szCs w:val="19"/>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74,863</w:t>
            </w:r>
          </w:p>
        </w:tc>
        <w:tc>
          <w:tcPr>
            <w:tcW w:w="20" w:type="dxa"/>
            <w:vAlign w:val="bottom"/>
          </w:tcPr>
          <w:p>
            <w:pPr>
              <w:spacing w:after="0"/>
              <w:rPr>
                <w:sz w:val="19"/>
                <w:szCs w:val="19"/>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43,423</w:t>
            </w:r>
          </w:p>
        </w:tc>
        <w:tc>
          <w:tcPr>
            <w:tcW w:w="20" w:type="dxa"/>
            <w:vAlign w:val="bottom"/>
          </w:tcPr>
          <w:p>
            <w:pPr>
              <w:spacing w:after="0"/>
              <w:rPr>
                <w:sz w:val="19"/>
                <w:szCs w:val="19"/>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19"/>
                <w:szCs w:val="19"/>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related to contingent consideration and other</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211,629</w:t>
            </w:r>
          </w:p>
        </w:tc>
        <w:tc>
          <w:tcPr>
            <w:tcW w:w="20" w:type="dxa"/>
            <w:vAlign w:val="bottom"/>
          </w:tcPr>
          <w:p>
            <w:pPr>
              <w:spacing w:after="0"/>
              <w:rPr>
                <w:sz w:val="19"/>
                <w:szCs w:val="19"/>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0" w:type="dxa"/>
            <w:vAlign w:val="bottom"/>
          </w:tcPr>
          <w:p>
            <w:pPr>
              <w:spacing w:after="0"/>
              <w:rPr>
                <w:sz w:val="19"/>
                <w:szCs w:val="19"/>
                <w:color w:val="auto"/>
              </w:rPr>
            </w:pP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198,115</w:t>
            </w:r>
          </w:p>
        </w:tc>
        <w:tc>
          <w:tcPr>
            <w:tcW w:w="20" w:type="dxa"/>
            <w:vAlign w:val="bottom"/>
          </w:tcPr>
          <w:p>
            <w:pPr>
              <w:spacing w:after="0"/>
              <w:rPr>
                <w:sz w:val="21"/>
                <w:szCs w:val="2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7"/>
        </w:trPr>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r>
      <w:tr>
        <w:trPr>
          <w:trHeight w:val="194"/>
        </w:trPr>
        <w:tc>
          <w:tcPr>
            <w:tcW w:w="8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Cash Provided by Operating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328,954</w:t>
            </w:r>
          </w:p>
        </w:tc>
        <w:tc>
          <w:tcPr>
            <w:tcW w:w="10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169,395</w:t>
            </w:r>
          </w:p>
        </w:tc>
        <w:tc>
          <w:tcPr>
            <w:tcW w:w="20" w:type="dxa"/>
            <w:vAlign w:val="bottom"/>
          </w:tcPr>
          <w:p>
            <w:pPr>
              <w:spacing w:after="0"/>
              <w:rPr>
                <w:sz w:val="19"/>
                <w:szCs w:val="19"/>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20" w:type="dxa"/>
            <w:vAlign w:val="bottom"/>
            <w:shd w:val="clear" w:color="auto" w:fill="CCEEFF"/>
          </w:tcPr>
          <w:p>
            <w:pPr>
              <w:spacing w:after="0"/>
              <w:rPr>
                <w:sz w:val="19"/>
                <w:szCs w:val="19"/>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non-cash portion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18,926</w:t>
            </w:r>
          </w:p>
        </w:tc>
        <w:tc>
          <w:tcPr>
            <w:tcW w:w="20" w:type="dxa"/>
            <w:vAlign w:val="bottom"/>
          </w:tcPr>
          <w:p>
            <w:pPr>
              <w:spacing w:after="0"/>
              <w:rPr>
                <w:sz w:val="19"/>
                <w:szCs w:val="19"/>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related to contingent consideration and other</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198,115</w:t>
            </w:r>
          </w:p>
        </w:tc>
        <w:tc>
          <w:tcPr>
            <w:tcW w:w="20" w:type="dxa"/>
            <w:vAlign w:val="bottom"/>
            <w:tcBorders>
              <w:bottom w:val="single" w:sz="8" w:color="auto"/>
            </w:tcBorders>
          </w:tcPr>
          <w:p>
            <w:pPr>
              <w:spacing w:after="0"/>
              <w:rPr>
                <w:sz w:val="19"/>
                <w:szCs w:val="19"/>
                <w:color w:val="auto"/>
              </w:rPr>
            </w:pPr>
          </w:p>
        </w:tc>
      </w:tr>
      <w:tr>
        <w:trPr>
          <w:trHeight w:val="21"/>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2022, net income attributable to Matador shareholders increased $146.5 million to $207.1 million, as compared to net income attributable to Matador shareholders of $60.6 million for the three months ended March 31, 2021. The increase in net income attributable to Matador shareholders primarily resulted from higher oil and natural gas production and higher realized oil and natural gas prices for the three months ended March 31, 2022, as compared to the three months ended March 31, 2021. This change was partially offset by a higher unrealized loss on derivatives of $75.0 million for the three months ended March 31, 2022, as compared to $43.4 million for the three months ended March 31, 2021, and an increase in the total income tax provision to $68.5 million for the three months ended March 31, 2022, as compared to $2.8 million for the three months ended March 31, 2021.</w:t>
      </w:r>
    </w:p>
    <w:p>
      <w:pPr>
        <w:spacing w:after="0" w:line="81"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Adjusted EBITDA, a non-GAAP financial measure, increased $263.7 million to $461.8 million for the three months ended March 31, 2022, as compared to $198.1 million for the three months ended March 31, 2021. This increase is primarily attributable to higher oil and natural gas production and higher realized oil and natural gas prices for the three months ended March 31, 2022, as compared to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time-to-time, we enter into off-balance sheet arrangements and transactions that can give rise to material off-balance sheet obligations.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March 31, 2022, the material off-balance sheet arrangements and transactions that we have entered into include (i) non-operated drilling commitments,</w:t>
      </w:r>
    </w:p>
    <w:p>
      <w:pPr>
        <w:spacing w:after="0" w:line="9" w:lineRule="exact"/>
        <w:rPr>
          <w:sz w:val="20"/>
          <w:szCs w:val="20"/>
          <w:color w:val="auto"/>
        </w:rPr>
      </w:pPr>
    </w:p>
    <w:p>
      <w:pPr>
        <w:ind w:right="140" w:firstLine="8"/>
        <w:spacing w:after="0" w:line="25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March 31,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Less</w:t>
            </w:r>
          </w:p>
        </w:tc>
        <w:tc>
          <w:tcPr>
            <w:tcW w:w="260" w:type="dxa"/>
            <w:vAlign w:val="bottom"/>
          </w:tcPr>
          <w:p>
            <w:pPr>
              <w:spacing w:after="0"/>
              <w:rPr>
                <w:sz w:val="11"/>
                <w:szCs w:val="11"/>
                <w:color w:val="auto"/>
              </w:rPr>
            </w:pPr>
          </w:p>
        </w:tc>
        <w:tc>
          <w:tcPr>
            <w:tcW w:w="8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8"/>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5"/>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Borrowings, including letters of credit</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leases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Non-operated drilling and other capital commitments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Drilling rig contracts</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retirement obligations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0" w:type="dxa"/>
            <w:vAlign w:val="bottom"/>
          </w:tcPr>
          <w:p>
            <w:pPr>
              <w:spacing w:after="0"/>
              <w:rPr>
                <w:sz w:val="1"/>
                <w:szCs w:val="1"/>
                <w:color w:val="auto"/>
              </w:rPr>
            </w:pPr>
          </w:p>
        </w:tc>
      </w:tr>
      <w:tr>
        <w:trPr>
          <w:trHeight w:val="181"/>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 with</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non-affiliates</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217,440</w:t>
            </w:r>
          </w:p>
        </w:tc>
        <w:tc>
          <w:tcPr>
            <w:tcW w:w="0" w:type="dxa"/>
            <w:vAlign w:val="bottom"/>
          </w:tcPr>
          <w:p>
            <w:pPr>
              <w:spacing w:after="0"/>
              <w:rPr>
                <w:sz w:val="1"/>
                <w:szCs w:val="1"/>
                <w:color w:val="auto"/>
              </w:rPr>
            </w:pPr>
          </w:p>
        </w:tc>
      </w:tr>
      <w:tr>
        <w:trPr>
          <w:trHeight w:val="181"/>
        </w:trPr>
        <w:tc>
          <w:tcPr>
            <w:tcW w:w="5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Transportation, gathering, processing and disposal agreements with</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San Mateo</w:t>
            </w:r>
            <w:r>
              <w:rPr>
                <w:rFonts w:ascii="Times New Roman" w:cs="Times New Roman" w:eastAsia="Times New Roman" w:hAnsi="Times New Roman"/>
                <w:sz w:val="23"/>
                <w:szCs w:val="23"/>
                <w:color w:val="auto"/>
                <w:vertAlign w:val="superscript"/>
              </w:rPr>
              <w:t>(7)</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351,691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2,579,648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252,655</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340" w:right="160" w:hanging="332"/>
        <w:spacing w:after="0" w:line="266"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March 31, 2022, we had $50.0 million in borrowings outstanding under the Credit Agreement and approximately $45.8 million in outstanding letters of credit issued pursuant to the Credit Agreement. The Credit Agreement matures in October 2026. At March 31, 2022, San Mateo had $405.0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2.2% and 2.5%, respectively, for the Credit Agreement and the San Mateo Credit Facility at March 31, 2022, the interest expense for such facilities is expected to be approximately $1.1 million and $10.1 million, respectively, each year until maturity.</w:t>
      </w:r>
    </w:p>
    <w:p>
      <w:pPr>
        <w:spacing w:after="0" w:line="79" w:lineRule="exact"/>
        <w:rPr>
          <w:rFonts w:ascii="Times New Roman" w:cs="Times New Roman" w:eastAsia="Times New Roman" w:hAnsi="Times New Roman"/>
          <w:sz w:val="14"/>
          <w:szCs w:val="14"/>
          <w:color w:val="auto"/>
        </w:rPr>
      </w:pPr>
    </w:p>
    <w:p>
      <w:pPr>
        <w:ind w:left="340" w:right="360" w:hanging="332"/>
        <w:spacing w:after="0" w:line="30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$1.05 billion of Notes that were outstanding as of March 31, 2022 is expected to be approximately $61.7 million each year until maturity.</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2022, we had outstanding commitments to drill and complete and to participate in the drilling and completion of various operated and non-operated wells.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we enter into contracts with third parties for such drilling rigs.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March 31, 2022.</w:t>
      </w:r>
    </w:p>
    <w:p>
      <w:pPr>
        <w:spacing w:after="0" w:line="122" w:lineRule="exact"/>
        <w:rPr>
          <w:rFonts w:ascii="Times New Roman" w:cs="Times New Roman" w:eastAsia="Times New Roman" w:hAnsi="Times New Roman"/>
          <w:sz w:val="14"/>
          <w:szCs w:val="14"/>
          <w:color w:val="auto"/>
        </w:rPr>
      </w:pPr>
    </w:p>
    <w:p>
      <w:pPr>
        <w:ind w:left="340" w:right="120" w:hanging="332"/>
        <w:spacing w:after="0" w:line="268"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340" w:right="80" w:hanging="332"/>
        <w:spacing w:after="0" w:line="275"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dedicated to San Mateo our current and certain future leasehold interests in the Rustler Breaks and Wolf asset areas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processing agreements. See Note 9 to the interim unaudited condensed consolidated financial statements in this Quarterly Report for more information about these contractual commitments.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conflict between Russia and Ukraine as well as political instability in China and the Middle East, the actions of OPEC+, the ongoing impact of COVID-19, weather, pipeline capacity constraints, inventory storage levels, oil and natural gas price differentials and other factors.</w:t>
      </w:r>
    </w:p>
    <w:p>
      <w:pPr>
        <w:spacing w:after="0" w:line="75" w:lineRule="exact"/>
        <w:rPr>
          <w:sz w:val="20"/>
          <w:szCs w:val="20"/>
          <w:color w:val="auto"/>
        </w:rPr>
      </w:pPr>
    </w:p>
    <w:p>
      <w:pPr>
        <w:jc w:val="both"/>
        <w:ind w:right="100" w:firstLine="445"/>
        <w:spacing w:after="0" w:line="272" w:lineRule="auto"/>
        <w:rPr>
          <w:sz w:val="20"/>
          <w:szCs w:val="20"/>
          <w:color w:val="auto"/>
        </w:rPr>
      </w:pPr>
      <w:r>
        <w:rPr>
          <w:rFonts w:ascii="Times New Roman" w:cs="Times New Roman" w:eastAsia="Times New Roman" w:hAnsi="Times New Roman"/>
          <w:sz w:val="17"/>
          <w:szCs w:val="17"/>
          <w:color w:val="auto"/>
        </w:rPr>
        <w:t>The prices we receive for oil, natural gas and NGLs heavily influence our revenues,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See “Risk Factors—Risks Related to our Financial Condition—Our success is dependent on the prices of oil and natural gas. Low oil and natural gas prices and the continued volatility in these prices may adversely affect our financial condition and our ability to meet our capital expenditure requirements and financial obligations” in the Annual Report.</w:t>
      </w:r>
    </w:p>
    <w:p>
      <w:pPr>
        <w:spacing w:after="0" w:line="79"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oil prices averaged $95.01 per Bbl, ranging from a low of $76.08 per Bbl in early January to a high of $123.70 per Bbl in early March, based upon the WTI oil futures contract price for the earliest delivery date. We realized a weighted average oil price of $95.45 per Bbl ($91.68 per Bbl including realized losses from oil derivatives) for our oil production for the three months ended March 31, 2022, as compared to $57.05 per Bbl ($50.08 per Bbl including realized losses from oil derivatives) for our oil production for the three months ended March 31, 2021. At April 26, 2022, the WTI oil futures contract for the earliest delivery date had increased from the average price for the first quarter of 2022 of $95.01 per Bbl, settling at $101.70 per Bbl, which was a significant increase as compared to $61.91 per Bbl at April 26, 2021.</w:t>
      </w:r>
    </w:p>
    <w:p>
      <w:pPr>
        <w:spacing w:after="0" w:line="79"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Natural gas prices were also higher in the first quarter of 2022, as compared to the first quarter of 2021. For the three months ended March 31, 2022, natural gas prices averaged $4.59 per MMBtu, ranging from a low of $3.72 per MMBtu in early January to a high of $6.27 per MMBtu in late January, based upon the NYMEX Henry Hub natural gas futures contract price for the earliest delivery date. We realized a weighted average natural gas price of $7.63 per Mcf ($7.43 per Mcf including realized losses from natural gas derivatives) for our natural gas production (including revenues attributable to NGLs) for the three months ended March 31, 2022, as compared to $5.88 per Mcf ($5.89 per Mcf including realized gains from natural gas derivatives) for our natural gas production (including revenues attributable to NGLs) for the three months ended March 31, 2021. Certain volumes of our natural gas production are sold at prices established at the beginning of each month by the various markets where we sell our natural gas production, and certain volumes of our natural gas production are sold at daily market prices. NGL prices, and especially propane prices, were also strong in the first quarter of 2022, which further contributed to our first quarter weighted average realized natural gas price. At April 26, 2022, the NYMEX Henry Hub natural gas futures contract price for the earliest delivery date had increased from the average price for the first quarter of 2022 of $4.59 per MMBtu, settling at $6.85 per MMBtu, which was also a significant increase as compared to $2.79 per MMBtu at April 26, 2021.</w:t>
      </w:r>
    </w:p>
    <w:p>
      <w:pPr>
        <w:spacing w:after="0" w:line="84"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three months of 2022, we incurred realized losses on our oil derivative contracts of approximately $18.2 million, primarily as a result of oil prices that were above the ceiling prices of certain of our oil costless collar contracts and above the strike price of certain of our oil basis swap contracts. We also incurred losses on our natural gas derivative contracts of approximately $4.3 million during the first quarter of 2022 as a result of natural gas prices that were above the ceiling prices of certain of our natural gas costless collar contracts. At April 26, 2022, adjusted for derivative contracts entered into between March 1 and April 26, 2022, we have derivative contracts in place for approximately 8.1 million Bbl of our anticipated oil production for the second through fourth quarters of 2022 and approximately 48.4 Bcf of our anticipated natural gas production for the second through fourth quarters of 2022 and 2.4 Bcf of our anticipated natural gas production for the first quarter of 2023.</w:t>
      </w:r>
    </w:p>
    <w:p>
      <w:pPr>
        <w:spacing w:after="0" w:line="84"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March 31, 2022, most of our oil production from the Delaware Basin was sold based 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68" w:lineRule="exact"/>
        <w:rPr>
          <w:sz w:val="20"/>
          <w:szCs w:val="20"/>
          <w:color w:val="auto"/>
        </w:rPr>
      </w:pPr>
    </w:p>
    <w:p>
      <w:pPr>
        <w:ind w:right="420" w:firstLine="445"/>
        <w:spacing w:after="0" w:line="266" w:lineRule="auto"/>
        <w:rPr>
          <w:sz w:val="20"/>
          <w:szCs w:val="20"/>
          <w:color w:val="auto"/>
        </w:rPr>
      </w:pPr>
      <w:r>
        <w:rPr>
          <w:rFonts w:ascii="Times New Roman" w:cs="Times New Roman" w:eastAsia="Times New Roman" w:hAnsi="Times New Roman"/>
          <w:sz w:val="18"/>
          <w:szCs w:val="18"/>
          <w:color w:val="auto"/>
        </w:rPr>
        <w:t>The Midland-Cushing (Oklahoma) oil price differential has been highly volatile in recent years. At April 26, 2022, this oil price differential was positive at approximately +$0.80 per Bbl. At April 26, 2022, we had derivative contracts in place to mitigate our exposure to this Midland-Cushing (Oklahoma) oil price differential on a portion of our anticipated full year 2022 oil production.</w:t>
      </w:r>
    </w:p>
    <w:p>
      <w:pPr>
        <w:spacing w:after="0" w:line="68"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Certain volumes of our Delaware Basin natural gas production are exposed to the Waha-Henry Hub basis differential, which has also been highly volatile in recent years. In early 2022, concerns about natural gas pipeline takeaway capacity out of the Delaware Basin, particularly beginning in the latter half of 2022 and into 2023, began to increase. As a result, the Waha basis differential began to widen, and, at April 26, 2022, this natural gas price differential was approximately ($1.30) per MMBtu. A significant portion of our Delaware Basin natural gas production, however, is sold at Houston Ship Channel pricing and is not exposed to Waha pricing. During 2021 and through the first quarter of 2022, we typically realized a premium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8% of our reported natural gas production for the three months ended March 31, 2022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86"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At April 26, 2022,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 Should we experience future periods of negative pricing for natural gas as we have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 in 2022.</w:t>
      </w:r>
    </w:p>
    <w:p>
      <w:pPr>
        <w:spacing w:after="0" w:line="81"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As a result of the recent increases in oil and natural gas prices, we have begun to experience inflation in the costs of certain oilfield services, including diesel, steel, labor, trucking, sand, personnel and completion costs, among others. Should oil and natural gas prices remain at their current levels or increase further, we expect to be subject to additional service cost inflation in future periods, which may increase our costs to drill, complete, equip and operate wells. We budgeted a 10 to 15% increase in oilfield service costs, as compared to the fourth quarter of 2021, in preparing our full-year D/C/E and midstream capital expenditures for 2022. Should we experience service cost inflation above 10 to 15% during the remainder of 2022, we may be required to increase our 2022 estimated capital expenditure budget. Further, during the the remainder of 2022, supply chain disruptions being experienced throughout the United States and global economy and in the oil and natural gas industry may limit our ability to procure the necessary products and services we need for drilling, completing and producing wells in a timely fashion, which could result in delays to our operations and could, in turn, adversely affect our business, financial condition, results of operations and cash flows.</w:t>
      </w:r>
    </w:p>
    <w:p>
      <w:pPr>
        <w:spacing w:after="0" w:line="8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addition, should oil and natural gas prices remain at their current levels throughout the remainder of 2022, we expect to exhaust our federal or state net operating loss carryforwards and become subject to federal and state income taxes in future periods. At April 26, 2022, given our current projections, we expect to pay federal income taxes and state income taxes in New Mexico beginning in 2022, as reflected by our current income tax provision of $15.4 million for the three months ended March 31, 2022.</w:t>
      </w:r>
    </w:p>
    <w:p>
      <w:pPr>
        <w:spacing w:after="0" w:line="7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“enforceable regulatory framework” to ensure methane emission reductions. In 2021, the New Mexico Oil Conservation Division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has proposed similar rules and regulations.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w:t>
      </w:r>
    </w:p>
    <w:p>
      <w:pPr>
        <w:spacing w:after="0" w:line="79"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has lapsed at March 31, 2022. In 2019, 2020 and 2021, an environmental group filed three lawsuits in federal district courts in New Mexico and the District of Columbia challenging certain Bureau of Land Management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BLM has, at times, indicated that the lease sale litigation and the social cost of carbon litigation may delay lease sales and the approval of drilling permits. The impact of federal actions and lawsuits related to the oil and natural gas industry remains unclear, and should other limitations or prohibitions be imposed or continue to be applied, our operations on federal lands could be adversely impacted. Such limitations or prohibitions would almost certainly impact our 2022 and future drilling and completion plans and could materially impact our production volumes, revenues, reserves, cash flows and availability under our Credit Agreement. See “Risk Factors—Risks Related to Laws and Regulations” in the Annual Report.</w:t>
      </w:r>
    </w:p>
    <w:p>
      <w:pPr>
        <w:spacing w:after="0" w:line="82"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w:t>
      </w:r>
    </w:p>
    <w:p>
      <w:pPr>
        <w:spacing w:after="0" w:line="8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Certain segments of the investor community have recently expressed negative sentiment towards investing in the oil and natural gas industry. Equity returns in the sector prior to 2021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7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sources and effects of our market risk since December 31, 2021, which are disclosed in Part II, Item 7A of the Annual Report and incorporated herein by reference.</w:t>
      </w:r>
    </w:p>
    <w:p>
      <w:pPr>
        <w:spacing w:after="0" w:line="52" w:lineRule="exact"/>
        <w:rPr>
          <w:sz w:val="20"/>
          <w:szCs w:val="20"/>
          <w:color w:val="auto"/>
        </w:rPr>
      </w:pPr>
    </w:p>
    <w:p>
      <w:pPr>
        <w:jc w:val="both"/>
        <w:ind w:right="2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w:t>
      </w:r>
    </w:p>
    <w:p>
      <w:pPr>
        <w:spacing w:after="0" w:line="84"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We record all derivative financial instruments at fair value. The fair value of our derivative financial instruments is determined using purchase and sale information available for similarly traded securities. At March 31, 2022, The Bank of Nova Scotia, BMO Harris Financing (Bank of Montreal), PNC Bank, Royal Bank of Canada and Truist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Principal Financial Officer. Based on that evaluation, our Chief Executive Officer and our Principal Financial Officer concluded that the Company’s disclosure controls and procedures were effective as of March 31, 2022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Principal Financial Officer, as appropriate to allow timely decisions regarding required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92"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during the three months ended March 31, 2022 that have materially affected or are reasonably likely to have a material effect on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on our legal proceeding with the Environmental Protection Agency and the New Mexico Environment Department, see “Item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 in the Annual Report. There have been no material changes regarding such legal proceeding.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are subject to various risks and uncertainties in the course of our business. For a discussion of such risks and uncertainties, please see “Item 1A.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in the Annual Report. There have been no material changes to the risk factors we have disclosed in the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74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2022, the Company re-acquired shares of common stock from certain employees in order to satisfy the employees’ tax liability in connection with the vesting of restricted stock.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January 1, 2022 to January 31, 2022</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February 1, 2022 to February 28, 2022</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March 1, 2022 to March 31, 2022</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6"/>
        </w:trPr>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43"/>
        </w:trPr>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0" w:type="dxa"/>
            <w:vAlign w:val="bottom"/>
          </w:tcPr>
          <w:p>
            <w:pPr>
              <w:spacing w:after="0"/>
              <w:rPr>
                <w:sz w:val="1"/>
                <w:szCs w:val="1"/>
                <w:color w:val="auto"/>
              </w:rPr>
            </w:pPr>
          </w:p>
        </w:tc>
      </w:tr>
      <w:tr>
        <w:trPr>
          <w:trHeight w:val="218"/>
        </w:trPr>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8"/>
                <w:szCs w:val="18"/>
                <w:color w:val="auto"/>
              </w:rPr>
            </w:pPr>
          </w:p>
        </w:tc>
        <w:tc>
          <w:tcPr>
            <w:tcW w:w="184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90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Pr>
          <w:p>
            <w:pPr>
              <w:spacing w:after="0"/>
              <w:rPr>
                <w:sz w:val="20"/>
                <w:szCs w:val="20"/>
                <w:color w:val="auto"/>
              </w:rPr>
            </w:pP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-334010</wp:posOffset>
            </wp:positionV>
            <wp:extent cx="683196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14605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-633730</wp:posOffset>
            </wp:positionV>
            <wp:extent cx="683196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15430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3680" w:space="720"/>
            <w:col w:w="6820"/>
          </w:cols>
          <w:pgMar w:left="320" w:top="121" w:right="359" w:bottom="1440" w:gutter="0" w:footer="0" w:header="0"/>
          <w:type w:val="continuous"/>
        </w:sectPr>
      </w:pPr>
    </w:p>
    <w:p>
      <w:pPr>
        <w:ind w:left="340" w:right="140" w:hanging="332"/>
        <w:spacing w:after="0" w:line="302"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On April 25, 2022, the Company entered into a First Amendment to Fourth Amended and Restated Credit Agreement (the “Amendment”), which amends the Credit Agreement to, among other things: (i) increase the borrowing base from $1.35 billion to $2.0 billion; (ii) increase the borrowing commitment from $700 million to $775 million; (iii) increase the sublimit for issuances of letters of credit under the Credit Agreement from $50 million to $100 million; and (iv) replace the LIBOR interest rate benchmark with an Adjusted Term SOFR interest rate benchmark.</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This April 2022 redetermination of the borrowing base pursuant to the Amendment constituted the regularly scheduled May 1 redetermination. After giving effect to the Amendment, the applicable interest rate margin for borrowings under the Credit Agreement ranges from 1.75% to 2.75% per annum for borrowings bearing interest with reference to the Adjusted Term SOFR and from 0.75% to 1.75% per annum for borrowings bearing interest with reference to the Alternate Base Rate, in each case depending on the level of borrowings under the Credit Agreement. In addition, the Adjusted Term SOFR includes a credit spread adjustment of 0.10% per annum for all interest periods.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Amendment, which is included in this Quarterly Report as Exhibit 10.1 and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5300" w:type="dxa"/>
            <w:vAlign w:val="bottom"/>
            <w:gridSpan w:val="18"/>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300" w:type="dxa"/>
            <w:vAlign w:val="bottom"/>
            <w:gridSpan w:val="1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900" w:type="dxa"/>
            <w:vAlign w:val="bottom"/>
            <w:tcBorders>
              <w:top w:val="single" w:sz="8" w:color="auto"/>
            </w:tcBorders>
            <w:gridSpan w:val="21"/>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Certificate of Formation of Matador Resources Company (incorporated by reference to Exhibit 3.2</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to the Quarterly Report on Form 10-Q for the quarter ended June 30, 2017).</w:t>
              </w:r>
            </w:hyperlink>
          </w:p>
        </w:tc>
        <w:tc>
          <w:tcPr>
            <w:tcW w:w="3380" w:type="dxa"/>
            <w:vAlign w:val="bottom"/>
            <w:tcBorders>
              <w:top w:val="single" w:sz="8" w:color="0000FF"/>
            </w:tcBorders>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Amendment to the Amended and Restated Certificate of Formation of Matador Resources Company dated</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April 2, 2015 (incorporated by reference to Exhibit 3.3 to the Quarterly Report on Form 10-Q for the quarter ended June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8">
              <w:r>
                <w:rPr>
                  <w:rFonts w:ascii="Times New Roman" w:cs="Times New Roman" w:eastAsia="Times New Roman" w:hAnsi="Times New Roman"/>
                  <w:sz w:val="18"/>
                  <w:szCs w:val="18"/>
                  <w:color w:val="0000FF"/>
                  <w:w w:val="97"/>
                </w:rPr>
                <w:t>30, 2017).</w:t>
              </w:r>
            </w:hyperlink>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Amendment to the Amended and Restated Certificate of Formation of Matador Resources Company</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21"/>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effective June 2, 2017 (incorporated by reference to Exhibit 3.4 to the Quarterly Report on Form 10-Q for the quarter</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ended June 30, 2017).</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Amended and Restated Bylaws of Matador Resources Company, as amended (incorporated by reference to Exhibit 3.1 to</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the Current Report on Form 8-K filed on February 22, 2018).</w:t>
              </w:r>
            </w:hyperlink>
          </w:p>
        </w:tc>
        <w:tc>
          <w:tcPr>
            <w:tcW w:w="43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First Amendment to Fourth Amended and Restated Credit Agreement dated as of April 25, 2022, by and among MRC</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Energy Company, as Borrower, the lending entities from time to time parties thereto as Lenders, and Royal Bank of</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Canada, as Administrative Agent (filed herewith).</w:t>
            </w:r>
          </w:p>
        </w:tc>
        <w:tc>
          <w:tcPr>
            <w:tcW w:w="2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Advisor Agreement between MRC Energy Company and Matthew V. Hairford, effective March 31, 2022 (incorporated by</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reference to Exhibit 10.1 to the Current Report on Form 8-K filed on April 4, 2022).</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2460" w:type="dxa"/>
            <w:vAlign w:val="bottom"/>
            <w:tcBorders>
              <w:left w:val="single" w:sz="8" w:color="0000FF"/>
            </w:tcBorders>
            <w:gridSpan w:val="3"/>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24"/>
                <w:szCs w:val="24"/>
                <w:color w:val="auto"/>
              </w:rPr>
            </w:pPr>
          </w:p>
        </w:tc>
        <w:tc>
          <w:tcPr>
            <w:tcW w:w="8900" w:type="dxa"/>
            <w:vAlign w:val="bottom"/>
            <w:gridSpan w:val="21"/>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Advisor Agreement between MRC Energy Company and David E. Lancaster, effective March 31, 2022 (incorporated by</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reference to Exhibit 10.2 to the Current Report on Form 8-K filed on April 4, 2022).</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2460" w:type="dxa"/>
            <w:vAlign w:val="bottom"/>
            <w:tcBorders>
              <w:left w:val="single" w:sz="8" w:color="0000FF"/>
            </w:tcBorders>
            <w:gridSpan w:val="3"/>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 (filed herewith).</w:t>
            </w: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 (filed herewith).</w:t>
            </w:r>
          </w:p>
        </w:tc>
        <w:tc>
          <w:tcPr>
            <w:tcW w:w="40" w:type="dxa"/>
            <w:vAlign w:val="bottom"/>
            <w:tcBorders>
              <w:top w:val="single" w:sz="8" w:color="0000FF"/>
            </w:tcBorders>
          </w:tcPr>
          <w:p>
            <w:pPr>
              <w:spacing w:after="0"/>
              <w:rPr>
                <w:sz w:val="22"/>
                <w:szCs w:val="22"/>
                <w:color w:val="auto"/>
              </w:rPr>
            </w:pPr>
          </w:p>
        </w:tc>
        <w:tc>
          <w:tcPr>
            <w:tcW w:w="2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5140" w:type="dxa"/>
            <w:vAlign w:val="bottom"/>
            <w:tcBorders>
              <w:left w:val="single" w:sz="8" w:color="0000FF"/>
            </w:tcBorders>
            <w:gridSpan w:val="1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 (furnished herewith).</w:t>
            </w: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900" w:right="439" w:hanging="582"/>
        <w:spacing w:after="0" w:line="217"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Quarterly Report on Form 10-Q for the quarter ended March 31, 2022,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65" w:lineRule="exact"/>
        <w:rPr>
          <w:sz w:val="20"/>
          <w:szCs w:val="20"/>
          <w:color w:val="auto"/>
        </w:rPr>
      </w:pPr>
    </w:p>
    <w:p>
      <w:pPr>
        <w:ind w:left="900" w:hanging="582"/>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(included as Exhibit 101).</w:t>
      </w:r>
    </w:p>
    <w:p>
      <w:pPr>
        <w:spacing w:after="0" w:line="38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MATADOR RESOURCES COMPANY</w:t>
            </w:r>
          </w:p>
        </w:tc>
      </w:t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1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2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5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2022</w:t>
            </w:r>
          </w:p>
        </w:tc>
        <w:tc>
          <w:tcPr>
            <w:tcW w:w="1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By:</w:t>
            </w:r>
          </w:p>
        </w:tc>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Frenzel</w:t>
            </w:r>
          </w:p>
        </w:tc>
      </w:tr>
      <w:tr>
        <w:trPr>
          <w:trHeight w:val="218"/>
        </w:trPr>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Frenzel</w:t>
            </w:r>
          </w:p>
        </w:tc>
      </w:tr>
      <w:tr>
        <w:trPr>
          <w:trHeight w:val="234"/>
        </w:trPr>
        <w:tc>
          <w:tcPr>
            <w:tcW w:w="2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Treasurer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FOURTH</w:t>
      </w: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CREDIT AGREEMENT</w:t>
      </w:r>
    </w:p>
    <w:p>
      <w:pPr>
        <w:spacing w:after="0" w:line="182"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21"/>
          <w:szCs w:val="21"/>
          <w:color w:val="auto"/>
        </w:rPr>
        <w:t>This FIRST AMENDMENT TO FOURTH AMENDED AND RESTATED CREDIT AGREEMENT (this “Amendment”) is entered into as of April 25, 2022 (the “First Amendment Effective Date”), by and among MRC ENERGY COMPANY, a Texas corporation (the “Borrower”), the LENDERS party hereto and ROYAL BANK OF CANADA, as Administrative Agent for the Lenders (in such capacity, the “Administrative Agent”). Unless otherwise expressly defined herein, capitalized terms used but not defined in this Amendment have the meanings assigned to such terms in the Credit Agreement (as defined below).</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179" w:lineRule="exact"/>
        <w:rPr>
          <w:sz w:val="20"/>
          <w:szCs w:val="20"/>
          <w:color w:val="auto"/>
        </w:rPr>
      </w:pPr>
    </w:p>
    <w:p>
      <w:pPr>
        <w:ind w:right="4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Administrative Agent and the Lenders have entered into that certain Fourth Amended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Restated Credit Agreement, dated as of November 18, 2021 (as amended, restated, amended and restated, supplemented or otherwise modified from time to time, the “Existing Credit Agreement”, and the Existing Credit Agreement, as amended by this Amendment, the “Credit Agreement”); and</w:t>
      </w:r>
    </w:p>
    <w:p>
      <w:pPr>
        <w:spacing w:after="0" w:line="148"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has requested that the Administrative Agent and the Lenders amend the Existing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certain respects, subject to the terms and conditions set forth herein, and the Administrative Agent and the Lenders have agreed to such request on the terms and conditions hereinafter set forth.</w:t>
      </w:r>
    </w:p>
    <w:p>
      <w:pPr>
        <w:spacing w:after="0" w:line="146"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mutual covenants and agreements herein contained and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hereby acknowledged and confessed, the Borrower, the Administrative Agent and the Lenders hereby agree as follows:</w:t>
      </w:r>
    </w:p>
    <w:p>
      <w:pPr>
        <w:spacing w:after="0" w:line="38"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SECTION 1. Amendments to Existing Credit Agreement. </w:t>
      </w:r>
      <w:r>
        <w:rPr>
          <w:rFonts w:ascii="Times New Roman" w:cs="Times New Roman" w:eastAsia="Times New Roman" w:hAnsi="Times New Roman"/>
          <w:sz w:val="21"/>
          <w:szCs w:val="21"/>
          <w:color w:val="auto"/>
        </w:rPr>
        <w:t>Subject to the satisfaction or waiver in writing of each condition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precedent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Amendment, and in reliance on the representations, warranties, covenants and agreements contained in this Amendment, the Existing Credit Agreement is hereby amended, effective as of the First Amendment Effective Date, by deleting the red and green, as applicable, stricken text (indicated textually in the same manner as the following examples: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color w:val="00AF50"/>
          <w:strike w:val="1"/>
        </w:rPr>
        <w:t>stricken text</w:t>
      </w:r>
      <w:r>
        <w:rPr>
          <w:rFonts w:ascii="Times New Roman" w:cs="Times New Roman" w:eastAsia="Times New Roman" w:hAnsi="Times New Roman"/>
          <w:sz w:val="21"/>
          <w:szCs w:val="21"/>
          <w:color w:val="auto"/>
        </w:rPr>
        <w:t xml:space="preserve">) therefrom and by adding the blue and green, as applicable, double-underlined text (indicated textually in the same manner as the following examples: </w:t>
      </w:r>
      <w:r>
        <w:rPr>
          <w:rFonts w:ascii="Times New Roman" w:cs="Times New Roman" w:eastAsia="Times New Roman" w:hAnsi="Times New Roman"/>
          <w:sz w:val="21"/>
          <w:szCs w:val="21"/>
          <w:u w:val="single" w:color="auto"/>
          <w:color w:val="0000FF"/>
        </w:rPr>
        <w:t>double-underlined text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00AF50"/>
        </w:rPr>
        <w:t>double-underlined text</w:t>
      </w:r>
      <w:r>
        <w:rPr>
          <w:rFonts w:ascii="Times New Roman" w:cs="Times New Roman" w:eastAsia="Times New Roman" w:hAnsi="Times New Roman"/>
          <w:sz w:val="21"/>
          <w:szCs w:val="21"/>
          <w:color w:val="auto"/>
        </w:rPr>
        <w:t xml:space="preserve">) thereto, in each case, as set forth in the marked pages of the Credit Agreement (and to the extent provided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exhibits, schedules and appendices to the Credit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and made a part hereof for all purposes.</w:t>
      </w:r>
    </w:p>
    <w:p>
      <w:pPr>
        <w:spacing w:after="0" w:line="14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SECTION 2. Redetermined Borrowing Base; Elected Commitments. </w:t>
      </w:r>
      <w:r>
        <w:rPr>
          <w:rFonts w:ascii="Times New Roman" w:cs="Times New Roman" w:eastAsia="Times New Roman" w:hAnsi="Times New Roman"/>
          <w:sz w:val="22"/>
          <w:szCs w:val="22"/>
          <w:color w:val="auto"/>
        </w:rPr>
        <w:t>This Amendment shall constitute notice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redetermination of the Borrowing Base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of the Credit Agreement, and the Administrative Agent, the Lenders and the Borrower hereby acknowledge that effective as of the date hereof (i) the Borrowing Base shall be $2,000,000,000 and (ii) the Revolving Credit Aggregate Commitment shall be $775,000,000, and such redetermined Borrowing Base shall remain in effect until the date the Borrowing Base is otherwise adjusted pursuant to the terms of the Credit Agreement. The redetermination of the Borrowing Base contained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shall constitute the Determination Date to occur on or about May 1, 2022.</w:t>
      </w:r>
    </w:p>
    <w:p>
      <w:pPr>
        <w:spacing w:after="0" w:line="14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3. New Lenders and Reallocation and Increase of Revolving Credit Commitment Amounts. </w:t>
      </w:r>
      <w:r>
        <w:rPr>
          <w:rFonts w:ascii="Times New Roman" w:cs="Times New Roman" w:eastAsia="Times New Roman" w:hAnsi="Times New Roman"/>
          <w:sz w:val="22"/>
          <w:szCs w:val="22"/>
          <w:color w:val="auto"/>
        </w:rPr>
        <w:t>The Lenders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among themselves to reallocate their respective Revolving Credit Commitment Amounts, and to, among other things, (a) allow certain financial institutions identified by RBC Capital Markets (“</w:t>
      </w:r>
      <w:r>
        <w:rPr>
          <w:rFonts w:ascii="Times New Roman" w:cs="Times New Roman" w:eastAsia="Times New Roman" w:hAnsi="Times New Roman"/>
          <w:sz w:val="22"/>
          <w:szCs w:val="22"/>
          <w:u w:val="single" w:color="auto"/>
          <w:color w:val="auto"/>
        </w:rPr>
        <w:t>RBC Capital</w:t>
      </w:r>
      <w:r>
        <w:rPr>
          <w:rFonts w:ascii="Times New Roman" w:cs="Times New Roman" w:eastAsia="Times New Roman" w:hAnsi="Times New Roman"/>
          <w:sz w:val="22"/>
          <w:szCs w:val="22"/>
          <w:color w:val="auto"/>
        </w:rPr>
        <w:t>”), in its capacity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jc w:val="center"/>
        <w:spacing w:after="0"/>
        <w:rPr>
          <w:sz w:val="20"/>
          <w:szCs w:val="20"/>
          <w:color w:val="auto"/>
        </w:rPr>
      </w:pPr>
      <w:r>
        <w:rPr>
          <w:rFonts w:ascii="Times New Roman" w:cs="Times New Roman" w:eastAsia="Times New Roman" w:hAnsi="Times New Roman"/>
          <w:sz w:val="14"/>
          <w:szCs w:val="14"/>
          <w:color w:val="auto"/>
        </w:rPr>
        <w:t>Page 1</w:t>
      </w:r>
    </w:p>
    <w:p>
      <w:pPr>
        <w:sectPr>
          <w:pgSz w:w="11900" w:h="16838" w:orient="portrait"/>
          <w:cols w:equalWidth="0" w:num="1">
            <w:col w:w="11240"/>
          </w:cols>
          <w:pgMar w:left="320" w:top="104" w:right="339" w:bottom="1440" w:gutter="0" w:footer="0" w:header="0"/>
        </w:sectPr>
      </w:pPr>
    </w:p>
    <w:bookmarkStart w:id="41" w:name="page42"/>
    <w:bookmarkEnd w:id="41"/>
    <w:p>
      <w:pPr>
        <w:jc w:val="both"/>
        <w:spacing w:after="0" w:line="207" w:lineRule="auto"/>
        <w:rPr>
          <w:sz w:val="20"/>
          <w:szCs w:val="20"/>
          <w:color w:val="auto"/>
        </w:rPr>
      </w:pPr>
      <w:r>
        <w:rPr>
          <w:rFonts w:ascii="Times New Roman" w:cs="Times New Roman" w:eastAsia="Times New Roman" w:hAnsi="Times New Roman"/>
          <w:sz w:val="22"/>
          <w:szCs w:val="22"/>
          <w:color w:val="auto"/>
        </w:rPr>
        <w:t>Joint Lead Arranger, in consultation with the Borrower, to become a party to the Credit Agreement as a Lender (each, a “</w:t>
      </w:r>
      <w:r>
        <w:rPr>
          <w:rFonts w:ascii="Times New Roman" w:cs="Times New Roman" w:eastAsia="Times New Roman" w:hAnsi="Times New Roman"/>
          <w:sz w:val="22"/>
          <w:szCs w:val="22"/>
          <w:u w:val="single" w:color="auto"/>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(b) to permit one or more of the Lenders to increase their respective Revolving Credit Commitment Amounts (each, an “</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xml:space="preserve">”). Each of the Administrative Agent and the Borrower hereby consent to (i) the reallocation of the Revolving Credit Commitment Amounts, (ii) each New Lender’s agreement to provide a Revolving Credit Commitment Amount and (iii) the increase in each Increasing Lender’s Revolving Credit Commitment Amount. On the date this Amendment becomes effective and after giving effect to such reallocation and assignment and increase of the Revolving Credit Aggregate Commitment, the Revolving Credit Commitment Amount of each Lender shall be as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of the Credit Agreement. Each Lender hereby consents to the Revolving Credit Commitment Amount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of the Credit Agreement. The reallocation of the Revolving Credit Commitment Amounts among the Lenders and the acquisition by each New Lender of an interest in the Revolving Credit Aggregate Commitment, shall be deemed to have been consummated pursuant to the terms of the Assignment and Assumption attached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to the Credit Agreement as if the Lenders, including each New Lender, had executed an Assignment and Assumption with respect to such reallocation. The Administrative Agent hereby waives the $3,500 processing and recordation fee set forth in </w:t>
      </w:r>
      <w:r>
        <w:rPr>
          <w:rFonts w:ascii="Times New Roman" w:cs="Times New Roman" w:eastAsia="Times New Roman" w:hAnsi="Times New Roman"/>
          <w:sz w:val="22"/>
          <w:szCs w:val="22"/>
          <w:u w:val="single" w:color="auto"/>
          <w:color w:val="auto"/>
        </w:rPr>
        <w:t>Section 13.7(b)(iv)</w:t>
      </w:r>
      <w:r>
        <w:rPr>
          <w:rFonts w:ascii="Times New Roman" w:cs="Times New Roman" w:eastAsia="Times New Roman" w:hAnsi="Times New Roman"/>
          <w:sz w:val="22"/>
          <w:szCs w:val="22"/>
          <w:color w:val="auto"/>
        </w:rPr>
        <w:t xml:space="preserve"> of the Credit Agreement with respect to the assignments and reallocations contemplated by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To the extent requested by any Lender, and in accordance with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of the Existing Credit Agreement, the Borrower shall pay to such Lender, within the time period prescribed by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of the Existing Credit Agreement, any amounts required to be paid by the Borrower 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of the Existing Credit Agreement in the event the payment of any principal of any Eurodollar-based Advance (as defined in the Existing Credit Agreement) or the conversion of any Eurodollar-based Advance other than on the last day of an Interest Period applicable thereto is required in connection with the reallocation contemplated by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Each New Lender agrees that it shall be deemed to be, and hereby becomes on the date of effectiveness of this Amendment, a party in all respects to the Credit Agreement and the other Loan Documents to which all the Lenders are party and each shall have the rights and obligations of a Lender under the Credit Agreement and the other Loan Documents.</w:t>
      </w:r>
    </w:p>
    <w:p>
      <w:pPr>
        <w:spacing w:after="0" w:line="16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4. Conditions. </w:t>
      </w:r>
      <w:r>
        <w:rPr>
          <w:rFonts w:ascii="Times New Roman" w:cs="Times New Roman" w:eastAsia="Times New Roman" w:hAnsi="Times New Roman"/>
          <w:sz w:val="22"/>
          <w:szCs w:val="22"/>
          <w:color w:val="auto"/>
        </w:rPr>
        <w:t>The amendments to the Credit Agreement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Amendment,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redetermination of the Borrowing Base contained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Amendment, and the reallocation of the commitments contained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Amendment, in each case, shall be effective upon the satisfaction of each of the conditions set forth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1.1 Execution and Delivery</w:t>
      </w:r>
      <w:r>
        <w:rPr>
          <w:rFonts w:ascii="Times New Roman" w:cs="Times New Roman" w:eastAsia="Times New Roman" w:hAnsi="Times New Roman"/>
          <w:sz w:val="22"/>
          <w:szCs w:val="22"/>
          <w:color w:val="auto"/>
        </w:rPr>
        <w:t>. The Administrative Agent shall have received a duly executed counterpart of (a)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signed by the Borrower and the Lenders and (b) the Consent and Reaffirmation attached hereto signed by each Guarantor.</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 xml:space="preserve">No Default. </w:t>
      </w:r>
      <w:r>
        <w:rPr>
          <w:rFonts w:ascii="Times New Roman" w:cs="Times New Roman" w:eastAsia="Times New Roman" w:hAnsi="Times New Roman"/>
          <w:sz w:val="21"/>
          <w:szCs w:val="21"/>
          <w:color w:val="auto"/>
        </w:rPr>
        <w:t>No Default or Event of Default shall have occurred and be continuing.</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1.3 Fees. </w:t>
      </w:r>
      <w:r>
        <w:rPr>
          <w:rFonts w:ascii="Times New Roman" w:cs="Times New Roman" w:eastAsia="Times New Roman" w:hAnsi="Times New Roman"/>
          <w:sz w:val="22"/>
          <w:szCs w:val="22"/>
          <w:color w:val="auto"/>
        </w:rPr>
        <w:t>The Administrative Agent shall have received evidence reasonably satisfactory to it that all fees separately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agreed upon by Borrower and the applicable recipients thereof in connection with this Amendment have been paid by the Borrower.</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1.4 Notes</w:t>
      </w:r>
      <w:r>
        <w:rPr>
          <w:rFonts w:ascii="Times New Roman" w:cs="Times New Roman" w:eastAsia="Times New Roman" w:hAnsi="Times New Roman"/>
          <w:sz w:val="22"/>
          <w:szCs w:val="22"/>
          <w:color w:val="auto"/>
        </w:rPr>
        <w:t>. The Administrative Agent shall have received Notes duly executed by the Borrower for each Lender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requests a Note in accordance with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 xml:space="preserve"> of the Credit Agreement.</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1.5 Other Documents. </w:t>
      </w:r>
      <w:r>
        <w:rPr>
          <w:rFonts w:ascii="Times New Roman" w:cs="Times New Roman" w:eastAsia="Times New Roman" w:hAnsi="Times New Roman"/>
          <w:sz w:val="22"/>
          <w:szCs w:val="22"/>
          <w:color w:val="auto"/>
        </w:rPr>
        <w:t>The Administrative Agent shall have received such other instruments and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incidental and appropriate to the transactions provided for herein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jc w:val="center"/>
        <w:spacing w:after="0"/>
        <w:rPr>
          <w:sz w:val="20"/>
          <w:szCs w:val="20"/>
          <w:color w:val="auto"/>
        </w:rPr>
      </w:pPr>
      <w:r>
        <w:rPr>
          <w:rFonts w:ascii="Times New Roman" w:cs="Times New Roman" w:eastAsia="Times New Roman" w:hAnsi="Times New Roman"/>
          <w:sz w:val="14"/>
          <w:szCs w:val="14"/>
          <w:color w:val="auto"/>
        </w:rPr>
        <w:t>Page 2</w:t>
      </w:r>
    </w:p>
    <w:p>
      <w:pPr>
        <w:sectPr>
          <w:pgSz w:w="11900" w:h="16838" w:orient="portrait"/>
          <w:cols w:equalWidth="0" w:num="1">
            <w:col w:w="11240"/>
          </w:cols>
          <w:pgMar w:left="320" w:top="1395" w:right="339" w:bottom="1440" w:gutter="0" w:footer="0" w:header="0"/>
        </w:sectPr>
      </w:pPr>
    </w:p>
    <w:bookmarkStart w:id="42" w:name="page43"/>
    <w:bookmarkEnd w:id="42"/>
    <w:p>
      <w:pPr>
        <w:jc w:val="both"/>
        <w:spacing w:after="0" w:line="236" w:lineRule="auto"/>
        <w:rPr>
          <w:sz w:val="20"/>
          <w:szCs w:val="20"/>
          <w:color w:val="auto"/>
        </w:rPr>
      </w:pPr>
      <w:r>
        <w:rPr>
          <w:rFonts w:ascii="Times New Roman" w:cs="Times New Roman" w:eastAsia="Times New Roman" w:hAnsi="Times New Roman"/>
          <w:sz w:val="22"/>
          <w:szCs w:val="22"/>
          <w:color w:val="auto"/>
        </w:rPr>
        <w:t>the Administrative Agent or its special counsel may reasonably request, and all such documents shall be in form and substance reasonably satisfactory to the Administrative Agent.</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 Representations and Warranties. </w:t>
      </w:r>
      <w:r>
        <w:rPr>
          <w:rFonts w:ascii="Times New Roman" w:cs="Times New Roman" w:eastAsia="Times New Roman" w:hAnsi="Times New Roman"/>
          <w:sz w:val="22"/>
          <w:szCs w:val="22"/>
          <w:color w:val="auto"/>
        </w:rPr>
        <w:t>To induce the Lenders to enter into this Amendment, the Borrower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represents and warrants to the Lenders as follows: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 Reaffirmation of Representations and Warranties. </w:t>
      </w:r>
      <w:r>
        <w:rPr>
          <w:rFonts w:ascii="Times New Roman" w:cs="Times New Roman" w:eastAsia="Times New Roman" w:hAnsi="Times New Roman"/>
          <w:sz w:val="22"/>
          <w:szCs w:val="22"/>
          <w:color w:val="auto"/>
        </w:rPr>
        <w:t>After giving effect to the amendments herein,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 and warranty of the Borrower, the Parent and each other Credit Party contained in the Credit Agreement and in each of the other Loan Documents to which it is a party is true and correct in all material respects as of the date hereof (without duplication of any materiality qualifier contained therein), except to the extent any such representations and warranties are expressly limited to an earlier date, in which case, such representations and warranties shall continue to be true and correct in all material respects (without duplication of any materiality qualifier contained therein) as of such specified earlier date.</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1.2 Corporate Authority; No Conflicts. </w:t>
      </w:r>
      <w:r>
        <w:rPr>
          <w:rFonts w:ascii="Times New Roman" w:cs="Times New Roman" w:eastAsia="Times New Roman" w:hAnsi="Times New Roman"/>
          <w:sz w:val="22"/>
          <w:szCs w:val="22"/>
          <w:color w:val="auto"/>
        </w:rPr>
        <w:t>The execution, delivery and performance by the Borrower, the Parent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each other Credit Party of this Amendment and all documents, instruments and agreements contemplated herein are within such Credit Party’s corporate, limited liability company or limited partnership, as applicable, powers, have been duly authorized by necessary corporate action by such Credit Party, require no action by or in respect of, or filing with, any court or agency of government (except for the recording and filing of Collateral Documents and financing statements) and (a) do not violate in any material respect any Requirement of Law, (b) are not in contravention of the terms of any material Contractual Obligation, indenture, agreement or undertaking to which such Credit Party is a party or by which it or its properties are bound where such violation could reasonably be expected to have a Material Adverse Effect, and (c) do not result in the creation or imposition of any Lien upon any of the assets of such Credit Party except for Liens permitted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of the Credit Agreement and otherwise as permitted in the Credit Agreement.</w:t>
      </w:r>
    </w:p>
    <w:p>
      <w:pPr>
        <w:spacing w:after="0" w:line="152"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1.3 Enforceability. </w:t>
      </w:r>
      <w:r>
        <w:rPr>
          <w:rFonts w:ascii="Times New Roman" w:cs="Times New Roman" w:eastAsia="Times New Roman" w:hAnsi="Times New Roman"/>
          <w:sz w:val="22"/>
          <w:szCs w:val="22"/>
          <w:color w:val="auto"/>
        </w:rPr>
        <w:t>This Amendment constitutes the valid and binding obligation of the Borrower enforceable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its terms, except as the enforceability thereof may be limited by (i) bankruptcy, insolvency or similar laws affecting creditor’s rights generally, and (ii) equitable principles of general application.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 xml:space="preserve">No Default. </w:t>
      </w:r>
      <w:r>
        <w:rPr>
          <w:rFonts w:ascii="Times New Roman" w:cs="Times New Roman" w:eastAsia="Times New Roman" w:hAnsi="Times New Roman"/>
          <w:sz w:val="21"/>
          <w:szCs w:val="21"/>
          <w:color w:val="auto"/>
        </w:rPr>
        <w:t>No Default or Event of Default has occurred and is continuing.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Miscellaneous.</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1.1 Reaffirmation of Loan Documents and Liens. </w:t>
      </w:r>
      <w:r>
        <w:rPr>
          <w:rFonts w:ascii="Times New Roman" w:cs="Times New Roman" w:eastAsia="Times New Roman" w:hAnsi="Times New Roman"/>
          <w:sz w:val="22"/>
          <w:szCs w:val="22"/>
          <w:color w:val="auto"/>
        </w:rPr>
        <w:t>Any and all of the terms and provisions of the Credit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Loan Documents shall, except as amended and modified hereby, remain in full force and effect and are hereby in all respects ratified and confirmed by the Borrower. The Borrower hereby agrees that the amendments and modifications herein contained shall in no manner affect or impair the liabilities, duties and obligations of the Borrower, the Parent or any other Credit Party under the Credit Agreement and the other Loan Documents or the Liens securing the payment and performance thereof, except as amended and modified hereby.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 Parties in Interest. </w:t>
      </w:r>
      <w:r>
        <w:rPr>
          <w:rFonts w:ascii="Times New Roman" w:cs="Times New Roman" w:eastAsia="Times New Roman" w:hAnsi="Times New Roman"/>
          <w:sz w:val="22"/>
          <w:szCs w:val="22"/>
          <w:color w:val="auto"/>
        </w:rPr>
        <w:t>All of the terms and provisions of this Amendment shall bind and inure to the benefit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and their respective successors and assigns.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1.3 Further Assurances</w:t>
      </w:r>
      <w:r>
        <w:rPr>
          <w:rFonts w:ascii="Times New Roman" w:cs="Times New Roman" w:eastAsia="Times New Roman" w:hAnsi="Times New Roman"/>
          <w:sz w:val="22"/>
          <w:szCs w:val="22"/>
          <w:color w:val="auto"/>
        </w:rPr>
        <w:t>. The Borrower covenants and agrees from time to time, as and when reasonably requested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Administrative Agent or the Lenders, to execute and deliver or cause to be executed or delivered, all such documents, instruments and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jc w:val="center"/>
        <w:spacing w:after="0"/>
        <w:rPr>
          <w:sz w:val="20"/>
          <w:szCs w:val="20"/>
          <w:color w:val="auto"/>
        </w:rPr>
      </w:pPr>
      <w:r>
        <w:rPr>
          <w:rFonts w:ascii="Times New Roman" w:cs="Times New Roman" w:eastAsia="Times New Roman" w:hAnsi="Times New Roman"/>
          <w:sz w:val="14"/>
          <w:szCs w:val="14"/>
          <w:color w:val="auto"/>
        </w:rPr>
        <w:t>Page 3</w:t>
      </w:r>
    </w:p>
    <w:p>
      <w:pPr>
        <w:sectPr>
          <w:pgSz w:w="11900" w:h="16838" w:orient="portrait"/>
          <w:cols w:equalWidth="0" w:num="1">
            <w:col w:w="11240"/>
          </w:cols>
          <w:pgMar w:left="320" w:top="1395" w:right="339" w:bottom="1440" w:gutter="0" w:footer="0" w:header="0"/>
        </w:sectPr>
      </w:pPr>
    </w:p>
    <w:bookmarkStart w:id="43" w:name="page44"/>
    <w:bookmarkEnd w:id="43"/>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to take or cause to be taken such further or other action as the Administrative Agent or the Lenders may reasonably deem necessary or desirable in order to carry out the intent and purposes of this Amendment.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1.4 Legal Expenses. </w:t>
      </w:r>
      <w:r>
        <w:rPr>
          <w:rFonts w:ascii="Times New Roman" w:cs="Times New Roman" w:eastAsia="Times New Roman" w:hAnsi="Times New Roman"/>
          <w:sz w:val="22"/>
          <w:szCs w:val="22"/>
          <w:color w:val="auto"/>
        </w:rPr>
        <w:t>The Borrower hereby agrees to pay all reasonable and documented out-of-pocket fees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of special counsel to the Administrative Agent incurred by the Administrative Agent in connection with the preparation, negotiation and execution of this Amendment and all related documents.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1.5 Counterparts. </w:t>
      </w:r>
      <w:r>
        <w:rPr>
          <w:rFonts w:ascii="Times New Roman" w:cs="Times New Roman" w:eastAsia="Times New Roman" w:hAnsi="Times New Roman"/>
          <w:sz w:val="22"/>
          <w:szCs w:val="22"/>
          <w:color w:val="auto"/>
        </w:rPr>
        <w:t>This Amendment may be executed in one or more counterparts and by different parties hereto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photocopies of the signature pages to this Amendment by facsimile or electronic mail shall be effective as delivery of manually executed counterparts of this Amendment.</w:t>
      </w:r>
    </w:p>
    <w:p>
      <w:pPr>
        <w:spacing w:after="0" w:line="146" w:lineRule="exact"/>
        <w:rPr>
          <w:sz w:val="20"/>
          <w:szCs w:val="20"/>
          <w:color w:val="auto"/>
        </w:rPr>
      </w:pPr>
    </w:p>
    <w:p>
      <w:pPr>
        <w:jc w:val="both"/>
        <w:ind w:right="2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1.6 Complete Agreement. </w:t>
      </w:r>
      <w:r>
        <w:rPr>
          <w:rFonts w:ascii="Times New Roman" w:cs="Times New Roman" w:eastAsia="Times New Roman" w:hAnsi="Times New Roman"/>
          <w:sz w:val="22"/>
          <w:szCs w:val="22"/>
          <w:color w:val="auto"/>
        </w:rPr>
        <w:t>THIS AMENDMENT, THE CREDIT AGREEMENT, AND THE OTHER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REPRESENT THE FINAL AGREEMENT BETWEEN THE PARTIES AND MAY NOT BE CONTRADICTED BY EVIDENCE OF PRIOR, CONTEMPORANEOUS OR ORAL AGREEMENTS OF THE PARTIES. THERE ARE NO UNWRITTEN ORAL AGREEMENTS BETWEEN THE PARTIES.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1.7 Headings. </w:t>
      </w:r>
      <w:r>
        <w:rPr>
          <w:rFonts w:ascii="Times New Roman" w:cs="Times New Roman" w:eastAsia="Times New Roman" w:hAnsi="Times New Roman"/>
          <w:sz w:val="22"/>
          <w:szCs w:val="22"/>
          <w:color w:val="auto"/>
        </w:rPr>
        <w:t>The headings, captions and arrangements used in this Amendment are, unless specified otherwise,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only and shall not be deemed to limit, amplify or modify the terms of this Amendment, nor affect the meaning thereof.</w:t>
      </w:r>
    </w:p>
    <w:p>
      <w:pPr>
        <w:spacing w:after="0" w:line="1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1.8</w:t>
      </w:r>
      <w:r>
        <w:rPr>
          <w:sz w:val="20"/>
          <w:szCs w:val="20"/>
          <w:color w:val="auto"/>
        </w:rPr>
        <w:tab/>
      </w: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This Amendment shall be construed in accordance with and governed by the laws of the State of</w:t>
      </w: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1.9 Severability. </w:t>
      </w:r>
      <w:r>
        <w:rPr>
          <w:rFonts w:ascii="Times New Roman" w:cs="Times New Roman" w:eastAsia="Times New Roman" w:hAnsi="Times New Roman"/>
          <w:sz w:val="22"/>
          <w:szCs w:val="22"/>
          <w:color w:val="auto"/>
        </w:rPr>
        <w:t>Any provision of this Amendment held to be invalid, illegal or unenforceable in any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Reference to and Effect on the Loan Documents.</w:t>
      </w:r>
    </w:p>
    <w:p>
      <w:pPr>
        <w:spacing w:after="0" w:line="183" w:lineRule="exact"/>
        <w:rPr>
          <w:sz w:val="20"/>
          <w:szCs w:val="20"/>
          <w:color w:val="auto"/>
        </w:rPr>
      </w:pPr>
    </w:p>
    <w:p>
      <w:pPr>
        <w:jc w:val="both"/>
        <w:ind w:firstLine="656"/>
        <w:spacing w:after="0" w:line="217" w:lineRule="auto"/>
        <w:tabs>
          <w:tab w:leader="none" w:pos="111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deemed to constitute a Loan Document for all purposes and in all respects. Each reference in the Credit Agreement to “this Agreement,” “hereunder,” “hereof,” “herein” or words of like import, and each reference in the Credit Agreement or in any other Loan Document, or other agreements, documents or other instruments executed and delivered pursuant to the Credit Agreement to the “Credit Agreement”, shall mean and be a reference to the Credit Agreement as amended by this Amendment.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17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Amendment shall not operate as a waiver of any right, power or remedy of any Lender or the Administrative Agent under any of the Loan Documents, nor, except as expressly provided herein, constitute a waiver of any provision of any of the Loan Documents.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jc w:val="center"/>
        <w:spacing w:after="0"/>
        <w:rPr>
          <w:sz w:val="20"/>
          <w:szCs w:val="20"/>
          <w:color w:val="auto"/>
        </w:rPr>
      </w:pPr>
      <w:r>
        <w:rPr>
          <w:rFonts w:ascii="Times New Roman" w:cs="Times New Roman" w:eastAsia="Times New Roman" w:hAnsi="Times New Roman"/>
          <w:sz w:val="14"/>
          <w:szCs w:val="14"/>
          <w:color w:val="auto"/>
        </w:rPr>
        <w:t>Page 4</w:t>
      </w:r>
    </w:p>
    <w:p>
      <w:pPr>
        <w:sectPr>
          <w:pgSz w:w="11900" w:h="16838" w:orient="portrait"/>
          <w:cols w:equalWidth="0" w:num="1">
            <w:col w:w="11240"/>
          </w:cols>
          <w:pgMar w:left="320" w:top="1395" w:right="339" w:bottom="1440" w:gutter="0" w:footer="0" w:header="0"/>
        </w:sectPr>
      </w:pPr>
    </w:p>
    <w:bookmarkStart w:id="44" w:name="page45"/>
    <w:bookmarkEnd w:id="44"/>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caused this Amendment to be duly executed by their respective authorized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effective as of the date first above written.</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MRC ENERGY COMPANY</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Craig 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6078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60782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Craig N. Adams</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jc w:val="center"/>
        <w:ind w:right="-139"/>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1100"/>
          </w:cols>
          <w:pgMar w:left="320" w:top="1391" w:right="479" w:bottom="1440" w:gutter="0" w:footer="0" w:header="0"/>
        </w:sectPr>
      </w:pPr>
    </w:p>
    <w:bookmarkStart w:id="45" w:name="page46"/>
    <w:bookmarkEnd w:id="45"/>
    <w:p>
      <w:pPr>
        <w:ind w:left="3900"/>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ADMINISTRATIVE AGENT</w:t>
      </w:r>
      <w:r>
        <w:rPr>
          <w:rFonts w:ascii="Times New Roman" w:cs="Times New Roman" w:eastAsia="Times New Roman" w:hAnsi="Times New Roman"/>
          <w:sz w:val="21"/>
          <w:szCs w:val="21"/>
          <w:b w:val="1"/>
          <w:bCs w:val="1"/>
          <w:color w:val="auto"/>
        </w:rPr>
        <w:t>:</w:t>
      </w: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ROYAL BANK OF CANADA</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Helena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6687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Helena Sadowski</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46" w:name="page47"/>
    <w:bookmarkEnd w:id="46"/>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LENDERS</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ROYAL BANK OF CANADA</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1"/>
          <w:szCs w:val="21"/>
          <w:color w:val="auto"/>
        </w:rPr>
        <w:t>as a Lender and as an Issuing Lender</w:t>
      </w:r>
    </w:p>
    <w:p>
      <w:pPr>
        <w:spacing w:after="0" w:line="200" w:lineRule="exact"/>
        <w:rPr>
          <w:sz w:val="20"/>
          <w:szCs w:val="20"/>
          <w:color w:val="auto"/>
        </w:rPr>
      </w:pPr>
    </w:p>
    <w:p>
      <w:pPr>
        <w:spacing w:after="0" w:line="22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Emilee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417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Emilee Scott</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47" w:name="page48"/>
    <w:bookmarkEnd w:id="47"/>
    <w:p>
      <w:pPr>
        <w:ind w:left="3900"/>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James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600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60020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James Giordano</w:t>
      </w:r>
    </w:p>
    <w:p>
      <w:pPr>
        <w:spacing w:after="0" w:line="1" w:lineRule="exact"/>
        <w:rPr>
          <w:sz w:val="20"/>
          <w:szCs w:val="20"/>
          <w:color w:val="auto"/>
        </w:rPr>
      </w:pPr>
    </w:p>
    <w:p>
      <w:pPr>
        <w:jc w:val="right"/>
        <w:ind w:right="3919"/>
        <w:spacing w:after="0"/>
        <w:tabs>
          <w:tab w:leader="none" w:pos="16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48" w:name="page49"/>
    <w:bookmarkEnd w:id="48"/>
    <w:p>
      <w:pPr>
        <w:ind w:left="3900"/>
        <w:spacing w:after="0"/>
        <w:rPr>
          <w:sz w:val="20"/>
          <w:szCs w:val="20"/>
          <w:color w:val="auto"/>
        </w:rPr>
      </w:pP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Christopher Baethge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706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Christopher Baethge</w:t>
      </w:r>
    </w:p>
    <w:p>
      <w:pPr>
        <w:spacing w:after="0" w:line="1"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49" w:name="page50"/>
    <w:bookmarkEnd w:id="49"/>
    <w:p>
      <w:pPr>
        <w:ind w:left="390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Denise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4478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Denise Davis</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50" w:name="page51"/>
    <w:bookmarkEnd w:id="50"/>
    <w:p>
      <w:pPr>
        <w:ind w:left="3900" w:right="979"/>
        <w:spacing w:after="0" w:line="238" w:lineRule="auto"/>
        <w:rPr>
          <w:sz w:val="20"/>
          <w:szCs w:val="20"/>
          <w:color w:val="auto"/>
        </w:rPr>
      </w:pPr>
      <w:r>
        <w:rPr>
          <w:rFonts w:ascii="Times New Roman" w:cs="Times New Roman" w:eastAsia="Times New Roman" w:hAnsi="Times New Roman"/>
          <w:sz w:val="22"/>
          <w:szCs w:val="22"/>
          <w:b w:val="1"/>
          <w:bCs w:val="1"/>
          <w:color w:val="auto"/>
        </w:rPr>
        <w:t>THE BANK OF NOVA SCOTIA, HOUSTON BRANCH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3792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Joe Lattanzi</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51" w:name="page52"/>
    <w:bookmarkEnd w:id="51"/>
    <w:p>
      <w:pPr>
        <w:ind w:left="3900"/>
        <w:spacing w:after="0"/>
        <w:rPr>
          <w:sz w:val="20"/>
          <w:szCs w:val="20"/>
          <w:color w:val="auto"/>
        </w:rPr>
      </w:pPr>
      <w:r>
        <w:rPr>
          <w:rFonts w:ascii="Times New Roman" w:cs="Times New Roman" w:eastAsia="Times New Roman" w:hAnsi="Times New Roman"/>
          <w:sz w:val="21"/>
          <w:szCs w:val="21"/>
          <w:b w:val="1"/>
          <w:bCs w:val="1"/>
          <w:color w:val="auto"/>
        </w:rPr>
        <w:t>KEYBANK NATIONAL ASSOCIATION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George E. McKean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7722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772285"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George E. McKean</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52" w:name="page53"/>
    <w:bookmarkEnd w:id="52"/>
    <w:p>
      <w:pPr>
        <w:ind w:left="3900"/>
        <w:spacing w:after="0"/>
        <w:rPr>
          <w:sz w:val="20"/>
          <w:szCs w:val="20"/>
          <w:color w:val="auto"/>
        </w:rPr>
      </w:pPr>
      <w:r>
        <w:rPr>
          <w:rFonts w:ascii="Times New Roman" w:cs="Times New Roman" w:eastAsia="Times New Roman" w:hAnsi="Times New Roman"/>
          <w:sz w:val="22"/>
          <w:szCs w:val="22"/>
          <w:b w:val="1"/>
          <w:bCs w:val="1"/>
          <w:color w:val="auto"/>
        </w:rPr>
        <w:t>MUFG BANK, LTD.</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Traci Bankston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49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Traci Bankston</w:t>
      </w:r>
    </w:p>
    <w:p>
      <w:pPr>
        <w:spacing w:after="0" w:line="1" w:lineRule="exact"/>
        <w:rPr>
          <w:sz w:val="20"/>
          <w:szCs w:val="20"/>
          <w:color w:val="auto"/>
        </w:rPr>
      </w:pPr>
    </w:p>
    <w:p>
      <w:pPr>
        <w:jc w:val="right"/>
        <w:ind w:right="3719"/>
        <w:spacing w:after="0"/>
        <w:tabs>
          <w:tab w:leader="none" w:pos="1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53" w:name="page54"/>
    <w:bookmarkEnd w:id="53"/>
    <w:p>
      <w:pPr>
        <w:ind w:left="3900"/>
        <w:spacing w:after="0"/>
        <w:rPr>
          <w:sz w:val="20"/>
          <w:szCs w:val="20"/>
          <w:color w:val="auto"/>
        </w:rPr>
      </w:pPr>
      <w:r>
        <w:rPr>
          <w:rFonts w:ascii="Times New Roman" w:cs="Times New Roman" w:eastAsia="Times New Roman" w:hAnsi="Times New Roman"/>
          <w:sz w:val="22"/>
          <w:szCs w:val="22"/>
          <w:b w:val="1"/>
          <w:bCs w:val="1"/>
          <w:color w:val="auto"/>
        </w:rPr>
        <w:t>COMERICA BANK</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Cassandra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6383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Cassandra Lucas</w:t>
      </w:r>
    </w:p>
    <w:p>
      <w:pPr>
        <w:spacing w:after="0" w:line="1" w:lineRule="exact"/>
        <w:rPr>
          <w:sz w:val="20"/>
          <w:szCs w:val="20"/>
          <w:color w:val="auto"/>
        </w:rPr>
      </w:pPr>
    </w:p>
    <w:p>
      <w:pPr>
        <w:jc w:val="right"/>
        <w:ind w:right="3979"/>
        <w:spacing w:after="0"/>
        <w:tabs>
          <w:tab w:leader="none" w:pos="1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54" w:name="page55"/>
    <w:bookmarkEnd w:id="54"/>
    <w:p>
      <w:pPr>
        <w:ind w:left="3900"/>
        <w:spacing w:after="0"/>
        <w:rPr>
          <w:sz w:val="20"/>
          <w:szCs w:val="20"/>
          <w:color w:val="auto"/>
        </w:rPr>
      </w:pPr>
      <w:r>
        <w:rPr>
          <w:rFonts w:ascii="Times New Roman" w:cs="Times New Roman" w:eastAsia="Times New Roman" w:hAnsi="Times New Roman"/>
          <w:sz w:val="21"/>
          <w:szCs w:val="21"/>
          <w:b w:val="1"/>
          <w:bCs w:val="1"/>
          <w:color w:val="auto"/>
        </w:rPr>
        <w:t>U.S. BANK NATIONAL ASSOCIATION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Bruce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6681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668145"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Bruce Hernandez</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55" w:name="page56"/>
    <w:bookmarkEnd w:id="55"/>
    <w:p>
      <w:pPr>
        <w:ind w:left="3900"/>
        <w:spacing w:after="0"/>
        <w:rPr>
          <w:sz w:val="20"/>
          <w:szCs w:val="20"/>
          <w:color w:val="auto"/>
        </w:rPr>
      </w:pPr>
      <w:r>
        <w:rPr>
          <w:rFonts w:ascii="Times New Roman" w:cs="Times New Roman" w:eastAsia="Times New Roman" w:hAnsi="Times New Roman"/>
          <w:sz w:val="22"/>
          <w:szCs w:val="22"/>
          <w:b w:val="1"/>
          <w:bCs w:val="1"/>
          <w:color w:val="auto"/>
        </w:rPr>
        <w:t>IBERIABANK</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 Bryan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656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W. Bryan Chapman</w:t>
      </w:r>
    </w:p>
    <w:p>
      <w:pPr>
        <w:spacing w:after="0" w:line="1" w:lineRule="exact"/>
        <w:rPr>
          <w:sz w:val="20"/>
          <w:szCs w:val="20"/>
          <w:color w:val="auto"/>
        </w:rPr>
      </w:pPr>
    </w:p>
    <w:p>
      <w:pPr>
        <w:jc w:val="right"/>
        <w:ind w:right="2619"/>
        <w:spacing w:after="0"/>
        <w:tabs>
          <w:tab w:leader="none" w:pos="2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Market President-Energy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56" w:name="page57"/>
    <w:bookmarkEnd w:id="56"/>
    <w:p>
      <w:pPr>
        <w:ind w:left="3900"/>
        <w:spacing w:after="0"/>
        <w:rPr>
          <w:sz w:val="20"/>
          <w:szCs w:val="20"/>
          <w:color w:val="auto"/>
        </w:rPr>
      </w:pPr>
      <w:r>
        <w:rPr>
          <w:rFonts w:ascii="Times New Roman" w:cs="Times New Roman" w:eastAsia="Times New Roman" w:hAnsi="Times New Roman"/>
          <w:sz w:val="21"/>
          <w:szCs w:val="21"/>
          <w:b w:val="1"/>
          <w:bCs w:val="1"/>
          <w:color w:val="auto"/>
        </w:rPr>
        <w:t>ZIONS BANCORPORATION, N.A. dba Amegy Bank</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Jill McSorley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4554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Jill McSorley</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SVP – Amegy Bank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57" w:name="page58"/>
    <w:bookmarkEnd w:id="57"/>
    <w:p>
      <w:pPr>
        <w:ind w:left="3900"/>
        <w:spacing w:after="0"/>
        <w:rPr>
          <w:sz w:val="20"/>
          <w:szCs w:val="20"/>
          <w:color w:val="auto"/>
        </w:rPr>
      </w:pPr>
      <w:r>
        <w:rPr>
          <w:rFonts w:ascii="Times New Roman" w:cs="Times New Roman" w:eastAsia="Times New Roman" w:hAnsi="Times New Roman"/>
          <w:sz w:val="22"/>
          <w:szCs w:val="22"/>
          <w:b w:val="1"/>
          <w:bCs w:val="1"/>
          <w:color w:val="auto"/>
        </w:rPr>
        <w:t>CATHAY BANK</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14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Dale 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38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Dale T. Wilson</w:t>
      </w:r>
    </w:p>
    <w:p>
      <w:pPr>
        <w:spacing w:after="0" w:line="1" w:lineRule="exact"/>
        <w:rPr>
          <w:sz w:val="20"/>
          <w:szCs w:val="20"/>
          <w:color w:val="auto"/>
        </w:rPr>
      </w:pPr>
    </w:p>
    <w:p>
      <w:pPr>
        <w:jc w:val="right"/>
        <w:ind w:right="3699"/>
        <w:spacing w:after="0"/>
        <w:tabs>
          <w:tab w:leader="none" w:pos="1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CONSENT AND REAFFIRMATION</w:t>
      </w:r>
    </w:p>
    <w:p>
      <w:pPr>
        <w:spacing w:after="0" w:line="18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Each of the undersigned (each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hereby (i) acknowledges receipt of a copy of the foregoing First Amendment to Fourth Amended and Restated Credit Agreement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(ii) consents to the Borrower’s execution and delivery thereof; (iii) consents to the terms of the First Amendment; (iv) affirms that nothing contained therein shall modify in any respect whatsoever its guaranty of the Indebtedness pursuant to the terms of the Guaranty or the Liens granted by it pursuant to the terms of the other Loan Documents to which it is a party securing payment and performance of the Indebtedness, (v) reaffirms that the Guaranty and the other Loan Documents to which it is a party and such Liens are and shall continue to remain in full force and effect and are hereby ratified and confirmed in all respects and (vi) represents and warrants to the Administrative Agent and the Lenders that, as of the date hereof, (x) all of the representations and warranties made by it in each of the Loan Documents to which it is a party are true and correct in all material respects (without duplication of any materiality qualifier contained therein), except to the extent any such representations and warranties are expressly limited to an earlier date, in which case, such representations and warranties shall continue to be true and correct in all material respects (without duplication of any materiality qualifier contained therein) as of such specified earlier date, and (y) after giving effect to the First Amendment, no Default or Event of Default has occurred and is continuing. Although each Guarantor has been informed of the matters set forth herein and has acknowledged and agreed to same, each Guarantor understands that neither the Administrative Agent nor any of the Lenders have any obligation to inform any Guarantor of such matters in the future or to seek any Guarantor’s acknowledgment or agreement to future amendments or waivers for the Guaranty and other Loan Documents to which it is a party to remain in full force and effect, and nothing herein shall create such duty or obligation.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26" w:lineRule="auto"/>
        <w:rPr>
          <w:sz w:val="20"/>
          <w:szCs w:val="20"/>
          <w:color w:val="auto"/>
        </w:rPr>
      </w:pPr>
      <w:r>
        <w:rPr>
          <w:rFonts w:ascii="Times New Roman" w:cs="Times New Roman" w:eastAsia="Times New Roman" w:hAnsi="Times New Roman"/>
          <w:sz w:val="14"/>
          <w:szCs w:val="14"/>
          <w:color w:val="auto"/>
        </w:rPr>
        <w:t>First Amendment</w:t>
      </w:r>
    </w:p>
    <w:p>
      <w:pPr>
        <w:jc w:val="center"/>
        <w:spacing w:after="0"/>
        <w:rPr>
          <w:sz w:val="20"/>
          <w:szCs w:val="20"/>
          <w:color w:val="auto"/>
        </w:rPr>
      </w:pPr>
      <w:r>
        <w:rPr>
          <w:rFonts w:ascii="Times New Roman" w:cs="Times New Roman" w:eastAsia="Times New Roman" w:hAnsi="Times New Roman"/>
          <w:sz w:val="14"/>
          <w:szCs w:val="14"/>
          <w:color w:val="auto"/>
        </w:rPr>
        <w:t>Consent and Reaffirmation</w:t>
      </w:r>
    </w:p>
    <w:p>
      <w:pPr>
        <w:sectPr>
          <w:pgSz w:w="11900" w:h="16838" w:orient="portrait"/>
          <w:cols w:equalWidth="0" w:num="1">
            <w:col w:w="11240"/>
          </w:cols>
          <w:pgMar w:left="320" w:top="1080" w:right="339" w:bottom="1440" w:gutter="0" w:footer="0" w:header="0"/>
        </w:sectPr>
      </w:pPr>
    </w:p>
    <w:bookmarkStart w:id="59" w:name="page60"/>
    <w:bookmarkEnd w:id="59"/>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has executed this Consent and Reaffirmation on and as of the date of the First Amendment.</w:t>
      </w:r>
    </w:p>
    <w:p>
      <w:pPr>
        <w:spacing w:after="0" w:line="17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MATADOR RESOURCES COMPANY</w:t>
      </w:r>
    </w:p>
    <w:p>
      <w:pPr>
        <w:ind w:left="2600"/>
        <w:spacing w:after="0" w:line="204" w:lineRule="auto"/>
        <w:rPr>
          <w:sz w:val="20"/>
          <w:szCs w:val="20"/>
          <w:color w:val="auto"/>
        </w:rPr>
      </w:pPr>
      <w:r>
        <w:rPr>
          <w:rFonts w:ascii="Times New Roman" w:cs="Times New Roman" w:eastAsia="Times New Roman" w:hAnsi="Times New Roman"/>
          <w:sz w:val="22"/>
          <w:szCs w:val="22"/>
          <w:b w:val="1"/>
          <w:bCs w:val="1"/>
          <w:color w:val="auto"/>
        </w:rPr>
        <w:t>LONGWOOD GATHERING AND DISPOSAL SYSTEMS GP, INC.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MRC PERMIAN COMPANY</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MATADOR PRODUCTION COMPANY</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MRC ROCKIES COMPANY</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WR PERMIAN, LLC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MRC PERMIAN LKE COMPANY, LLC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LONGWOOD MIDSTREAM HOLDINGS, LLC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MRC ENERGY SOUTHEAST COMPANY, LLC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MRC ENERGY SOUTH TEXAS COMPANY, LLC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DELAWARE WATER MANAGEMENT COMPANY, LLC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LONGWOOD MIDSTREAM DELAWARE, LLC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LONGWOOD MIDSTREAM SOUTHEAST, LLC</w:t>
      </w:r>
    </w:p>
    <w:p>
      <w:pPr>
        <w:ind w:left="2600"/>
        <w:spacing w:after="0" w:line="204" w:lineRule="auto"/>
        <w:rPr>
          <w:sz w:val="20"/>
          <w:szCs w:val="20"/>
          <w:color w:val="auto"/>
        </w:rPr>
      </w:pPr>
      <w:r>
        <w:rPr>
          <w:rFonts w:ascii="Times New Roman" w:cs="Times New Roman" w:eastAsia="Times New Roman" w:hAnsi="Times New Roman"/>
          <w:sz w:val="22"/>
          <w:szCs w:val="22"/>
          <w:b w:val="1"/>
          <w:bCs w:val="1"/>
          <w:color w:val="auto"/>
        </w:rPr>
        <w:t>LONGWOOD MIDSTREAM SOUTH TEXAS, LLC</w:t>
      </w:r>
    </w:p>
    <w:p>
      <w:pPr>
        <w:ind w:left="2600"/>
        <w:spacing w:after="0" w:line="205" w:lineRule="auto"/>
        <w:rPr>
          <w:sz w:val="20"/>
          <w:szCs w:val="20"/>
          <w:color w:val="auto"/>
        </w:rPr>
      </w:pPr>
      <w:r>
        <w:rPr>
          <w:rFonts w:ascii="Times New Roman" w:cs="Times New Roman" w:eastAsia="Times New Roman" w:hAnsi="Times New Roman"/>
          <w:sz w:val="22"/>
          <w:szCs w:val="22"/>
          <w:b w:val="1"/>
          <w:bCs w:val="1"/>
          <w:color w:val="auto"/>
        </w:rPr>
        <w:t>SOUTHEAST WATER MANAGEMENT COMPANY, LLC</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MRC DELAWARE RESOURCES, LLC</w:t>
      </w:r>
    </w:p>
    <w:p>
      <w:pPr>
        <w:spacing w:after="0" w:line="200" w:lineRule="exact"/>
        <w:rPr>
          <w:sz w:val="20"/>
          <w:szCs w:val="20"/>
          <w:color w:val="auto"/>
        </w:rPr>
      </w:pPr>
    </w:p>
    <w:p>
      <w:pPr>
        <w:spacing w:after="0" w:line="212"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Craig 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-5715</wp:posOffset>
            </wp:positionV>
            <wp:extent cx="11963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2600"/>
        <w:spacing w:after="0" w:line="204" w:lineRule="auto"/>
        <w:tabs>
          <w:tab w:leader="none" w:pos="3420" w:val="left"/>
        </w:tabs>
        <w:rPr>
          <w:sz w:val="20"/>
          <w:szCs w:val="20"/>
          <w:color w:val="auto"/>
        </w:rPr>
      </w:pPr>
      <w:r>
        <w:rPr>
          <w:rFonts w:ascii="Times New Roman" w:cs="Times New Roman" w:eastAsia="Times New Roman" w:hAnsi="Times New Roman"/>
          <w:sz w:val="22"/>
          <w:szCs w:val="22"/>
          <w:color w:val="auto"/>
        </w:rPr>
        <w:t>Name:</w:t>
        <w:tab/>
        <w:t>Craig N. Adams</w:t>
      </w:r>
    </w:p>
    <w:p>
      <w:pPr>
        <w:spacing w:after="0" w:line="1" w:lineRule="exact"/>
        <w:rPr>
          <w:sz w:val="20"/>
          <w:szCs w:val="20"/>
          <w:color w:val="auto"/>
        </w:rPr>
      </w:pPr>
    </w:p>
    <w:p>
      <w:pPr>
        <w:ind w:left="2600"/>
        <w:spacing w:after="0"/>
        <w:tabs>
          <w:tab w:leader="none" w:pos="32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16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LONGWOOD GATHERING AND</w:t>
      </w:r>
    </w:p>
    <w:p>
      <w:pPr>
        <w:ind w:left="2600"/>
        <w:spacing w:after="0"/>
        <w:rPr>
          <w:sz w:val="20"/>
          <w:szCs w:val="20"/>
          <w:color w:val="auto"/>
        </w:rPr>
      </w:pPr>
      <w:r>
        <w:rPr>
          <w:rFonts w:ascii="Times New Roman" w:cs="Times New Roman" w:eastAsia="Times New Roman" w:hAnsi="Times New Roman"/>
          <w:sz w:val="22"/>
          <w:szCs w:val="22"/>
          <w:b w:val="1"/>
          <w:bCs w:val="1"/>
          <w:color w:val="auto"/>
        </w:rPr>
        <w:t>DISPOSAL SYSTEMS, LP</w:t>
      </w:r>
    </w:p>
    <w:p>
      <w:pPr>
        <w:spacing w:after="0" w:line="142"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Longwood Gathering and Disposal</w:t>
      </w:r>
    </w:p>
    <w:p>
      <w:pPr>
        <w:ind w:left="2820"/>
        <w:spacing w:after="0"/>
        <w:rPr>
          <w:sz w:val="20"/>
          <w:szCs w:val="20"/>
          <w:color w:val="auto"/>
        </w:rPr>
      </w:pPr>
      <w:r>
        <w:rPr>
          <w:rFonts w:ascii="Times New Roman" w:cs="Times New Roman" w:eastAsia="Times New Roman" w:hAnsi="Times New Roman"/>
          <w:sz w:val="22"/>
          <w:szCs w:val="22"/>
          <w:color w:val="auto"/>
        </w:rPr>
        <w:t>Systems GP, Inc., its General Partner</w:t>
      </w:r>
    </w:p>
    <w:p>
      <w:pPr>
        <w:spacing w:after="0" w:line="385"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Craig 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-5715</wp:posOffset>
            </wp:positionV>
            <wp:extent cx="11963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3900"/>
        <w:spacing w:after="0" w:line="204" w:lineRule="auto"/>
        <w:tabs>
          <w:tab w:leader="none" w:pos="4720" w:val="left"/>
        </w:tabs>
        <w:rPr>
          <w:sz w:val="20"/>
          <w:szCs w:val="20"/>
          <w:color w:val="auto"/>
        </w:rPr>
      </w:pPr>
      <w:r>
        <w:rPr>
          <w:rFonts w:ascii="Times New Roman" w:cs="Times New Roman" w:eastAsia="Times New Roman" w:hAnsi="Times New Roman"/>
          <w:sz w:val="22"/>
          <w:szCs w:val="22"/>
          <w:color w:val="auto"/>
        </w:rPr>
        <w:t>Name:</w:t>
        <w:tab/>
        <w:t>Craig N. Adams</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jc w:val="center"/>
        <w:ind w:right="-19"/>
        <w:spacing w:after="0"/>
        <w:rPr>
          <w:sz w:val="20"/>
          <w:szCs w:val="20"/>
          <w:color w:val="auto"/>
        </w:rPr>
      </w:pPr>
      <w:r>
        <w:rPr>
          <w:rFonts w:ascii="Times New Roman" w:cs="Times New Roman" w:eastAsia="Times New Roman" w:hAnsi="Times New Roman"/>
          <w:sz w:val="14"/>
          <w:szCs w:val="14"/>
          <w:color w:val="auto"/>
        </w:rPr>
        <w:t>Consent and Reaffirmation Signature Page</w:t>
      </w:r>
    </w:p>
    <w:p>
      <w:pPr>
        <w:sectPr>
          <w:pgSz w:w="11900" w:h="16838" w:orient="portrait"/>
          <w:cols w:equalWidth="0" w:num="1">
            <w:col w:w="11240"/>
          </w:cols>
          <w:pgMar w:left="320" w:top="1300" w:right="339" w:bottom="1440" w:gutter="0" w:footer="0" w:header="0"/>
        </w:sectPr>
      </w:pPr>
    </w:p>
    <w:bookmarkStart w:id="60" w:name="page61"/>
    <w:bookmarkEnd w:id="60"/>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AMENDED CREDIT AGREEMENT</w:t>
      </w: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06" w:lineRule="auto"/>
        <w:rPr>
          <w:sz w:val="20"/>
          <w:szCs w:val="20"/>
          <w:color w:val="auto"/>
        </w:rPr>
      </w:pPr>
      <w:r>
        <w:rPr>
          <w:rFonts w:ascii="Times New Roman" w:cs="Times New Roman" w:eastAsia="Times New Roman" w:hAnsi="Times New Roman"/>
          <w:sz w:val="14"/>
          <w:szCs w:val="14"/>
          <w:color w:val="auto"/>
        </w:rPr>
        <w:t>First Amendment</w:t>
      </w:r>
    </w:p>
    <w:p>
      <w:pPr>
        <w:ind w:left="5260"/>
        <w:spacing w:after="0"/>
        <w:rPr>
          <w:sz w:val="20"/>
          <w:szCs w:val="20"/>
          <w:color w:val="auto"/>
        </w:rPr>
      </w:pPr>
      <w:r>
        <w:rPr>
          <w:rFonts w:ascii="Times New Roman" w:cs="Times New Roman" w:eastAsia="Times New Roman" w:hAnsi="Times New Roman"/>
          <w:sz w:val="14"/>
          <w:szCs w:val="14"/>
          <w:color w:val="auto"/>
        </w:rPr>
        <w:t>EXHIBIT A</w:t>
      </w:r>
    </w:p>
    <w:p>
      <w:pPr>
        <w:sectPr>
          <w:pgSz w:w="11900" w:h="16838" w:orient="portrait"/>
          <w:cols w:equalWidth="0" w:num="1">
            <w:col w:w="10139"/>
          </w:cols>
          <w:pgMar w:left="320" w:top="1080"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i w:val="1"/>
          <w:iCs w:val="1"/>
          <w:u w:val="single" w:color="auto"/>
          <w:color w:val="0000FF"/>
        </w:rPr>
        <w:t>As amended as of the First Amendment to Credit Agreement,</w:t>
      </w:r>
    </w:p>
    <w:p>
      <w:pPr>
        <w:jc w:val="right"/>
        <w:spacing w:after="0"/>
        <w:rPr>
          <w:sz w:val="20"/>
          <w:szCs w:val="20"/>
          <w:color w:val="auto"/>
        </w:rPr>
      </w:pPr>
      <w:r>
        <w:rPr>
          <w:rFonts w:ascii="Times New Roman" w:cs="Times New Roman" w:eastAsia="Times New Roman" w:hAnsi="Times New Roman"/>
          <w:sz w:val="22"/>
          <w:szCs w:val="22"/>
          <w:b w:val="1"/>
          <w:bCs w:val="1"/>
          <w:i w:val="1"/>
          <w:iCs w:val="1"/>
          <w:u w:val="single" w:color="auto"/>
          <w:color w:val="0000FF"/>
        </w:rPr>
        <w:t>dated as of 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AMENDED AND RESTATED CREDIT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November 18, 2021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MRC ENERGY COMPANY,</w:t>
      </w:r>
    </w:p>
    <w:p>
      <w:pPr>
        <w:jc w:val="center"/>
        <w:spacing w:after="0"/>
        <w:rPr>
          <w:sz w:val="20"/>
          <w:szCs w:val="20"/>
          <w:color w:val="auto"/>
        </w:rPr>
      </w:pPr>
      <w:r>
        <w:rPr>
          <w:rFonts w:ascii="Times New Roman" w:cs="Times New Roman" w:eastAsia="Times New Roman" w:hAnsi="Times New Roman"/>
          <w:sz w:val="22"/>
          <w:szCs w:val="22"/>
          <w:b w:val="1"/>
          <w:bCs w:val="1"/>
          <w:color w:val="auto"/>
        </w:rPr>
        <w:t>as Borrower,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LENDING ENTITIES FROM TIME TO TIME PARTIES HERETO,</w:t>
      </w:r>
    </w:p>
    <w:p>
      <w:pPr>
        <w:jc w:val="center"/>
        <w:spacing w:after="0"/>
        <w:rPr>
          <w:sz w:val="20"/>
          <w:szCs w:val="20"/>
          <w:color w:val="auto"/>
        </w:rPr>
      </w:pPr>
      <w:r>
        <w:rPr>
          <w:rFonts w:ascii="Times New Roman" w:cs="Times New Roman" w:eastAsia="Times New Roman" w:hAnsi="Times New Roman"/>
          <w:sz w:val="22"/>
          <w:szCs w:val="22"/>
          <w:b w:val="1"/>
          <w:bCs w:val="1"/>
          <w:color w:val="auto"/>
        </w:rPr>
        <w:t>as Lenders,</w:t>
      </w:r>
    </w:p>
    <w:p>
      <w:pPr>
        <w:spacing w:after="0" w:line="17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9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ROYAL BANK OF CANADA,</w:t>
      </w:r>
    </w:p>
    <w:p>
      <w:pPr>
        <w:ind w:left="4500"/>
        <w:spacing w:after="0"/>
        <w:rPr>
          <w:sz w:val="20"/>
          <w:szCs w:val="20"/>
          <w:color w:val="auto"/>
        </w:rPr>
      </w:pPr>
      <w:r>
        <w:rPr>
          <w:rFonts w:ascii="Times New Roman" w:cs="Times New Roman" w:eastAsia="Times New Roman" w:hAnsi="Times New Roman"/>
          <w:sz w:val="22"/>
          <w:szCs w:val="22"/>
          <w:b w:val="1"/>
          <w:bCs w:val="1"/>
          <w:color w:val="auto"/>
        </w:rPr>
        <w:t>as Administrative Agent</w:t>
      </w:r>
    </w:p>
    <w:p>
      <w:pPr>
        <w:spacing w:after="0" w:line="16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RBC CAPITAL MARKETS,</w:t>
      </w:r>
    </w:p>
    <w:p>
      <w:pPr>
        <w:ind w:left="3480"/>
        <w:spacing w:after="0"/>
        <w:rPr>
          <w:sz w:val="20"/>
          <w:szCs w:val="20"/>
          <w:color w:val="auto"/>
        </w:rPr>
      </w:pPr>
      <w:r>
        <w:rPr>
          <w:rFonts w:ascii="Times New Roman" w:cs="Times New Roman" w:eastAsia="Times New Roman" w:hAnsi="Times New Roman"/>
          <w:sz w:val="22"/>
          <w:szCs w:val="22"/>
          <w:b w:val="1"/>
          <w:bCs w:val="1"/>
          <w:color w:val="auto"/>
        </w:rPr>
        <w:t>as Joint Lead Arranger and Joint Bookrunner,</w:t>
      </w:r>
    </w:p>
    <w:p>
      <w:pPr>
        <w:spacing w:after="0" w:line="17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9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TRUIST SECURITIES, INC.,</w:t>
      </w:r>
    </w:p>
    <w:p>
      <w:pPr>
        <w:ind w:left="3480"/>
        <w:spacing w:after="0"/>
        <w:rPr>
          <w:sz w:val="20"/>
          <w:szCs w:val="20"/>
          <w:color w:val="auto"/>
        </w:rPr>
      </w:pPr>
      <w:r>
        <w:rPr>
          <w:rFonts w:ascii="Times New Roman" w:cs="Times New Roman" w:eastAsia="Times New Roman" w:hAnsi="Times New Roman"/>
          <w:sz w:val="22"/>
          <w:szCs w:val="22"/>
          <w:b w:val="1"/>
          <w:bCs w:val="1"/>
          <w:color w:val="auto"/>
        </w:rPr>
        <w:t>as Joint Lead Arranger and Joint Bookrunner,</w:t>
      </w:r>
    </w:p>
    <w:p>
      <w:pPr>
        <w:spacing w:after="0" w:line="17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9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TRUIST BANK,</w:t>
      </w:r>
    </w:p>
    <w:p>
      <w:pPr>
        <w:ind w:left="4620"/>
        <w:spacing w:after="0"/>
        <w:rPr>
          <w:sz w:val="20"/>
          <w:szCs w:val="20"/>
          <w:color w:val="auto"/>
        </w:rPr>
      </w:pPr>
      <w:r>
        <w:rPr>
          <w:rFonts w:ascii="Times New Roman" w:cs="Times New Roman" w:eastAsia="Times New Roman" w:hAnsi="Times New Roman"/>
          <w:sz w:val="22"/>
          <w:szCs w:val="22"/>
          <w:b w:val="1"/>
          <w:bCs w:val="1"/>
          <w:color w:val="auto"/>
        </w:rPr>
        <w:t>as Syndication Agent,</w:t>
      </w:r>
    </w:p>
    <w:p>
      <w:pPr>
        <w:spacing w:after="0" w:line="17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9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jc w:val="center"/>
        <w:spacing w:after="0" w:line="218" w:lineRule="auto"/>
        <w:rPr>
          <w:sz w:val="20"/>
          <w:szCs w:val="20"/>
          <w:color w:val="auto"/>
        </w:rPr>
      </w:pPr>
      <w:r>
        <w:rPr>
          <w:rFonts w:ascii="Times New Roman" w:cs="Times New Roman" w:eastAsia="Times New Roman" w:hAnsi="Times New Roman"/>
          <w:sz w:val="22"/>
          <w:szCs w:val="22"/>
          <w:b w:val="1"/>
          <w:bCs w:val="1"/>
          <w:color w:val="auto"/>
        </w:rPr>
        <w:t>BANK OF NOVA SCOTIA, HOUSTON BRANCH, and PNC BANK, NATIONAL ASSOCIATION, as Joint Lead Arrangers, Joint Bookrunners and Co-Documentation Agents,</w:t>
      </w:r>
    </w:p>
    <w:p>
      <w:pPr>
        <w:spacing w:after="0" w:line="17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9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KEYBANC CAPITAL MARKETS INC.,</w:t>
      </w:r>
    </w:p>
    <w:p>
      <w:pPr>
        <w:jc w:val="center"/>
        <w:spacing w:after="0"/>
        <w:rPr>
          <w:sz w:val="20"/>
          <w:szCs w:val="20"/>
          <w:color w:val="auto"/>
        </w:rPr>
      </w:pPr>
      <w:r>
        <w:rPr>
          <w:rFonts w:ascii="Times New Roman" w:cs="Times New Roman" w:eastAsia="Times New Roman" w:hAnsi="Times New Roman"/>
          <w:sz w:val="22"/>
          <w:szCs w:val="22"/>
          <w:b w:val="1"/>
          <w:bCs w:val="1"/>
          <w:color w:val="auto"/>
        </w:rPr>
        <w:t>as Joint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w:t>
      </w:r>
    </w:p>
    <w:p>
      <w:pPr>
        <w:spacing w:after="0" w:line="221" w:lineRule="auto"/>
        <w:rPr>
          <w:sz w:val="20"/>
          <w:szCs w:val="20"/>
          <w:color w:val="auto"/>
        </w:rPr>
      </w:pPr>
      <w:r>
        <w:rPr>
          <w:rFonts w:ascii="Times New Roman" w:cs="Times New Roman" w:eastAsia="Times New Roman" w:hAnsi="Times New Roman"/>
          <w:sz w:val="14"/>
          <w:szCs w:val="14"/>
          <w:color w:val="auto"/>
        </w:rPr>
        <w:t>First Amendment</w:t>
      </w:r>
    </w:p>
    <w:p>
      <w:pPr>
        <w:jc w:val="center"/>
        <w:spacing w:after="0"/>
        <w:rPr>
          <w:sz w:val="20"/>
          <w:szCs w:val="20"/>
          <w:color w:val="auto"/>
        </w:rPr>
      </w:pPr>
      <w:r>
        <w:rPr>
          <w:rFonts w:ascii="Times New Roman" w:cs="Times New Roman" w:eastAsia="Times New Roman" w:hAnsi="Times New Roman"/>
          <w:sz w:val="14"/>
          <w:szCs w:val="14"/>
          <w:color w:val="auto"/>
        </w:rPr>
        <w:t>Exhibit A</w:t>
      </w:r>
    </w:p>
    <w:p>
      <w:pPr>
        <w:sectPr>
          <w:pgSz w:w="11900" w:h="16838" w:orient="portrait"/>
          <w:cols w:equalWidth="0" w:num="1">
            <w:col w:w="11240"/>
          </w:cols>
          <w:pgMar w:left="320" w:top="86" w:right="339" w:bottom="1440" w:gutter="0" w:footer="0" w:header="0"/>
        </w:sectPr>
      </w:pPr>
    </w:p>
    <w:bookmarkStart w:id="62" w:name="page63"/>
    <w:bookmarkEnd w:id="62"/>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ARTICLE 1.</w:t>
            </w:r>
          </w:p>
        </w:tc>
        <w:tc>
          <w:tcPr>
            <w:tcW w:w="160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w w:val="97"/>
              </w:rPr>
              <w:t>DEFINITIONS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1.1</w:t>
            </w:r>
          </w:p>
        </w:tc>
        <w:tc>
          <w:tcPr>
            <w:tcW w:w="2160" w:type="dxa"/>
            <w:vAlign w:val="bottom"/>
            <w:gridSpan w:val="15"/>
          </w:tcPr>
          <w:p>
            <w:pPr>
              <w:ind w:left="20"/>
              <w:spacing w:after="0"/>
              <w:rPr>
                <w:sz w:val="20"/>
                <w:szCs w:val="20"/>
                <w:color w:val="auto"/>
              </w:rPr>
            </w:pPr>
            <w:r>
              <w:rPr>
                <w:rFonts w:ascii="Times New Roman" w:cs="Times New Roman" w:eastAsia="Times New Roman" w:hAnsi="Times New Roman"/>
                <w:sz w:val="22"/>
                <w:szCs w:val="22"/>
                <w:color w:val="auto"/>
              </w:rPr>
              <w:t>Certain Defined Terms</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auto"/>
              </w:rPr>
              <w:t>1.2</w:t>
            </w:r>
          </w:p>
        </w:tc>
        <w:tc>
          <w:tcPr>
            <w:tcW w:w="1600" w:type="dxa"/>
            <w:vAlign w:val="bottom"/>
            <w:gridSpan w:val="8"/>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Terms, Generally</w:t>
            </w:r>
          </w:p>
        </w:tc>
        <w:tc>
          <w:tcPr>
            <w:tcW w:w="340" w:type="dxa"/>
            <w:vAlign w:val="bottom"/>
            <w:gridSpan w:val="3"/>
          </w:tcPr>
          <w:p>
            <w:pPr>
              <w:ind w:left="140"/>
              <w:spacing w:after="0" w:line="229" w:lineRule="exact"/>
              <w:rPr>
                <w:sz w:val="20"/>
                <w:szCs w:val="20"/>
                <w:color w:val="auto"/>
              </w:rPr>
            </w:pPr>
            <w:r>
              <w:rPr>
                <w:rFonts w:ascii="Times New Roman" w:cs="Times New Roman" w:eastAsia="Times New Roman" w:hAnsi="Times New Roman"/>
                <w:sz w:val="22"/>
                <w:szCs w:val="22"/>
                <w:color w:val="FF0000"/>
                <w:strike w:val="1"/>
                <w:w w:val="81"/>
              </w:rPr>
              <w:t>38</w:t>
            </w:r>
          </w:p>
        </w:tc>
        <w:tc>
          <w:tcPr>
            <w:tcW w:w="220" w:type="dxa"/>
            <w:vAlign w:val="bottom"/>
            <w:tcBorders>
              <w:bottom w:val="single" w:sz="8" w:color="0000FF"/>
            </w:tcBorders>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w:t>
            </w:r>
          </w:p>
        </w:tc>
        <w:tc>
          <w:tcPr>
            <w:tcW w:w="194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22"/>
                <w:szCs w:val="22"/>
                <w:color w:val="auto"/>
                <w:w w:val="90"/>
              </w:rPr>
              <w:t>Oil and Gas Definitions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9"/>
              </w:rPr>
              <w:t>38</w:t>
            </w:r>
          </w:p>
        </w:tc>
        <w:tc>
          <w:tcPr>
            <w:tcW w:w="20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0000FF"/>
                <w:w w:val="81"/>
              </w:rPr>
              <w:t>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1.4</w:t>
            </w:r>
          </w:p>
        </w:tc>
        <w:tc>
          <w:tcPr>
            <w:tcW w:w="10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22"/>
                <w:szCs w:val="22"/>
                <w:color w:val="auto"/>
              </w:rPr>
              <w:t>Divisions</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38</w:t>
            </w:r>
          </w:p>
        </w:tc>
        <w:tc>
          <w:tcPr>
            <w:tcW w:w="22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0000FF"/>
              </w:rPr>
              <w:t>1.</w:t>
            </w:r>
            <w:r>
              <w:rPr>
                <w:rFonts w:ascii="Times New Roman" w:cs="Times New Roman" w:eastAsia="Times New Roman" w:hAnsi="Times New Roman"/>
                <w:sz w:val="22"/>
                <w:szCs w:val="22"/>
                <w:u w:val="single" w:color="auto"/>
                <w:color w:val="0000FF"/>
              </w:rPr>
              <w:t>5</w:t>
            </w:r>
          </w:p>
        </w:tc>
        <w:tc>
          <w:tcPr>
            <w:tcW w:w="15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22"/>
                <w:szCs w:val="22"/>
                <w:color w:val="0000FF"/>
                <w:w w:val="85"/>
              </w:rPr>
              <w:t>Types of Advances</w:t>
            </w:r>
          </w:p>
        </w:tc>
        <w:tc>
          <w:tcPr>
            <w:tcW w:w="100" w:type="dxa"/>
            <w:vAlign w:val="bottom"/>
          </w:tcPr>
          <w:p>
            <w:pPr>
              <w:spacing w:after="0"/>
              <w:rPr>
                <w:sz w:val="17"/>
                <w:szCs w:val="17"/>
                <w:color w:val="auto"/>
              </w:rPr>
            </w:pPr>
          </w:p>
        </w:tc>
        <w:tc>
          <w:tcPr>
            <w:tcW w:w="1580" w:type="dxa"/>
            <w:vAlign w:val="bottom"/>
            <w:gridSpan w:val="20"/>
          </w:tcPr>
          <w:p>
            <w:pPr>
              <w:jc w:val="right"/>
              <w:ind w:right="60"/>
              <w:spacing w:after="0" w:line="196" w:lineRule="exact"/>
              <w:rPr>
                <w:sz w:val="20"/>
                <w:szCs w:val="20"/>
                <w:color w:val="auto"/>
              </w:rPr>
            </w:pPr>
            <w:r>
              <w:rPr>
                <w:rFonts w:ascii="Times New Roman" w:cs="Times New Roman" w:eastAsia="Times New Roman" w:hAnsi="Times New Roman"/>
                <w:sz w:val="22"/>
                <w:szCs w:val="22"/>
                <w:color w:val="0000FF"/>
              </w:rPr>
              <w:t>and Borrowings</w:t>
            </w:r>
          </w:p>
        </w:tc>
        <w:tc>
          <w:tcPr>
            <w:tcW w:w="520" w:type="dxa"/>
            <w:vAlign w:val="bottom"/>
            <w:gridSpan w:val="3"/>
          </w:tcPr>
          <w:p>
            <w:pPr>
              <w:jc w:val="right"/>
              <w:ind w:right="52"/>
              <w:spacing w:after="0" w:line="196" w:lineRule="exact"/>
              <w:rPr>
                <w:sz w:val="20"/>
                <w:szCs w:val="20"/>
                <w:color w:val="auto"/>
              </w:rPr>
            </w:pPr>
            <w:r>
              <w:rPr>
                <w:rFonts w:ascii="Times New Roman" w:cs="Times New Roman" w:eastAsia="Times New Roman" w:hAnsi="Times New Roman"/>
                <w:sz w:val="22"/>
                <w:szCs w:val="22"/>
                <w:color w:val="0000FF"/>
              </w:rPr>
              <w:t>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6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22"/>
                <w:szCs w:val="22"/>
                <w:color w:val="0000FF"/>
              </w:rPr>
              <w:t>1.</w:t>
            </w:r>
            <w:r>
              <w:rPr>
                <w:rFonts w:ascii="Times New Roman" w:cs="Times New Roman" w:eastAsia="Times New Roman" w:hAnsi="Times New Roman"/>
                <w:sz w:val="22"/>
                <w:szCs w:val="22"/>
                <w:u w:val="single" w:color="auto"/>
                <w:color w:val="0000FF"/>
              </w:rPr>
              <w:t>6</w:t>
            </w:r>
          </w:p>
        </w:tc>
        <w:tc>
          <w:tcPr>
            <w:tcW w:w="3460" w:type="dxa"/>
            <w:vAlign w:val="bottom"/>
            <w:tcBorders>
              <w:top w:val="single" w:sz="8" w:color="0000FF"/>
            </w:tcBorders>
            <w:gridSpan w:val="29"/>
          </w:tcPr>
          <w:p>
            <w:pPr>
              <w:ind w:left="20"/>
              <w:spacing w:after="0" w:line="196" w:lineRule="exact"/>
              <w:rPr>
                <w:sz w:val="20"/>
                <w:szCs w:val="20"/>
                <w:color w:val="auto"/>
              </w:rPr>
            </w:pPr>
            <w:r>
              <w:rPr>
                <w:rFonts w:ascii="Times New Roman" w:cs="Times New Roman" w:eastAsia="Times New Roman" w:hAnsi="Times New Roman"/>
                <w:sz w:val="22"/>
                <w:szCs w:val="22"/>
                <w:color w:val="0000FF"/>
                <w:w w:val="99"/>
              </w:rPr>
              <w:t>Interest Rates; Benchmark Notification</w:t>
            </w:r>
          </w:p>
        </w:tc>
        <w:tc>
          <w:tcPr>
            <w:tcW w:w="80" w:type="dxa"/>
            <w:vAlign w:val="bottom"/>
            <w:tcBorders>
              <w:top w:val="single" w:sz="8" w:color="0000FF"/>
            </w:tcBorders>
          </w:tcPr>
          <w:p>
            <w:pPr>
              <w:spacing w:after="0"/>
              <w:rPr>
                <w:sz w:val="17"/>
                <w:szCs w:val="17"/>
                <w:color w:val="auto"/>
              </w:rPr>
            </w:pPr>
          </w:p>
        </w:tc>
        <w:tc>
          <w:tcPr>
            <w:tcW w:w="38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22"/>
                <w:szCs w:val="22"/>
                <w:color w:val="0000FF"/>
              </w:rPr>
              <w:t>37</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ARTICLE 2.</w:t>
            </w:r>
          </w:p>
        </w:tc>
        <w:tc>
          <w:tcPr>
            <w:tcW w:w="2480" w:type="dxa"/>
            <w:vAlign w:val="bottom"/>
            <w:gridSpan w:val="21"/>
          </w:tcPr>
          <w:p>
            <w:pPr>
              <w:ind w:left="220"/>
              <w:spacing w:after="0"/>
              <w:rPr>
                <w:sz w:val="20"/>
                <w:szCs w:val="20"/>
                <w:color w:val="auto"/>
              </w:rPr>
            </w:pPr>
            <w:r>
              <w:rPr>
                <w:rFonts w:ascii="Times New Roman" w:cs="Times New Roman" w:eastAsia="Times New Roman" w:hAnsi="Times New Roman"/>
                <w:sz w:val="22"/>
                <w:szCs w:val="22"/>
                <w:color w:val="auto"/>
              </w:rPr>
              <w:t>REVOLVING CREDIT</w:t>
            </w:r>
          </w:p>
        </w:tc>
        <w:tc>
          <w:tcPr>
            <w:tcW w:w="2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9"/>
              </w:rPr>
              <w:t>39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0000FF"/>
                <w:w w:val="90"/>
              </w:rPr>
              <w:t>38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2.1</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8"/>
              </w:rPr>
              <w:t>Commitment</w:t>
            </w:r>
          </w:p>
        </w:tc>
        <w:tc>
          <w:tcPr>
            <w:tcW w:w="160" w:type="dxa"/>
            <w:vAlign w:val="bottom"/>
            <w:gridSpan w:val="2"/>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FF0000"/>
                <w:strike w:val="1"/>
              </w:rPr>
              <w:t>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38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660"/>
              <w:spacing w:after="0" w:line="216" w:lineRule="exact"/>
              <w:rPr>
                <w:sz w:val="20"/>
                <w:szCs w:val="20"/>
                <w:color w:val="auto"/>
              </w:rPr>
            </w:pPr>
            <w:r>
              <w:rPr>
                <w:rFonts w:ascii="Times New Roman" w:cs="Times New Roman" w:eastAsia="Times New Roman" w:hAnsi="Times New Roman"/>
                <w:sz w:val="22"/>
                <w:szCs w:val="22"/>
                <w:color w:val="auto"/>
              </w:rPr>
              <w:t>2.2</w:t>
            </w:r>
          </w:p>
        </w:tc>
        <w:tc>
          <w:tcPr>
            <w:tcW w:w="1600" w:type="dxa"/>
            <w:vAlign w:val="bottom"/>
            <w:gridSpan w:val="8"/>
            <w:vMerge w:val="restart"/>
          </w:tcPr>
          <w:p>
            <w:pPr>
              <w:ind w:left="20"/>
              <w:spacing w:after="0" w:line="216" w:lineRule="exact"/>
              <w:rPr>
                <w:sz w:val="20"/>
                <w:szCs w:val="20"/>
                <w:color w:val="auto"/>
              </w:rPr>
            </w:pPr>
            <w:r>
              <w:rPr>
                <w:rFonts w:ascii="Times New Roman" w:cs="Times New Roman" w:eastAsia="Times New Roman" w:hAnsi="Times New Roman"/>
                <w:sz w:val="22"/>
                <w:szCs w:val="22"/>
                <w:color w:val="auto"/>
                <w:w w:val="93"/>
              </w:rPr>
              <w:t>Accrual of Interest</w:t>
            </w: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vMerge w:val="continue"/>
          </w:tcPr>
          <w:p>
            <w:pPr>
              <w:spacing w:after="0"/>
              <w:rPr>
                <w:sz w:val="17"/>
                <w:szCs w:val="17"/>
                <w:color w:val="auto"/>
              </w:rPr>
            </w:pPr>
          </w:p>
        </w:tc>
        <w:tc>
          <w:tcPr>
            <w:tcW w:w="1600" w:type="dxa"/>
            <w:vAlign w:val="bottom"/>
            <w:gridSpan w:val="8"/>
            <w:vMerge w:val="continue"/>
          </w:tcPr>
          <w:p>
            <w:pPr>
              <w:spacing w:after="0"/>
              <w:rPr>
                <w:sz w:val="17"/>
                <w:szCs w:val="17"/>
                <w:color w:val="auto"/>
              </w:rPr>
            </w:pPr>
          </w:p>
        </w:tc>
        <w:tc>
          <w:tcPr>
            <w:tcW w:w="3760" w:type="dxa"/>
            <w:vAlign w:val="bottom"/>
            <w:gridSpan w:val="29"/>
          </w:tcPr>
          <w:p>
            <w:pPr>
              <w:ind w:left="80"/>
              <w:spacing w:after="0" w:line="196" w:lineRule="exact"/>
              <w:rPr>
                <w:sz w:val="20"/>
                <w:szCs w:val="20"/>
                <w:color w:val="auto"/>
              </w:rPr>
            </w:pPr>
            <w:r>
              <w:rPr>
                <w:rFonts w:ascii="Times New Roman" w:cs="Times New Roman" w:eastAsia="Times New Roman" w:hAnsi="Times New Roman"/>
                <w:sz w:val="22"/>
                <w:szCs w:val="22"/>
                <w:color w:val="auto"/>
              </w:rPr>
              <w:t>and Maturity; Evidence of Indebtedness</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39</w:t>
            </w:r>
          </w:p>
        </w:tc>
        <w:tc>
          <w:tcPr>
            <w:tcW w:w="20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22"/>
                <w:szCs w:val="22"/>
                <w:color w:val="0000FF"/>
                <w:w w:val="81"/>
              </w:rPr>
              <w:t>38</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2.3</w:t>
            </w:r>
          </w:p>
        </w:tc>
        <w:tc>
          <w:tcPr>
            <w:tcW w:w="5780" w:type="dxa"/>
            <w:vAlign w:val="bottom"/>
            <w:gridSpan w:val="39"/>
          </w:tcPr>
          <w:p>
            <w:pPr>
              <w:ind w:left="20"/>
              <w:spacing w:after="0" w:line="196" w:lineRule="exact"/>
              <w:rPr>
                <w:sz w:val="20"/>
                <w:szCs w:val="20"/>
                <w:color w:val="auto"/>
              </w:rPr>
            </w:pPr>
            <w:r>
              <w:rPr>
                <w:rFonts w:ascii="Times New Roman" w:cs="Times New Roman" w:eastAsia="Times New Roman" w:hAnsi="Times New Roman"/>
                <w:sz w:val="22"/>
                <w:szCs w:val="22"/>
                <w:color w:val="auto"/>
                <w:w w:val="99"/>
              </w:rPr>
              <w:t>Requests for Advances and for Continuations and Conversions of</w:t>
            </w:r>
          </w:p>
        </w:tc>
        <w:tc>
          <w:tcPr>
            <w:tcW w:w="1020" w:type="dxa"/>
            <w:vAlign w:val="bottom"/>
            <w:gridSpan w:val="2"/>
          </w:tcPr>
          <w:p>
            <w:pPr>
              <w:jc w:val="right"/>
              <w:ind w:right="92"/>
              <w:spacing w:after="0" w:line="196" w:lineRule="exact"/>
              <w:rPr>
                <w:sz w:val="20"/>
                <w:szCs w:val="20"/>
                <w:color w:val="auto"/>
              </w:rPr>
            </w:pPr>
            <w:r>
              <w:rPr>
                <w:rFonts w:ascii="Times New Roman" w:cs="Times New Roman" w:eastAsia="Times New Roman" w:hAnsi="Times New Roman"/>
                <w:sz w:val="22"/>
                <w:szCs w:val="22"/>
                <w:color w:val="auto"/>
                <w:w w:val="92"/>
              </w:rPr>
              <w:t>Advances</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40</w:t>
            </w:r>
          </w:p>
        </w:tc>
        <w:tc>
          <w:tcPr>
            <w:tcW w:w="1020" w:type="dxa"/>
            <w:vAlign w:val="bottom"/>
            <w:gridSpan w:val="2"/>
          </w:tcPr>
          <w:p>
            <w:pPr>
              <w:jc w:val="right"/>
              <w:ind w:right="800"/>
              <w:spacing w:after="0" w:line="196" w:lineRule="exact"/>
              <w:rPr>
                <w:sz w:val="20"/>
                <w:szCs w:val="20"/>
                <w:color w:val="auto"/>
              </w:rPr>
            </w:pPr>
            <w:r>
              <w:rPr>
                <w:rFonts w:ascii="Times New Roman" w:cs="Times New Roman" w:eastAsia="Times New Roman" w:hAnsi="Times New Roman"/>
                <w:sz w:val="22"/>
                <w:szCs w:val="22"/>
                <w:color w:val="0000FF"/>
                <w:w w:val="90"/>
              </w:rPr>
              <w:t>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gridSpan w:val="2"/>
          </w:tcPr>
          <w:p>
            <w:pPr>
              <w:ind w:left="660"/>
              <w:spacing w:after="0" w:line="183" w:lineRule="exact"/>
              <w:rPr>
                <w:sz w:val="20"/>
                <w:szCs w:val="20"/>
                <w:color w:val="auto"/>
              </w:rPr>
            </w:pPr>
            <w:r>
              <w:rPr>
                <w:rFonts w:ascii="Times New Roman" w:cs="Times New Roman" w:eastAsia="Times New Roman" w:hAnsi="Times New Roman"/>
                <w:sz w:val="21"/>
                <w:szCs w:val="21"/>
                <w:color w:val="auto"/>
              </w:rPr>
              <w:t>2.4</w:t>
            </w:r>
          </w:p>
        </w:tc>
        <w:tc>
          <w:tcPr>
            <w:tcW w:w="2480" w:type="dxa"/>
            <w:vAlign w:val="bottom"/>
            <w:gridSpan w:val="21"/>
          </w:tcPr>
          <w:p>
            <w:pPr>
              <w:ind w:left="20"/>
              <w:spacing w:after="0" w:line="183" w:lineRule="exact"/>
              <w:rPr>
                <w:sz w:val="20"/>
                <w:szCs w:val="20"/>
                <w:color w:val="auto"/>
              </w:rPr>
            </w:pPr>
            <w:r>
              <w:rPr>
                <w:rFonts w:ascii="Times New Roman" w:cs="Times New Roman" w:eastAsia="Times New Roman" w:hAnsi="Times New Roman"/>
                <w:sz w:val="21"/>
                <w:szCs w:val="21"/>
                <w:color w:val="auto"/>
              </w:rPr>
              <w:t>Disbursement of Advances</w:t>
            </w:r>
          </w:p>
        </w:tc>
        <w:tc>
          <w:tcPr>
            <w:tcW w:w="460" w:type="dxa"/>
            <w:vAlign w:val="bottom"/>
            <w:gridSpan w:val="6"/>
          </w:tcPr>
          <w:p>
            <w:pPr>
              <w:jc w:val="right"/>
              <w:ind w:right="32"/>
              <w:spacing w:after="0" w:line="183" w:lineRule="exact"/>
              <w:rPr>
                <w:sz w:val="20"/>
                <w:szCs w:val="20"/>
                <w:color w:val="auto"/>
              </w:rPr>
            </w:pPr>
            <w:r>
              <w:rPr>
                <w:rFonts w:ascii="Times New Roman" w:cs="Times New Roman" w:eastAsia="Times New Roman" w:hAnsi="Times New Roman"/>
                <w:sz w:val="21"/>
                <w:szCs w:val="21"/>
                <w:color w:val="auto"/>
              </w:rPr>
              <w:t>41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2.5</w:t>
            </w:r>
          </w:p>
        </w:tc>
        <w:tc>
          <w:tcPr>
            <w:tcW w:w="2160" w:type="dxa"/>
            <w:vAlign w:val="bottom"/>
            <w:gridSpan w:val="15"/>
          </w:tcPr>
          <w:p>
            <w:pPr>
              <w:ind w:left="20"/>
              <w:spacing w:after="0" w:line="216" w:lineRule="exact"/>
              <w:rPr>
                <w:sz w:val="20"/>
                <w:szCs w:val="20"/>
                <w:color w:val="auto"/>
              </w:rPr>
            </w:pPr>
            <w:r>
              <w:rPr>
                <w:rFonts w:ascii="Times New Roman" w:cs="Times New Roman" w:eastAsia="Times New Roman" w:hAnsi="Times New Roman"/>
                <w:sz w:val="22"/>
                <w:szCs w:val="22"/>
                <w:color w:val="auto"/>
              </w:rPr>
              <w:t>[Intentionally Omitted]</w:t>
            </w:r>
          </w:p>
        </w:tc>
        <w:tc>
          <w:tcPr>
            <w:tcW w:w="320" w:type="dxa"/>
            <w:vAlign w:val="bottom"/>
            <w:gridSpan w:val="6"/>
          </w:tcPr>
          <w:p>
            <w:pPr>
              <w:ind w:left="80"/>
              <w:spacing w:after="0" w:line="216" w:lineRule="exact"/>
              <w:rPr>
                <w:sz w:val="20"/>
                <w:szCs w:val="20"/>
                <w:color w:val="auto"/>
              </w:rPr>
            </w:pPr>
            <w:r>
              <w:rPr>
                <w:rFonts w:ascii="Times New Roman" w:cs="Times New Roman" w:eastAsia="Times New Roman" w:hAnsi="Times New Roman"/>
                <w:sz w:val="22"/>
                <w:szCs w:val="22"/>
                <w:color w:val="auto"/>
                <w:w w:val="99"/>
              </w:rPr>
              <w:t>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2.6</w:t>
            </w:r>
          </w:p>
        </w:tc>
        <w:tc>
          <w:tcPr>
            <w:tcW w:w="3180" w:type="dxa"/>
            <w:vAlign w:val="bottom"/>
            <w:gridSpan w:val="28"/>
          </w:tcPr>
          <w:p>
            <w:pPr>
              <w:ind w:left="20"/>
              <w:spacing w:after="0" w:line="216" w:lineRule="exact"/>
              <w:rPr>
                <w:sz w:val="20"/>
                <w:szCs w:val="20"/>
                <w:color w:val="auto"/>
              </w:rPr>
            </w:pPr>
            <w:r>
              <w:rPr>
                <w:rFonts w:ascii="Times New Roman" w:cs="Times New Roman" w:eastAsia="Times New Roman" w:hAnsi="Times New Roman"/>
                <w:sz w:val="22"/>
                <w:szCs w:val="22"/>
                <w:color w:val="auto"/>
              </w:rPr>
              <w:t>Interest Payments; Default Interest</w:t>
            </w:r>
          </w:p>
        </w:tc>
        <w:tc>
          <w:tcPr>
            <w:tcW w:w="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auto"/>
              </w:rPr>
              <w:t>2.7</w:t>
            </w:r>
          </w:p>
        </w:tc>
        <w:tc>
          <w:tcPr>
            <w:tcW w:w="2160" w:type="dxa"/>
            <w:vAlign w:val="bottom"/>
            <w:gridSpan w:val="15"/>
          </w:tcPr>
          <w:p>
            <w:pPr>
              <w:ind w:left="20"/>
              <w:spacing w:after="0" w:line="229" w:lineRule="exact"/>
              <w:rPr>
                <w:sz w:val="20"/>
                <w:szCs w:val="20"/>
                <w:color w:val="auto"/>
              </w:rPr>
            </w:pPr>
            <w:r>
              <w:rPr>
                <w:rFonts w:ascii="Times New Roman" w:cs="Times New Roman" w:eastAsia="Times New Roman" w:hAnsi="Times New Roman"/>
                <w:sz w:val="22"/>
                <w:szCs w:val="22"/>
                <w:color w:val="auto"/>
              </w:rPr>
              <w:t>Optional Prepayments</w:t>
            </w:r>
          </w:p>
        </w:tc>
        <w:tc>
          <w:tcPr>
            <w:tcW w:w="22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44</w:t>
            </w:r>
          </w:p>
        </w:tc>
        <w:tc>
          <w:tcPr>
            <w:tcW w:w="220" w:type="dxa"/>
            <w:vAlign w:val="bottom"/>
            <w:tcBorders>
              <w:bottom w:val="single" w:sz="8" w:color="0000FF"/>
            </w:tcBorders>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2.8</w:t>
            </w: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22"/>
                <w:szCs w:val="22"/>
                <w:color w:val="FF0000"/>
                <w:strike w:val="1"/>
                <w:w w:val="97"/>
              </w:rPr>
              <w:t>Base Rate</w:t>
            </w:r>
          </w:p>
        </w:tc>
        <w:tc>
          <w:tcPr>
            <w:tcW w:w="1480" w:type="dxa"/>
            <w:vAlign w:val="bottom"/>
            <w:gridSpan w:val="18"/>
          </w:tcPr>
          <w:p>
            <w:pPr>
              <w:spacing w:after="0" w:line="196" w:lineRule="exact"/>
              <w:rPr>
                <w:sz w:val="20"/>
                <w:szCs w:val="20"/>
                <w:color w:val="auto"/>
              </w:rPr>
            </w:pPr>
            <w:r>
              <w:rPr>
                <w:rFonts w:ascii="Times New Roman" w:cs="Times New Roman" w:eastAsia="Times New Roman" w:hAnsi="Times New Roman"/>
                <w:sz w:val="22"/>
                <w:szCs w:val="22"/>
                <w:color w:val="0000FF"/>
                <w:w w:val="96"/>
              </w:rPr>
              <w:t xml:space="preserve">ABR </w:t>
            </w:r>
            <w:r>
              <w:rPr>
                <w:rFonts w:ascii="Times New Roman" w:cs="Times New Roman" w:eastAsia="Times New Roman" w:hAnsi="Times New Roman"/>
                <w:sz w:val="22"/>
                <w:szCs w:val="22"/>
                <w:color w:val="000000"/>
                <w:w w:val="96"/>
              </w:rPr>
              <w:t>Advance in</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gridSpan w:val="17"/>
          </w:tcPr>
          <w:p>
            <w:pPr>
              <w:spacing w:after="0" w:line="196" w:lineRule="exact"/>
              <w:rPr>
                <w:sz w:val="20"/>
                <w:szCs w:val="20"/>
                <w:color w:val="auto"/>
              </w:rPr>
            </w:pPr>
            <w:r>
              <w:rPr>
                <w:rFonts w:ascii="Times New Roman" w:cs="Times New Roman" w:eastAsia="Times New Roman" w:hAnsi="Times New Roman"/>
                <w:sz w:val="22"/>
                <w:szCs w:val="22"/>
                <w:color w:val="auto"/>
              </w:rPr>
              <w:t>Absence of Election or Upon Default  44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660"/>
              <w:spacing w:after="0" w:line="216" w:lineRule="exact"/>
              <w:rPr>
                <w:sz w:val="20"/>
                <w:szCs w:val="20"/>
                <w:color w:val="auto"/>
              </w:rPr>
            </w:pPr>
            <w:r>
              <w:rPr>
                <w:rFonts w:ascii="Times New Roman" w:cs="Times New Roman" w:eastAsia="Times New Roman" w:hAnsi="Times New Roman"/>
                <w:sz w:val="22"/>
                <w:szCs w:val="22"/>
                <w:color w:val="auto"/>
              </w:rPr>
              <w:t>2.9</w:t>
            </w:r>
          </w:p>
        </w:tc>
        <w:tc>
          <w:tcPr>
            <w:tcW w:w="900" w:type="dxa"/>
            <w:vAlign w:val="bottom"/>
            <w:vMerge w:val="restart"/>
          </w:tcPr>
          <w:p>
            <w:pPr>
              <w:ind w:left="20"/>
              <w:spacing w:after="0" w:line="216" w:lineRule="exact"/>
              <w:rPr>
                <w:sz w:val="20"/>
                <w:szCs w:val="20"/>
                <w:color w:val="auto"/>
              </w:rPr>
            </w:pPr>
            <w:r>
              <w:rPr>
                <w:rFonts w:ascii="Times New Roman" w:cs="Times New Roman" w:eastAsia="Times New Roman" w:hAnsi="Times New Roman"/>
                <w:sz w:val="22"/>
                <w:szCs w:val="22"/>
                <w:color w:val="auto"/>
                <w:w w:val="74"/>
              </w:rPr>
              <w:t>Commitment</w:t>
            </w:r>
          </w:p>
        </w:tc>
        <w:tc>
          <w:tcPr>
            <w:tcW w:w="2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220" w:type="dxa"/>
            <w:vAlign w:val="bottom"/>
            <w:gridSpan w:val="3"/>
            <w:vMerge w:val="restart"/>
          </w:tcPr>
          <w:p>
            <w:pPr>
              <w:jc w:val="right"/>
              <w:spacing w:after="0" w:line="216" w:lineRule="exact"/>
              <w:rPr>
                <w:sz w:val="20"/>
                <w:szCs w:val="20"/>
                <w:color w:val="auto"/>
              </w:rPr>
            </w:pPr>
            <w:r>
              <w:rPr>
                <w:rFonts w:ascii="Times New Roman" w:cs="Times New Roman" w:eastAsia="Times New Roman" w:hAnsi="Times New Roman"/>
                <w:sz w:val="22"/>
                <w:szCs w:val="22"/>
                <w:color w:val="FF0000"/>
                <w:strike w:val="1"/>
                <w:w w:val="90"/>
              </w:rPr>
              <w:t>45</w:t>
            </w:r>
          </w:p>
        </w:tc>
        <w:tc>
          <w:tcPr>
            <w:tcW w:w="220" w:type="dxa"/>
            <w:vAlign w:val="bottom"/>
            <w:gridSpan w:val="4"/>
            <w:vMerge w:val="restart"/>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44</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80" w:type="dxa"/>
            <w:vAlign w:val="bottom"/>
            <w:gridSpan w:val="2"/>
          </w:tcPr>
          <w:p>
            <w:pPr>
              <w:spacing w:after="0"/>
              <w:rPr>
                <w:sz w:val="17"/>
                <w:szCs w:val="17"/>
                <w:color w:val="auto"/>
              </w:rPr>
            </w:pPr>
          </w:p>
        </w:tc>
        <w:tc>
          <w:tcPr>
            <w:tcW w:w="4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22"/>
                <w:szCs w:val="22"/>
                <w:color w:val="auto"/>
              </w:rPr>
              <w:t>Fees</w:t>
            </w:r>
          </w:p>
        </w:tc>
        <w:tc>
          <w:tcPr>
            <w:tcW w:w="220" w:type="dxa"/>
            <w:vAlign w:val="bottom"/>
            <w:gridSpan w:val="2"/>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220" w:type="dxa"/>
            <w:vAlign w:val="bottom"/>
            <w:tcBorders>
              <w:bottom w:val="single" w:sz="8" w:color="0000FF"/>
            </w:tcBorders>
            <w:gridSpan w:val="4"/>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gridSpan w:val="2"/>
          </w:tcPr>
          <w:p>
            <w:pPr>
              <w:ind w:left="660"/>
              <w:spacing w:after="0" w:line="183" w:lineRule="exact"/>
              <w:rPr>
                <w:sz w:val="20"/>
                <w:szCs w:val="20"/>
                <w:color w:val="auto"/>
              </w:rPr>
            </w:pPr>
            <w:r>
              <w:rPr>
                <w:rFonts w:ascii="Times New Roman" w:cs="Times New Roman" w:eastAsia="Times New Roman" w:hAnsi="Times New Roman"/>
                <w:sz w:val="21"/>
                <w:szCs w:val="21"/>
                <w:color w:val="auto"/>
              </w:rPr>
              <w:t>2.10</w:t>
            </w:r>
          </w:p>
        </w:tc>
        <w:tc>
          <w:tcPr>
            <w:tcW w:w="2040" w:type="dxa"/>
            <w:vAlign w:val="bottom"/>
            <w:gridSpan w:val="13"/>
          </w:tcPr>
          <w:p>
            <w:pPr>
              <w:ind w:left="140"/>
              <w:spacing w:after="0" w:line="183" w:lineRule="exact"/>
              <w:rPr>
                <w:sz w:val="20"/>
                <w:szCs w:val="20"/>
                <w:color w:val="auto"/>
              </w:rPr>
            </w:pPr>
            <w:r>
              <w:rPr>
                <w:rFonts w:ascii="Times New Roman" w:cs="Times New Roman" w:eastAsia="Times New Roman" w:hAnsi="Times New Roman"/>
                <w:sz w:val="21"/>
                <w:szCs w:val="21"/>
                <w:color w:val="auto"/>
                <w:w w:val="95"/>
              </w:rPr>
              <w:t>Mandatory Prepayment</w:t>
            </w: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12"/>
          </w:tcPr>
          <w:p>
            <w:pPr>
              <w:spacing w:after="0" w:line="183" w:lineRule="exact"/>
              <w:rPr>
                <w:sz w:val="20"/>
                <w:szCs w:val="20"/>
                <w:color w:val="auto"/>
              </w:rPr>
            </w:pPr>
            <w:r>
              <w:rPr>
                <w:rFonts w:ascii="Times New Roman" w:cs="Times New Roman" w:eastAsia="Times New Roman" w:hAnsi="Times New Roman"/>
                <w:sz w:val="21"/>
                <w:szCs w:val="21"/>
                <w:color w:val="auto"/>
              </w:rPr>
              <w:t>of Advances</w:t>
            </w:r>
          </w:p>
        </w:tc>
        <w:tc>
          <w:tcPr>
            <w:tcW w:w="38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auto"/>
              </w:rPr>
              <w:t>45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2.11</w:t>
            </w:r>
          </w:p>
        </w:tc>
        <w:tc>
          <w:tcPr>
            <w:tcW w:w="6360" w:type="dxa"/>
            <w:vAlign w:val="bottom"/>
            <w:gridSpan w:val="40"/>
          </w:tcPr>
          <w:p>
            <w:pPr>
              <w:ind w:left="120"/>
              <w:spacing w:after="0" w:line="216" w:lineRule="exact"/>
              <w:rPr>
                <w:sz w:val="20"/>
                <w:szCs w:val="20"/>
                <w:color w:val="auto"/>
              </w:rPr>
            </w:pPr>
            <w:r>
              <w:rPr>
                <w:rFonts w:ascii="Times New Roman" w:cs="Times New Roman" w:eastAsia="Times New Roman" w:hAnsi="Times New Roman"/>
                <w:sz w:val="22"/>
                <w:szCs w:val="22"/>
                <w:color w:val="auto"/>
              </w:rPr>
              <w:t>Optional Reduction or Termination of Commitments  46</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2.12</w:t>
            </w:r>
          </w:p>
        </w:tc>
        <w:tc>
          <w:tcPr>
            <w:tcW w:w="2700" w:type="dxa"/>
            <w:vAlign w:val="bottom"/>
            <w:gridSpan w:val="25"/>
          </w:tcPr>
          <w:p>
            <w:pPr>
              <w:ind w:left="140"/>
              <w:spacing w:after="0"/>
              <w:rPr>
                <w:sz w:val="20"/>
                <w:szCs w:val="20"/>
                <w:color w:val="auto"/>
              </w:rPr>
            </w:pPr>
            <w:r>
              <w:rPr>
                <w:rFonts w:ascii="Times New Roman" w:cs="Times New Roman" w:eastAsia="Times New Roman" w:hAnsi="Times New Roman"/>
                <w:sz w:val="22"/>
                <w:szCs w:val="22"/>
                <w:color w:val="auto"/>
                <w:w w:val="98"/>
              </w:rPr>
              <w:t>Use of Proceeds of Advances</w:t>
            </w: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rPr>
              <w:t>47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ARTICLE 3.</w:t>
            </w:r>
          </w:p>
        </w:tc>
        <w:tc>
          <w:tcPr>
            <w:tcW w:w="2480" w:type="dxa"/>
            <w:vAlign w:val="bottom"/>
            <w:gridSpan w:val="21"/>
          </w:tcPr>
          <w:p>
            <w:pPr>
              <w:ind w:left="220"/>
              <w:spacing w:after="0"/>
              <w:rPr>
                <w:sz w:val="20"/>
                <w:szCs w:val="20"/>
                <w:color w:val="auto"/>
              </w:rPr>
            </w:pPr>
            <w:r>
              <w:rPr>
                <w:rFonts w:ascii="Times New Roman" w:cs="Times New Roman" w:eastAsia="Times New Roman" w:hAnsi="Times New Roman"/>
                <w:sz w:val="22"/>
                <w:szCs w:val="22"/>
                <w:color w:val="auto"/>
              </w:rPr>
              <w:t>LETTERS OF CREDIT</w:t>
            </w:r>
          </w:p>
        </w:tc>
        <w:tc>
          <w:tcPr>
            <w:tcW w:w="460" w:type="dxa"/>
            <w:vAlign w:val="bottom"/>
            <w:gridSpan w:val="6"/>
          </w:tcPr>
          <w:p>
            <w:pPr>
              <w:jc w:val="right"/>
              <w:ind w:right="92"/>
              <w:spacing w:after="0"/>
              <w:rPr>
                <w:sz w:val="20"/>
                <w:szCs w:val="20"/>
                <w:color w:val="auto"/>
              </w:rPr>
            </w:pPr>
            <w:r>
              <w:rPr>
                <w:rFonts w:ascii="Times New Roman" w:cs="Times New Roman" w:eastAsia="Times New Roman" w:hAnsi="Times New Roman"/>
                <w:sz w:val="22"/>
                <w:szCs w:val="22"/>
                <w:color w:val="auto"/>
              </w:rPr>
              <w:t>47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3.1</w:t>
            </w:r>
          </w:p>
        </w:tc>
        <w:tc>
          <w:tcPr>
            <w:tcW w:w="160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Letters of Credit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auto"/>
              </w:rPr>
              <w:t>3.2</w:t>
            </w:r>
          </w:p>
        </w:tc>
        <w:tc>
          <w:tcPr>
            <w:tcW w:w="2160" w:type="dxa"/>
            <w:vAlign w:val="bottom"/>
            <w:gridSpan w:val="15"/>
          </w:tcPr>
          <w:p>
            <w:pPr>
              <w:ind w:left="20"/>
              <w:spacing w:after="0" w:line="229" w:lineRule="exact"/>
              <w:rPr>
                <w:sz w:val="20"/>
                <w:szCs w:val="20"/>
                <w:color w:val="auto"/>
              </w:rPr>
            </w:pPr>
            <w:r>
              <w:rPr>
                <w:rFonts w:ascii="Times New Roman" w:cs="Times New Roman" w:eastAsia="Times New Roman" w:hAnsi="Times New Roman"/>
                <w:sz w:val="22"/>
                <w:szCs w:val="22"/>
                <w:color w:val="auto"/>
              </w:rPr>
              <w:t>Conditions to Issuance</w:t>
            </w:r>
          </w:p>
        </w:tc>
        <w:tc>
          <w:tcPr>
            <w:tcW w:w="20" w:type="dxa"/>
            <w:vAlign w:val="bottom"/>
          </w:tcPr>
          <w:p>
            <w:pPr>
              <w:spacing w:after="0"/>
              <w:rPr>
                <w:sz w:val="19"/>
                <w:szCs w:val="19"/>
                <w:color w:val="auto"/>
              </w:rPr>
            </w:pPr>
          </w:p>
        </w:tc>
        <w:tc>
          <w:tcPr>
            <w:tcW w:w="24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9"/>
              </w:rPr>
              <w:t>48</w:t>
            </w:r>
          </w:p>
        </w:tc>
        <w:tc>
          <w:tcPr>
            <w:tcW w:w="220" w:type="dxa"/>
            <w:vAlign w:val="bottom"/>
            <w:tcBorders>
              <w:bottom w:val="single" w:sz="8" w:color="0000FF"/>
            </w:tcBorders>
            <w:gridSpan w:val="4"/>
          </w:tcPr>
          <w:p>
            <w:pPr>
              <w:spacing w:after="0" w:line="229" w:lineRule="exact"/>
              <w:rPr>
                <w:sz w:val="20"/>
                <w:szCs w:val="20"/>
                <w:color w:val="auto"/>
              </w:rPr>
            </w:pPr>
            <w:r>
              <w:rPr>
                <w:rFonts w:ascii="Times New Roman" w:cs="Times New Roman" w:eastAsia="Times New Roman" w:hAnsi="Times New Roman"/>
                <w:sz w:val="22"/>
                <w:szCs w:val="22"/>
                <w:color w:val="0000FF"/>
                <w:w w:val="90"/>
              </w:rPr>
              <w:t>47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20" w:type="dxa"/>
            <w:vAlign w:val="bottom"/>
            <w:gridSpan w:val="2"/>
          </w:tcPr>
          <w:p>
            <w:pPr>
              <w:ind w:left="660"/>
              <w:spacing w:after="0" w:line="183" w:lineRule="exact"/>
              <w:rPr>
                <w:sz w:val="20"/>
                <w:szCs w:val="20"/>
                <w:color w:val="auto"/>
              </w:rPr>
            </w:pPr>
            <w:r>
              <w:rPr>
                <w:rFonts w:ascii="Times New Roman" w:cs="Times New Roman" w:eastAsia="Times New Roman" w:hAnsi="Times New Roman"/>
                <w:sz w:val="21"/>
                <w:szCs w:val="21"/>
                <w:color w:val="auto"/>
              </w:rPr>
              <w:t>3.3</w:t>
            </w:r>
          </w:p>
        </w:tc>
        <w:tc>
          <w:tcPr>
            <w:tcW w:w="11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21"/>
                <w:szCs w:val="21"/>
                <w:color w:val="auto"/>
              </w:rPr>
              <w:t>Notice  49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49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3.4</w:t>
            </w:r>
          </w:p>
        </w:tc>
        <w:tc>
          <w:tcPr>
            <w:tcW w:w="3460" w:type="dxa"/>
            <w:vAlign w:val="bottom"/>
            <w:gridSpan w:val="29"/>
          </w:tcPr>
          <w:p>
            <w:pPr>
              <w:ind w:left="20"/>
              <w:spacing w:after="0" w:line="216" w:lineRule="exact"/>
              <w:rPr>
                <w:sz w:val="20"/>
                <w:szCs w:val="20"/>
                <w:color w:val="auto"/>
              </w:rPr>
            </w:pPr>
            <w:r>
              <w:rPr>
                <w:rFonts w:ascii="Times New Roman" w:cs="Times New Roman" w:eastAsia="Times New Roman" w:hAnsi="Times New Roman"/>
                <w:sz w:val="22"/>
                <w:szCs w:val="22"/>
                <w:color w:val="auto"/>
              </w:rPr>
              <w:t>Letter of Credit Fees; Increased Costs</w:t>
            </w:r>
          </w:p>
        </w:tc>
        <w:tc>
          <w:tcPr>
            <w:tcW w:w="3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auto"/>
              </w:rPr>
              <w:t>3.5</w:t>
            </w:r>
          </w:p>
        </w:tc>
        <w:tc>
          <w:tcPr>
            <w:tcW w:w="1180" w:type="dxa"/>
            <w:vAlign w:val="bottom"/>
            <w:gridSpan w:val="3"/>
          </w:tcPr>
          <w:p>
            <w:pPr>
              <w:ind w:left="20"/>
              <w:spacing w:after="0" w:line="229" w:lineRule="exact"/>
              <w:rPr>
                <w:sz w:val="20"/>
                <w:szCs w:val="20"/>
                <w:color w:val="auto"/>
              </w:rPr>
            </w:pPr>
            <w:r>
              <w:rPr>
                <w:rFonts w:ascii="Times New Roman" w:cs="Times New Roman" w:eastAsia="Times New Roman" w:hAnsi="Times New Roman"/>
                <w:sz w:val="22"/>
                <w:szCs w:val="22"/>
                <w:color w:val="auto"/>
              </w:rPr>
              <w:t>Other Fees</w:t>
            </w:r>
          </w:p>
        </w:tc>
        <w:tc>
          <w:tcPr>
            <w:tcW w:w="22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51</w:t>
            </w:r>
          </w:p>
        </w:tc>
        <w:tc>
          <w:tcPr>
            <w:tcW w:w="200" w:type="dxa"/>
            <w:vAlign w:val="bottom"/>
            <w:tcBorders>
              <w:bottom w:val="single" w:sz="8" w:color="0000FF"/>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3.6</w:t>
            </w:r>
          </w:p>
        </w:tc>
        <w:tc>
          <w:tcPr>
            <w:tcW w:w="8040" w:type="dxa"/>
            <w:vAlign w:val="bottom"/>
            <w:gridSpan w:val="44"/>
          </w:tcPr>
          <w:p>
            <w:pPr>
              <w:ind w:left="20"/>
              <w:spacing w:after="0" w:line="196" w:lineRule="exact"/>
              <w:rPr>
                <w:sz w:val="20"/>
                <w:szCs w:val="20"/>
                <w:color w:val="auto"/>
              </w:rPr>
            </w:pPr>
            <w:r>
              <w:rPr>
                <w:rFonts w:ascii="Times New Roman" w:cs="Times New Roman" w:eastAsia="Times New Roman" w:hAnsi="Times New Roman"/>
                <w:sz w:val="22"/>
                <w:szCs w:val="22"/>
                <w:color w:val="auto"/>
              </w:rPr>
              <w:t>Participation Interests in and Drawings and Demands for Payment Under Letters of Credit</w:t>
            </w:r>
          </w:p>
        </w:tc>
        <w:tc>
          <w:tcPr>
            <w:tcW w:w="22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51</w:t>
            </w:r>
          </w:p>
        </w:tc>
        <w:tc>
          <w:tcPr>
            <w:tcW w:w="20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22"/>
                <w:szCs w:val="22"/>
                <w:color w:val="0000FF"/>
                <w:w w:val="81"/>
              </w:rPr>
              <w:t>50</w:t>
            </w:r>
          </w:p>
        </w:tc>
        <w:tc>
          <w:tcPr>
            <w:tcW w:w="0" w:type="dxa"/>
            <w:vAlign w:val="bottom"/>
          </w:tcPr>
          <w:p>
            <w:pPr>
              <w:spacing w:after="0"/>
              <w:rPr>
                <w:sz w:val="1"/>
                <w:szCs w:val="1"/>
                <w:color w:val="auto"/>
              </w:rPr>
            </w:pPr>
          </w:p>
        </w:tc>
      </w:tr>
      <w:tr>
        <w:trPr>
          <w:trHeight w:val="196"/>
        </w:trPr>
        <w:tc>
          <w:tcPr>
            <w:tcW w:w="112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3.7</w:t>
            </w:r>
          </w:p>
        </w:tc>
        <w:tc>
          <w:tcPr>
            <w:tcW w:w="346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22"/>
                <w:szCs w:val="22"/>
                <w:color w:val="auto"/>
              </w:rPr>
              <w:t>Obligations Irrevocable and Absolute</w:t>
            </w: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9"/>
              </w:rPr>
              <w:t>53</w:t>
            </w:r>
          </w:p>
        </w:tc>
        <w:tc>
          <w:tcPr>
            <w:tcW w:w="22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52</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20" w:type="dxa"/>
            <w:vAlign w:val="bottom"/>
            <w:gridSpan w:val="2"/>
          </w:tcPr>
          <w:p>
            <w:pPr>
              <w:ind w:left="660"/>
              <w:spacing w:after="0" w:line="183" w:lineRule="exact"/>
              <w:rPr>
                <w:sz w:val="20"/>
                <w:szCs w:val="20"/>
                <w:color w:val="auto"/>
              </w:rPr>
            </w:pPr>
            <w:r>
              <w:rPr>
                <w:rFonts w:ascii="Times New Roman" w:cs="Times New Roman" w:eastAsia="Times New Roman" w:hAnsi="Times New Roman"/>
                <w:sz w:val="21"/>
                <w:szCs w:val="21"/>
                <w:color w:val="auto"/>
              </w:rPr>
              <w:t>3.8</w:t>
            </w:r>
          </w:p>
        </w:tc>
        <w:tc>
          <w:tcPr>
            <w:tcW w:w="2700" w:type="dxa"/>
            <w:vAlign w:val="bottom"/>
            <w:gridSpan w:val="25"/>
          </w:tcPr>
          <w:p>
            <w:pPr>
              <w:ind w:left="20"/>
              <w:spacing w:after="0" w:line="183" w:lineRule="exact"/>
              <w:rPr>
                <w:sz w:val="20"/>
                <w:szCs w:val="20"/>
                <w:color w:val="auto"/>
              </w:rPr>
            </w:pPr>
            <w:r>
              <w:rPr>
                <w:rFonts w:ascii="Times New Roman" w:cs="Times New Roman" w:eastAsia="Times New Roman" w:hAnsi="Times New Roman"/>
                <w:sz w:val="21"/>
                <w:szCs w:val="21"/>
                <w:color w:val="auto"/>
              </w:rPr>
              <w:t>Risk Under Letters of Credit</w:t>
            </w:r>
          </w:p>
        </w:tc>
        <w:tc>
          <w:tcPr>
            <w:tcW w:w="2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auto"/>
                <w:w w:val="95"/>
              </w:rPr>
              <w:t>54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3.9</w:t>
            </w:r>
          </w:p>
        </w:tc>
        <w:tc>
          <w:tcPr>
            <w:tcW w:w="2160" w:type="dxa"/>
            <w:vAlign w:val="bottom"/>
            <w:gridSpan w:val="15"/>
          </w:tcPr>
          <w:p>
            <w:pPr>
              <w:ind w:left="20"/>
              <w:spacing w:after="0" w:line="216" w:lineRule="exact"/>
              <w:rPr>
                <w:sz w:val="20"/>
                <w:szCs w:val="20"/>
                <w:color w:val="auto"/>
              </w:rPr>
            </w:pPr>
            <w:r>
              <w:rPr>
                <w:rFonts w:ascii="Times New Roman" w:cs="Times New Roman" w:eastAsia="Times New Roman" w:hAnsi="Times New Roman"/>
                <w:sz w:val="22"/>
                <w:szCs w:val="22"/>
                <w:color w:val="auto"/>
              </w:rPr>
              <w:t>Indemnification  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3.10</w:t>
            </w:r>
          </w:p>
        </w:tc>
        <w:tc>
          <w:tcPr>
            <w:tcW w:w="2480" w:type="dxa"/>
            <w:vAlign w:val="bottom"/>
            <w:gridSpan w:val="21"/>
          </w:tcPr>
          <w:p>
            <w:pPr>
              <w:ind w:left="140"/>
              <w:spacing w:after="0"/>
              <w:rPr>
                <w:sz w:val="20"/>
                <w:szCs w:val="20"/>
                <w:color w:val="auto"/>
              </w:rPr>
            </w:pPr>
            <w:r>
              <w:rPr>
                <w:rFonts w:ascii="Times New Roman" w:cs="Times New Roman" w:eastAsia="Times New Roman" w:hAnsi="Times New Roman"/>
                <w:sz w:val="22"/>
                <w:szCs w:val="22"/>
                <w:color w:val="auto"/>
              </w:rPr>
              <w:t>Right of Reimbursement</w:t>
            </w:r>
          </w:p>
        </w:tc>
        <w:tc>
          <w:tcPr>
            <w:tcW w:w="2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ARTICLE 4.</w:t>
            </w:r>
          </w:p>
        </w:tc>
        <w:tc>
          <w:tcPr>
            <w:tcW w:w="2160" w:type="dxa"/>
            <w:vAlign w:val="bottom"/>
            <w:gridSpan w:val="15"/>
          </w:tcPr>
          <w:p>
            <w:pPr>
              <w:ind w:left="220"/>
              <w:spacing w:after="0"/>
              <w:rPr>
                <w:sz w:val="20"/>
                <w:szCs w:val="20"/>
                <w:color w:val="auto"/>
              </w:rPr>
            </w:pPr>
            <w:r>
              <w:rPr>
                <w:rFonts w:ascii="Times New Roman" w:cs="Times New Roman" w:eastAsia="Times New Roman" w:hAnsi="Times New Roman"/>
                <w:sz w:val="22"/>
                <w:szCs w:val="22"/>
                <w:color w:val="auto"/>
                <w:w w:val="97"/>
              </w:rPr>
              <w:t>BORROWING BASE</w:t>
            </w:r>
          </w:p>
        </w:tc>
        <w:tc>
          <w:tcPr>
            <w:tcW w:w="440" w:type="dxa"/>
            <w:vAlign w:val="bottom"/>
            <w:gridSpan w:val="8"/>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4.1</w:t>
            </w:r>
          </w:p>
        </w:tc>
        <w:tc>
          <w:tcPr>
            <w:tcW w:w="160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Borrowing Base</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4.2</w:t>
            </w:r>
          </w:p>
        </w:tc>
        <w:tc>
          <w:tcPr>
            <w:tcW w:w="3920" w:type="dxa"/>
            <w:vAlign w:val="bottom"/>
            <w:gridSpan w:val="33"/>
          </w:tcPr>
          <w:p>
            <w:pPr>
              <w:ind w:left="20"/>
              <w:spacing w:after="0" w:line="216" w:lineRule="exact"/>
              <w:rPr>
                <w:sz w:val="20"/>
                <w:szCs w:val="20"/>
                <w:color w:val="auto"/>
              </w:rPr>
            </w:pPr>
            <w:r>
              <w:rPr>
                <w:rFonts w:ascii="Times New Roman" w:cs="Times New Roman" w:eastAsia="Times New Roman" w:hAnsi="Times New Roman"/>
                <w:sz w:val="22"/>
                <w:szCs w:val="22"/>
                <w:color w:val="auto"/>
              </w:rPr>
              <w:t>Periodic Determinations of Borrowing Base</w:t>
            </w:r>
          </w:p>
        </w:tc>
        <w:tc>
          <w:tcPr>
            <w:tcW w:w="4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4.3</w:t>
            </w:r>
          </w:p>
        </w:tc>
        <w:tc>
          <w:tcPr>
            <w:tcW w:w="6360" w:type="dxa"/>
            <w:vAlign w:val="bottom"/>
            <w:gridSpan w:val="40"/>
          </w:tcPr>
          <w:p>
            <w:pPr>
              <w:ind w:left="20"/>
              <w:spacing w:after="0" w:line="216" w:lineRule="exact"/>
              <w:rPr>
                <w:sz w:val="20"/>
                <w:szCs w:val="20"/>
                <w:color w:val="auto"/>
              </w:rPr>
            </w:pPr>
            <w:r>
              <w:rPr>
                <w:rFonts w:ascii="Times New Roman" w:cs="Times New Roman" w:eastAsia="Times New Roman" w:hAnsi="Times New Roman"/>
                <w:sz w:val="22"/>
                <w:szCs w:val="22"/>
                <w:color w:val="auto"/>
                <w:w w:val="97"/>
              </w:rPr>
              <w:t>Engineering Data to be Provided Prior to Scheduled Determination Dates</w:t>
            </w:r>
          </w:p>
        </w:tc>
        <w:tc>
          <w:tcPr>
            <w:tcW w:w="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4.4</w:t>
            </w:r>
          </w:p>
        </w:tc>
        <w:tc>
          <w:tcPr>
            <w:tcW w:w="3920" w:type="dxa"/>
            <w:vAlign w:val="bottom"/>
            <w:gridSpan w:val="33"/>
          </w:tcPr>
          <w:p>
            <w:pPr>
              <w:ind w:left="20"/>
              <w:spacing w:after="0" w:line="216" w:lineRule="exact"/>
              <w:rPr>
                <w:sz w:val="20"/>
                <w:szCs w:val="20"/>
                <w:color w:val="auto"/>
              </w:rPr>
            </w:pPr>
            <w:r>
              <w:rPr>
                <w:rFonts w:ascii="Times New Roman" w:cs="Times New Roman" w:eastAsia="Times New Roman" w:hAnsi="Times New Roman"/>
                <w:sz w:val="22"/>
                <w:szCs w:val="22"/>
                <w:color w:val="auto"/>
              </w:rPr>
              <w:t>Special Determinations of Borrowing Base</w:t>
            </w:r>
          </w:p>
        </w:tc>
        <w:tc>
          <w:tcPr>
            <w:tcW w:w="400" w:type="dxa"/>
            <w:vAlign w:val="bottom"/>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rPr>
              <w:t>57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0"/>
              </w:rPr>
              <w:t>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ind w:left="660"/>
              <w:spacing w:after="0" w:line="216" w:lineRule="exact"/>
              <w:rPr>
                <w:sz w:val="20"/>
                <w:szCs w:val="20"/>
                <w:color w:val="auto"/>
              </w:rPr>
            </w:pPr>
            <w:r>
              <w:rPr>
                <w:rFonts w:ascii="Times New Roman" w:cs="Times New Roman" w:eastAsia="Times New Roman" w:hAnsi="Times New Roman"/>
                <w:sz w:val="22"/>
                <w:szCs w:val="22"/>
                <w:color w:val="auto"/>
              </w:rPr>
              <w:t>4.5</w:t>
            </w:r>
          </w:p>
        </w:tc>
        <w:tc>
          <w:tcPr>
            <w:tcW w:w="6360" w:type="dxa"/>
            <w:vAlign w:val="bottom"/>
            <w:gridSpan w:val="40"/>
          </w:tcPr>
          <w:p>
            <w:pPr>
              <w:ind w:left="20"/>
              <w:spacing w:after="0" w:line="216" w:lineRule="exact"/>
              <w:rPr>
                <w:sz w:val="20"/>
                <w:szCs w:val="20"/>
                <w:color w:val="auto"/>
              </w:rPr>
            </w:pPr>
            <w:r>
              <w:rPr>
                <w:rFonts w:ascii="Times New Roman" w:cs="Times New Roman" w:eastAsia="Times New Roman" w:hAnsi="Times New Roman"/>
                <w:sz w:val="22"/>
                <w:szCs w:val="22"/>
                <w:color w:val="auto"/>
              </w:rPr>
              <w:t>General Procedures With Respect to Determination of Borrowing Base</w:t>
            </w:r>
          </w:p>
        </w:tc>
        <w:tc>
          <w:tcPr>
            <w:tcW w:w="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4.6</w:t>
            </w:r>
          </w:p>
        </w:tc>
        <w:tc>
          <w:tcPr>
            <w:tcW w:w="2480" w:type="dxa"/>
            <w:vAlign w:val="bottom"/>
            <w:gridSpan w:val="21"/>
          </w:tcPr>
          <w:p>
            <w:pPr>
              <w:ind w:left="20"/>
              <w:spacing w:after="0"/>
              <w:rPr>
                <w:sz w:val="20"/>
                <w:szCs w:val="20"/>
                <w:color w:val="auto"/>
              </w:rPr>
            </w:pPr>
            <w:r>
              <w:rPr>
                <w:rFonts w:ascii="Times New Roman" w:cs="Times New Roman" w:eastAsia="Times New Roman" w:hAnsi="Times New Roman"/>
                <w:sz w:val="22"/>
                <w:szCs w:val="22"/>
                <w:color w:val="auto"/>
                <w:w w:val="99"/>
              </w:rPr>
              <w:t>Borrowing Base Deficiency</w:t>
            </w:r>
          </w:p>
        </w:tc>
        <w:tc>
          <w:tcPr>
            <w:tcW w:w="46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ARTICLE 5.</w:t>
            </w:r>
          </w:p>
        </w:tc>
        <w:tc>
          <w:tcPr>
            <w:tcW w:w="1600" w:type="dxa"/>
            <w:vAlign w:val="bottom"/>
            <w:gridSpan w:val="8"/>
          </w:tcPr>
          <w:p>
            <w:pPr>
              <w:ind w:left="220"/>
              <w:spacing w:after="0"/>
              <w:rPr>
                <w:sz w:val="20"/>
                <w:szCs w:val="20"/>
                <w:color w:val="auto"/>
              </w:rPr>
            </w:pPr>
            <w:r>
              <w:rPr>
                <w:rFonts w:ascii="Times New Roman" w:cs="Times New Roman" w:eastAsia="Times New Roman" w:hAnsi="Times New Roman"/>
                <w:sz w:val="22"/>
                <w:szCs w:val="22"/>
                <w:color w:val="auto"/>
                <w:w w:val="99"/>
              </w:rPr>
              <w:t>CONDITIONS</w:t>
            </w:r>
          </w:p>
        </w:tc>
        <w:tc>
          <w:tcPr>
            <w:tcW w:w="3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FF0000"/>
                <w:strike w:val="1"/>
                <w:w w:val="90"/>
              </w:rPr>
              <w:t>58</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81"/>
              </w:rPr>
              <w:t>59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5.1</w:t>
            </w:r>
          </w:p>
        </w:tc>
        <w:tc>
          <w:tcPr>
            <w:tcW w:w="2700" w:type="dxa"/>
            <w:vAlign w:val="bottom"/>
            <w:gridSpan w:val="25"/>
          </w:tcPr>
          <w:p>
            <w:pPr>
              <w:ind w:left="20"/>
              <w:spacing w:after="0"/>
              <w:rPr>
                <w:sz w:val="20"/>
                <w:szCs w:val="20"/>
                <w:color w:val="auto"/>
              </w:rPr>
            </w:pPr>
            <w:r>
              <w:rPr>
                <w:rFonts w:ascii="Times New Roman" w:cs="Times New Roman" w:eastAsia="Times New Roman" w:hAnsi="Times New Roman"/>
                <w:sz w:val="22"/>
                <w:szCs w:val="22"/>
                <w:color w:val="auto"/>
                <w:w w:val="98"/>
              </w:rPr>
              <w:t>Conditions of Initial Advances</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22"/>
                <w:szCs w:val="22"/>
                <w:color w:val="auto"/>
              </w:rPr>
              <w:t>59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auto"/>
              </w:rPr>
              <w:t>5.2</w:t>
            </w:r>
          </w:p>
        </w:tc>
        <w:tc>
          <w:tcPr>
            <w:tcW w:w="4320" w:type="dxa"/>
            <w:vAlign w:val="bottom"/>
            <w:gridSpan w:val="34"/>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Conditions to Each Advance and Letter of Credit</w:t>
            </w:r>
          </w:p>
        </w:tc>
        <w:tc>
          <w:tcPr>
            <w:tcW w:w="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rPr>
              <w:t>61</w:t>
            </w:r>
          </w:p>
        </w:tc>
        <w:tc>
          <w:tcPr>
            <w:tcW w:w="220" w:type="dxa"/>
            <w:vAlign w:val="bottom"/>
            <w:tcBorders>
              <w:bottom w:val="single" w:sz="8" w:color="0000FF"/>
            </w:tcBorders>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62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ARTICLE 6.</w:t>
            </w:r>
          </w:p>
        </w:tc>
        <w:tc>
          <w:tcPr>
            <w:tcW w:w="4320" w:type="dxa"/>
            <w:vAlign w:val="bottom"/>
            <w:gridSpan w:val="34"/>
          </w:tcPr>
          <w:p>
            <w:pPr>
              <w:ind w:left="22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6.1</w:t>
            </w:r>
          </w:p>
        </w:tc>
        <w:tc>
          <w:tcPr>
            <w:tcW w:w="2480" w:type="dxa"/>
            <w:vAlign w:val="bottom"/>
            <w:gridSpan w:val="21"/>
          </w:tcPr>
          <w:p>
            <w:pPr>
              <w:ind w:left="20"/>
              <w:spacing w:after="0"/>
              <w:rPr>
                <w:sz w:val="20"/>
                <w:szCs w:val="20"/>
                <w:color w:val="auto"/>
              </w:rPr>
            </w:pPr>
            <w:r>
              <w:rPr>
                <w:rFonts w:ascii="Times New Roman" w:cs="Times New Roman" w:eastAsia="Times New Roman" w:hAnsi="Times New Roman"/>
                <w:sz w:val="22"/>
                <w:szCs w:val="22"/>
                <w:color w:val="auto"/>
              </w:rPr>
              <w:t>Corporate Authority  62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auto"/>
              </w:rPr>
              <w:t>6.2</w:t>
            </w:r>
          </w:p>
        </w:tc>
        <w:tc>
          <w:tcPr>
            <w:tcW w:w="1600" w:type="dxa"/>
            <w:vAlign w:val="bottom"/>
            <w:gridSpan w:val="8"/>
          </w:tcPr>
          <w:p>
            <w:pPr>
              <w:ind w:left="20"/>
              <w:spacing w:after="0" w:line="229" w:lineRule="exact"/>
              <w:rPr>
                <w:sz w:val="20"/>
                <w:szCs w:val="20"/>
                <w:color w:val="auto"/>
              </w:rPr>
            </w:pPr>
            <w:r>
              <w:rPr>
                <w:rFonts w:ascii="Times New Roman" w:cs="Times New Roman" w:eastAsia="Times New Roman" w:hAnsi="Times New Roman"/>
                <w:sz w:val="22"/>
                <w:szCs w:val="22"/>
                <w:color w:val="auto"/>
                <w:w w:val="93"/>
              </w:rPr>
              <w:t>Due Authorization</w:t>
            </w:r>
          </w:p>
        </w:tc>
        <w:tc>
          <w:tcPr>
            <w:tcW w:w="220" w:type="dxa"/>
            <w:vAlign w:val="bottom"/>
            <w:gridSpan w:val="2"/>
          </w:tcPr>
          <w:p>
            <w:pPr>
              <w:spacing w:after="0"/>
              <w:rPr>
                <w:sz w:val="19"/>
                <w:szCs w:val="19"/>
                <w:color w:val="auto"/>
              </w:rPr>
            </w:pPr>
          </w:p>
        </w:tc>
        <w:tc>
          <w:tcPr>
            <w:tcW w:w="24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9"/>
              </w:rPr>
              <w:t>62</w:t>
            </w:r>
          </w:p>
        </w:tc>
        <w:tc>
          <w:tcPr>
            <w:tcW w:w="220" w:type="dxa"/>
            <w:vAlign w:val="bottom"/>
            <w:tcBorders>
              <w:bottom w:val="single" w:sz="8" w:color="0000FF"/>
            </w:tcBorders>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1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6.3</w:t>
            </w:r>
          </w:p>
        </w:tc>
        <w:tc>
          <w:tcPr>
            <w:tcW w:w="2280" w:type="dxa"/>
            <w:vAlign w:val="bottom"/>
            <w:gridSpan w:val="18"/>
          </w:tcPr>
          <w:p>
            <w:pPr>
              <w:ind w:left="20"/>
              <w:spacing w:after="0"/>
              <w:rPr>
                <w:sz w:val="20"/>
                <w:szCs w:val="20"/>
                <w:color w:val="auto"/>
              </w:rPr>
            </w:pPr>
            <w:r>
              <w:rPr>
                <w:rFonts w:ascii="Times New Roman" w:cs="Times New Roman" w:eastAsia="Times New Roman" w:hAnsi="Times New Roman"/>
                <w:sz w:val="22"/>
                <w:szCs w:val="22"/>
                <w:color w:val="auto"/>
                <w:w w:val="92"/>
              </w:rPr>
              <w:t>Good Title; Leases; Assets;</w:t>
            </w:r>
          </w:p>
        </w:tc>
        <w:tc>
          <w:tcPr>
            <w:tcW w:w="1180" w:type="dxa"/>
            <w:vAlign w:val="bottom"/>
            <w:gridSpan w:val="11"/>
          </w:tcPr>
          <w:p>
            <w:pPr>
              <w:ind w:left="180"/>
              <w:spacing w:after="0"/>
              <w:rPr>
                <w:sz w:val="20"/>
                <w:szCs w:val="20"/>
                <w:color w:val="auto"/>
              </w:rPr>
            </w:pPr>
            <w:r>
              <w:rPr>
                <w:rFonts w:ascii="Times New Roman" w:cs="Times New Roman" w:eastAsia="Times New Roman" w:hAnsi="Times New Roman"/>
                <w:sz w:val="22"/>
                <w:szCs w:val="22"/>
                <w:color w:val="auto"/>
              </w:rPr>
              <w:t>No Liens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63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60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39"/>
          </w:cols>
          <w:pgMar w:left="320" w:top="1440"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6.4</w:t>
            </w:r>
          </w:p>
        </w:tc>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Taxes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6.5</w:t>
            </w:r>
          </w:p>
        </w:tc>
        <w:tc>
          <w:tcPr>
            <w:tcW w:w="1180" w:type="dxa"/>
            <w:vAlign w:val="bottom"/>
            <w:gridSpan w:val="4"/>
          </w:tcPr>
          <w:p>
            <w:pPr>
              <w:spacing w:after="0" w:line="229" w:lineRule="exact"/>
              <w:rPr>
                <w:sz w:val="20"/>
                <w:szCs w:val="20"/>
                <w:color w:val="auto"/>
              </w:rPr>
            </w:pPr>
            <w:r>
              <w:rPr>
                <w:rFonts w:ascii="Times New Roman" w:cs="Times New Roman" w:eastAsia="Times New Roman" w:hAnsi="Times New Roman"/>
                <w:sz w:val="22"/>
                <w:szCs w:val="22"/>
                <w:color w:val="auto"/>
              </w:rPr>
              <w:t>No Defaults</w:t>
            </w:r>
          </w:p>
        </w:tc>
        <w:tc>
          <w:tcPr>
            <w:tcW w:w="30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rPr>
              <w:t>63</w:t>
            </w:r>
          </w:p>
        </w:tc>
        <w:tc>
          <w:tcPr>
            <w:tcW w:w="220" w:type="dxa"/>
            <w:vAlign w:val="bottom"/>
            <w:tcBorders>
              <w:bottom w:val="single" w:sz="8" w:color="0000FF"/>
            </w:tcBorders>
            <w:gridSpan w:val="4"/>
          </w:tcPr>
          <w:p>
            <w:pPr>
              <w:spacing w:after="0" w:line="229" w:lineRule="exact"/>
              <w:rPr>
                <w:sz w:val="20"/>
                <w:szCs w:val="20"/>
                <w:color w:val="auto"/>
              </w:rPr>
            </w:pPr>
            <w:r>
              <w:rPr>
                <w:rFonts w:ascii="Times New Roman" w:cs="Times New Roman" w:eastAsia="Times New Roman" w:hAnsi="Times New Roman"/>
                <w:sz w:val="22"/>
                <w:szCs w:val="22"/>
                <w:color w:val="0000FF"/>
                <w:w w:val="90"/>
              </w:rPr>
              <w:t>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6.6</w:t>
            </w:r>
          </w:p>
        </w:tc>
        <w:tc>
          <w:tcPr>
            <w:tcW w:w="1480" w:type="dxa"/>
            <w:vAlign w:val="bottom"/>
            <w:gridSpan w:val="7"/>
          </w:tcPr>
          <w:p>
            <w:pPr>
              <w:spacing w:after="0" w:line="183" w:lineRule="exact"/>
              <w:rPr>
                <w:sz w:val="20"/>
                <w:szCs w:val="20"/>
                <w:color w:val="auto"/>
              </w:rPr>
            </w:pPr>
            <w:r>
              <w:rPr>
                <w:rFonts w:ascii="Times New Roman" w:cs="Times New Roman" w:eastAsia="Times New Roman" w:hAnsi="Times New Roman"/>
                <w:sz w:val="21"/>
                <w:szCs w:val="21"/>
                <w:color w:val="auto"/>
              </w:rPr>
              <w:t>Enforceability</w:t>
            </w:r>
          </w:p>
        </w:tc>
        <w:tc>
          <w:tcPr>
            <w:tcW w:w="220" w:type="dxa"/>
            <w:vAlign w:val="bottom"/>
            <w:gridSpan w:val="4"/>
          </w:tcPr>
          <w:p>
            <w:pPr>
              <w:spacing w:after="0" w:line="183" w:lineRule="exact"/>
              <w:rPr>
                <w:sz w:val="20"/>
                <w:szCs w:val="20"/>
                <w:color w:val="auto"/>
              </w:rPr>
            </w:pPr>
            <w:r>
              <w:rPr>
                <w:rFonts w:ascii="Times New Roman" w:cs="Times New Roman" w:eastAsia="Times New Roman" w:hAnsi="Times New Roman"/>
                <w:sz w:val="21"/>
                <w:szCs w:val="21"/>
                <w:color w:val="auto"/>
                <w:w w:val="95"/>
              </w:rPr>
              <w:t>64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w w:val="90"/>
              </w:rPr>
              <w:t>64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6.7</w:t>
            </w:r>
          </w:p>
        </w:tc>
        <w:tc>
          <w:tcPr>
            <w:tcW w:w="2160" w:type="dxa"/>
            <w:vAlign w:val="bottom"/>
            <w:gridSpan w:val="16"/>
          </w:tcPr>
          <w:p>
            <w:pPr>
              <w:spacing w:after="0" w:line="216" w:lineRule="exact"/>
              <w:rPr>
                <w:sz w:val="20"/>
                <w:szCs w:val="20"/>
                <w:color w:val="auto"/>
              </w:rPr>
            </w:pPr>
            <w:r>
              <w:rPr>
                <w:rFonts w:ascii="Times New Roman" w:cs="Times New Roman" w:eastAsia="Times New Roman" w:hAnsi="Times New Roman"/>
                <w:sz w:val="22"/>
                <w:szCs w:val="22"/>
                <w:color w:val="auto"/>
              </w:rPr>
              <w:t>Compliance with Laws</w:t>
            </w:r>
          </w:p>
        </w:tc>
        <w:tc>
          <w:tcPr>
            <w:tcW w:w="2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6.8</w:t>
            </w:r>
          </w:p>
        </w:tc>
        <w:tc>
          <w:tcPr>
            <w:tcW w:w="1840" w:type="dxa"/>
            <w:vAlign w:val="bottom"/>
            <w:gridSpan w:val="13"/>
          </w:tcPr>
          <w:p>
            <w:pPr>
              <w:spacing w:after="0" w:line="229" w:lineRule="exact"/>
              <w:rPr>
                <w:sz w:val="20"/>
                <w:szCs w:val="20"/>
                <w:color w:val="auto"/>
              </w:rPr>
            </w:pPr>
            <w:r>
              <w:rPr>
                <w:rFonts w:ascii="Times New Roman" w:cs="Times New Roman" w:eastAsia="Times New Roman" w:hAnsi="Times New Roman"/>
                <w:sz w:val="22"/>
                <w:szCs w:val="22"/>
                <w:color w:val="auto"/>
              </w:rPr>
              <w:t>Non-contravention</w:t>
            </w:r>
          </w:p>
        </w:tc>
        <w:tc>
          <w:tcPr>
            <w:tcW w:w="2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64</w:t>
            </w:r>
          </w:p>
        </w:tc>
        <w:tc>
          <w:tcPr>
            <w:tcW w:w="300" w:type="dxa"/>
            <w:vAlign w:val="bottom"/>
            <w:gridSpan w:val="3"/>
          </w:tcPr>
          <w:p>
            <w:pPr>
              <w:jc w:val="right"/>
              <w:ind w:right="80"/>
              <w:spacing w:after="0" w:line="229" w:lineRule="exact"/>
              <w:rPr>
                <w:sz w:val="20"/>
                <w:szCs w:val="20"/>
                <w:color w:val="auto"/>
              </w:rPr>
            </w:pPr>
            <w:r>
              <w:rPr>
                <w:rFonts w:ascii="Times New Roman" w:cs="Times New Roman" w:eastAsia="Times New Roman" w:hAnsi="Times New Roman"/>
                <w:sz w:val="22"/>
                <w:szCs w:val="22"/>
                <w:color w:val="0000FF"/>
                <w:w w:val="90"/>
              </w:rPr>
              <w:t>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6.9</w:t>
            </w:r>
          </w:p>
        </w:tc>
        <w:tc>
          <w:tcPr>
            <w:tcW w:w="94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auto"/>
              </w:rPr>
              <w:t>Litigation</w:t>
            </w:r>
          </w:p>
        </w:tc>
        <w:tc>
          <w:tcPr>
            <w:tcW w:w="40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auto"/>
              </w:rPr>
              <w:t>65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6.10</w:t>
            </w:r>
          </w:p>
        </w:tc>
        <w:tc>
          <w:tcPr>
            <w:tcW w:w="3920" w:type="dxa"/>
            <w:vAlign w:val="bottom"/>
            <w:gridSpan w:val="30"/>
          </w:tcPr>
          <w:p>
            <w:pPr>
              <w:ind w:left="120"/>
              <w:spacing w:after="0" w:line="216" w:lineRule="exact"/>
              <w:rPr>
                <w:sz w:val="20"/>
                <w:szCs w:val="20"/>
                <w:color w:val="auto"/>
              </w:rPr>
            </w:pPr>
            <w:r>
              <w:rPr>
                <w:rFonts w:ascii="Times New Roman" w:cs="Times New Roman" w:eastAsia="Times New Roman" w:hAnsi="Times New Roman"/>
                <w:sz w:val="22"/>
                <w:szCs w:val="22"/>
                <w:color w:val="auto"/>
              </w:rPr>
              <w:t>Consents, Approvals and Filings, etc  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6.11</w:t>
            </w:r>
          </w:p>
        </w:tc>
        <w:tc>
          <w:tcPr>
            <w:tcW w:w="3920" w:type="dxa"/>
            <w:vAlign w:val="bottom"/>
            <w:gridSpan w:val="30"/>
          </w:tcPr>
          <w:p>
            <w:pPr>
              <w:ind w:left="100"/>
              <w:spacing w:after="0" w:line="229" w:lineRule="exact"/>
              <w:rPr>
                <w:sz w:val="20"/>
                <w:szCs w:val="20"/>
                <w:color w:val="auto"/>
              </w:rPr>
            </w:pPr>
            <w:r>
              <w:rPr>
                <w:rFonts w:ascii="Times New Roman" w:cs="Times New Roman" w:eastAsia="Times New Roman" w:hAnsi="Times New Roman"/>
                <w:sz w:val="22"/>
                <w:szCs w:val="22"/>
                <w:color w:val="auto"/>
              </w:rPr>
              <w:t>No Investment Company or Margin Stock</w:t>
            </w:r>
          </w:p>
        </w:tc>
        <w:tc>
          <w:tcPr>
            <w:tcW w:w="2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rPr>
              <w:t>65</w:t>
            </w:r>
          </w:p>
        </w:tc>
        <w:tc>
          <w:tcPr>
            <w:tcW w:w="200" w:type="dxa"/>
            <w:vAlign w:val="bottom"/>
            <w:tcBorders>
              <w:bottom w:val="single" w:sz="8" w:color="0000FF"/>
            </w:tcBorders>
          </w:tcPr>
          <w:p>
            <w:pPr>
              <w:jc w:val="right"/>
              <w:spacing w:after="0" w:line="229" w:lineRule="exact"/>
              <w:rPr>
                <w:sz w:val="20"/>
                <w:szCs w:val="20"/>
                <w:color w:val="auto"/>
              </w:rPr>
            </w:pPr>
            <w:r>
              <w:rPr>
                <w:rFonts w:ascii="Times New Roman" w:cs="Times New Roman" w:eastAsia="Times New Roman" w:hAnsi="Times New Roman"/>
                <w:sz w:val="22"/>
                <w:szCs w:val="22"/>
                <w:color w:val="0000FF"/>
                <w:w w:val="81"/>
              </w:rPr>
              <w:t>66</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6.12</w:t>
            </w:r>
          </w:p>
        </w:tc>
        <w:tc>
          <w:tcPr>
            <w:tcW w:w="94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21"/>
                <w:szCs w:val="21"/>
                <w:color w:val="auto"/>
              </w:rPr>
              <w:t>ERISA</w:t>
            </w:r>
          </w:p>
        </w:tc>
        <w:tc>
          <w:tcPr>
            <w:tcW w:w="2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auto"/>
                <w:w w:val="95"/>
              </w:rPr>
              <w:t>66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6.13</w:t>
            </w:r>
          </w:p>
        </w:tc>
        <w:tc>
          <w:tcPr>
            <w:tcW w:w="3920" w:type="dxa"/>
            <w:vAlign w:val="bottom"/>
            <w:gridSpan w:val="30"/>
          </w:tcPr>
          <w:p>
            <w:pPr>
              <w:ind w:left="120"/>
              <w:spacing w:after="0" w:line="216" w:lineRule="exact"/>
              <w:rPr>
                <w:sz w:val="20"/>
                <w:szCs w:val="20"/>
                <w:color w:val="auto"/>
              </w:rPr>
            </w:pPr>
            <w:r>
              <w:rPr>
                <w:rFonts w:ascii="Times New Roman" w:cs="Times New Roman" w:eastAsia="Times New Roman" w:hAnsi="Times New Roman"/>
                <w:sz w:val="22"/>
                <w:szCs w:val="22"/>
                <w:color w:val="auto"/>
                <w:w w:val="97"/>
              </w:rPr>
              <w:t>Conditions Affecting Business or Properties</w:t>
            </w:r>
          </w:p>
        </w:tc>
        <w:tc>
          <w:tcPr>
            <w:tcW w:w="4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6.14</w:t>
            </w:r>
          </w:p>
        </w:tc>
        <w:tc>
          <w:tcPr>
            <w:tcW w:w="3240" w:type="dxa"/>
            <w:vAlign w:val="bottom"/>
            <w:gridSpan w:val="24"/>
          </w:tcPr>
          <w:p>
            <w:pPr>
              <w:ind w:left="120"/>
              <w:spacing w:after="0" w:line="216" w:lineRule="exact"/>
              <w:rPr>
                <w:sz w:val="20"/>
                <w:szCs w:val="20"/>
                <w:color w:val="auto"/>
              </w:rPr>
            </w:pPr>
            <w:r>
              <w:rPr>
                <w:rFonts w:ascii="Times New Roman" w:cs="Times New Roman" w:eastAsia="Times New Roman" w:hAnsi="Times New Roman"/>
                <w:sz w:val="22"/>
                <w:szCs w:val="22"/>
                <w:color w:val="auto"/>
              </w:rPr>
              <w:t>Environmental and Safety Matters</w:t>
            </w:r>
          </w:p>
        </w:tc>
        <w:tc>
          <w:tcPr>
            <w:tcW w:w="3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6.15</w:t>
            </w:r>
          </w:p>
        </w:tc>
        <w:tc>
          <w:tcPr>
            <w:tcW w:w="1180" w:type="dxa"/>
            <w:vAlign w:val="bottom"/>
            <w:gridSpan w:val="4"/>
          </w:tcPr>
          <w:p>
            <w:pPr>
              <w:ind w:left="120"/>
              <w:spacing w:after="0" w:line="216" w:lineRule="exact"/>
              <w:rPr>
                <w:sz w:val="20"/>
                <w:szCs w:val="20"/>
                <w:color w:val="auto"/>
              </w:rPr>
            </w:pPr>
            <w:r>
              <w:rPr>
                <w:rFonts w:ascii="Times New Roman" w:cs="Times New Roman" w:eastAsia="Times New Roman" w:hAnsi="Times New Roman"/>
                <w:sz w:val="22"/>
                <w:szCs w:val="22"/>
                <w:color w:val="auto"/>
                <w:w w:val="96"/>
              </w:rPr>
              <w:t>Subsidiaries</w:t>
            </w:r>
          </w:p>
        </w:tc>
        <w:tc>
          <w:tcPr>
            <w:tcW w:w="440" w:type="dxa"/>
            <w:vAlign w:val="bottom"/>
            <w:gridSpan w:val="6"/>
          </w:tcPr>
          <w:p>
            <w:pPr>
              <w:jc w:val="right"/>
              <w:ind w:right="20"/>
              <w:spacing w:after="0" w:line="216" w:lineRule="exact"/>
              <w:rPr>
                <w:sz w:val="20"/>
                <w:szCs w:val="20"/>
                <w:color w:val="auto"/>
              </w:rPr>
            </w:pPr>
            <w:r>
              <w:rPr>
                <w:rFonts w:ascii="Times New Roman" w:cs="Times New Roman" w:eastAsia="Times New Roman" w:hAnsi="Times New Roman"/>
                <w:sz w:val="22"/>
                <w:szCs w:val="22"/>
                <w:color w:val="auto"/>
              </w:rPr>
              <w:t>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6.16</w:t>
            </w:r>
          </w:p>
        </w:tc>
        <w:tc>
          <w:tcPr>
            <w:tcW w:w="1720" w:type="dxa"/>
            <w:vAlign w:val="bottom"/>
            <w:gridSpan w:val="12"/>
          </w:tcPr>
          <w:p>
            <w:pPr>
              <w:ind w:left="120"/>
              <w:spacing w:after="0" w:line="216" w:lineRule="exact"/>
              <w:rPr>
                <w:sz w:val="20"/>
                <w:szCs w:val="20"/>
                <w:color w:val="auto"/>
              </w:rPr>
            </w:pPr>
            <w:r>
              <w:rPr>
                <w:rFonts w:ascii="Times New Roman" w:cs="Times New Roman" w:eastAsia="Times New Roman" w:hAnsi="Times New Roman"/>
                <w:sz w:val="22"/>
                <w:szCs w:val="22"/>
                <w:color w:val="auto"/>
              </w:rPr>
              <w:t>Capital Structure</w:t>
            </w:r>
          </w:p>
        </w:tc>
        <w:tc>
          <w:tcPr>
            <w:tcW w:w="3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9"/>
              </w:rPr>
              <w:t>67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6.17</w:t>
            </w:r>
          </w:p>
        </w:tc>
        <w:tc>
          <w:tcPr>
            <w:tcW w:w="2440" w:type="dxa"/>
            <w:vAlign w:val="bottom"/>
            <w:gridSpan w:val="19"/>
          </w:tcPr>
          <w:p>
            <w:pPr>
              <w:ind w:left="100"/>
              <w:spacing w:after="0" w:line="216" w:lineRule="exact"/>
              <w:rPr>
                <w:sz w:val="20"/>
                <w:szCs w:val="20"/>
                <w:color w:val="auto"/>
              </w:rPr>
            </w:pPr>
            <w:r>
              <w:rPr>
                <w:rFonts w:ascii="Times New Roman" w:cs="Times New Roman" w:eastAsia="Times New Roman" w:hAnsi="Times New Roman"/>
                <w:sz w:val="22"/>
                <w:szCs w:val="22"/>
                <w:color w:val="auto"/>
              </w:rPr>
              <w:t>Accuracy of Information</w:t>
            </w:r>
          </w:p>
        </w:tc>
        <w:tc>
          <w:tcPr>
            <w:tcW w:w="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6.18</w:t>
            </w:r>
          </w:p>
        </w:tc>
        <w:tc>
          <w:tcPr>
            <w:tcW w:w="940" w:type="dxa"/>
            <w:vAlign w:val="bottom"/>
            <w:gridSpan w:val="2"/>
          </w:tcPr>
          <w:p>
            <w:pPr>
              <w:ind w:left="120"/>
              <w:spacing w:after="0" w:line="229" w:lineRule="exact"/>
              <w:rPr>
                <w:sz w:val="20"/>
                <w:szCs w:val="20"/>
                <w:color w:val="auto"/>
              </w:rPr>
            </w:pPr>
            <w:r>
              <w:rPr>
                <w:rFonts w:ascii="Times New Roman" w:cs="Times New Roman" w:eastAsia="Times New Roman" w:hAnsi="Times New Roman"/>
                <w:sz w:val="22"/>
                <w:szCs w:val="22"/>
                <w:color w:val="auto"/>
                <w:w w:val="97"/>
              </w:rPr>
              <w:t>Solvency</w:t>
            </w:r>
          </w:p>
        </w:tc>
        <w:tc>
          <w:tcPr>
            <w:tcW w:w="180" w:type="dxa"/>
            <w:vAlign w:val="bottom"/>
          </w:tcPr>
          <w:p>
            <w:pPr>
              <w:spacing w:after="0"/>
              <w:rPr>
                <w:sz w:val="19"/>
                <w:szCs w:val="19"/>
                <w:color w:val="auto"/>
              </w:rPr>
            </w:pPr>
          </w:p>
        </w:tc>
        <w:tc>
          <w:tcPr>
            <w:tcW w:w="2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67</w:t>
            </w:r>
          </w:p>
        </w:tc>
        <w:tc>
          <w:tcPr>
            <w:tcW w:w="220" w:type="dxa"/>
            <w:vAlign w:val="bottom"/>
            <w:tcBorders>
              <w:bottom w:val="single" w:sz="8" w:color="0000FF"/>
            </w:tcBorders>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68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6.19</w:t>
            </w:r>
          </w:p>
        </w:tc>
        <w:tc>
          <w:tcPr>
            <w:tcW w:w="2160" w:type="dxa"/>
            <w:vAlign w:val="bottom"/>
            <w:gridSpan w:val="16"/>
          </w:tcPr>
          <w:p>
            <w:pPr>
              <w:ind w:left="120"/>
              <w:spacing w:after="0" w:line="183" w:lineRule="exact"/>
              <w:rPr>
                <w:sz w:val="20"/>
                <w:szCs w:val="20"/>
                <w:color w:val="auto"/>
              </w:rPr>
            </w:pPr>
            <w:r>
              <w:rPr>
                <w:rFonts w:ascii="Times New Roman" w:cs="Times New Roman" w:eastAsia="Times New Roman" w:hAnsi="Times New Roman"/>
                <w:sz w:val="21"/>
                <w:szCs w:val="21"/>
                <w:color w:val="auto"/>
              </w:rPr>
              <w:t>No Misrepresentation</w:t>
            </w:r>
          </w:p>
        </w:tc>
        <w:tc>
          <w:tcPr>
            <w:tcW w:w="280" w:type="dxa"/>
            <w:vAlign w:val="bottom"/>
            <w:gridSpan w:val="3"/>
          </w:tcPr>
          <w:p>
            <w:pPr>
              <w:ind w:left="40"/>
              <w:spacing w:after="0" w:line="183" w:lineRule="exact"/>
              <w:rPr>
                <w:sz w:val="20"/>
                <w:szCs w:val="20"/>
                <w:color w:val="auto"/>
              </w:rPr>
            </w:pPr>
            <w:r>
              <w:rPr>
                <w:rFonts w:ascii="Times New Roman" w:cs="Times New Roman" w:eastAsia="Times New Roman" w:hAnsi="Times New Roman"/>
                <w:sz w:val="21"/>
                <w:szCs w:val="21"/>
                <w:color w:val="auto"/>
              </w:rPr>
              <w:t>68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6.20</w:t>
            </w:r>
          </w:p>
        </w:tc>
        <w:tc>
          <w:tcPr>
            <w:tcW w:w="2160" w:type="dxa"/>
            <w:vAlign w:val="bottom"/>
            <w:gridSpan w:val="16"/>
          </w:tcPr>
          <w:p>
            <w:pPr>
              <w:ind w:left="120"/>
              <w:spacing w:after="0" w:line="216" w:lineRule="exact"/>
              <w:rPr>
                <w:sz w:val="20"/>
                <w:szCs w:val="20"/>
                <w:color w:val="auto"/>
              </w:rPr>
            </w:pPr>
            <w:r>
              <w:rPr>
                <w:rFonts w:ascii="Times New Roman" w:cs="Times New Roman" w:eastAsia="Times New Roman" w:hAnsi="Times New Roman"/>
                <w:sz w:val="22"/>
                <w:szCs w:val="22"/>
                <w:color w:val="auto"/>
              </w:rPr>
              <w:t>Engineering Reports</w:t>
            </w:r>
          </w:p>
        </w:tc>
        <w:tc>
          <w:tcPr>
            <w:tcW w:w="20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9"/>
                <w:szCs w:val="19"/>
                <w:color w:val="auto"/>
                <w:w w:val="73"/>
              </w:rPr>
              <w:t>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6.21</w:t>
            </w:r>
          </w:p>
        </w:tc>
        <w:tc>
          <w:tcPr>
            <w:tcW w:w="5560" w:type="dxa"/>
            <w:vAlign w:val="bottom"/>
            <w:gridSpan w:val="35"/>
          </w:tcPr>
          <w:p>
            <w:pPr>
              <w:ind w:left="120"/>
              <w:spacing w:after="0" w:line="229" w:lineRule="exact"/>
              <w:rPr>
                <w:sz w:val="20"/>
                <w:szCs w:val="20"/>
                <w:color w:val="auto"/>
              </w:rPr>
            </w:pPr>
            <w:r>
              <w:rPr>
                <w:rFonts w:ascii="Times New Roman" w:cs="Times New Roman" w:eastAsia="Times New Roman" w:hAnsi="Times New Roman"/>
                <w:sz w:val="22"/>
                <w:szCs w:val="22"/>
                <w:color w:val="auto"/>
              </w:rPr>
              <w:t>Gas Balancing Agreements and Advance Payment Contracts</w:t>
            </w:r>
          </w:p>
        </w:tc>
        <w:tc>
          <w:tcPr>
            <w:tcW w:w="2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68</w:t>
            </w:r>
          </w:p>
        </w:tc>
        <w:tc>
          <w:tcPr>
            <w:tcW w:w="220" w:type="dxa"/>
            <w:vAlign w:val="bottom"/>
            <w:tcBorders>
              <w:bottom w:val="single" w:sz="8" w:color="0000FF"/>
            </w:tcBorders>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69</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6.22</w:t>
            </w:r>
          </w:p>
        </w:tc>
        <w:tc>
          <w:tcPr>
            <w:tcW w:w="3240" w:type="dxa"/>
            <w:vAlign w:val="bottom"/>
            <w:gridSpan w:val="24"/>
          </w:tcPr>
          <w:p>
            <w:pPr>
              <w:ind w:left="120"/>
              <w:spacing w:after="0" w:line="183" w:lineRule="exact"/>
              <w:rPr>
                <w:sz w:val="20"/>
                <w:szCs w:val="20"/>
                <w:color w:val="auto"/>
              </w:rPr>
            </w:pPr>
            <w:r>
              <w:rPr>
                <w:rFonts w:ascii="Times New Roman" w:cs="Times New Roman" w:eastAsia="Times New Roman" w:hAnsi="Times New Roman"/>
                <w:sz w:val="21"/>
                <w:szCs w:val="21"/>
                <w:color w:val="auto"/>
              </w:rPr>
              <w:t>Commodity Hedging Agreements</w:t>
            </w:r>
          </w:p>
        </w:tc>
        <w:tc>
          <w:tcPr>
            <w:tcW w:w="3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auto"/>
                <w:w w:val="95"/>
              </w:rPr>
              <w:t>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69</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6.23</w:t>
            </w:r>
          </w:p>
        </w:tc>
        <w:tc>
          <w:tcPr>
            <w:tcW w:w="4380" w:type="dxa"/>
            <w:vAlign w:val="bottom"/>
            <w:gridSpan w:val="32"/>
          </w:tcPr>
          <w:p>
            <w:pPr>
              <w:ind w:left="120"/>
              <w:spacing w:after="0"/>
              <w:rPr>
                <w:sz w:val="20"/>
                <w:szCs w:val="20"/>
                <w:color w:val="auto"/>
              </w:rPr>
            </w:pPr>
            <w:r>
              <w:rPr>
                <w:rFonts w:ascii="Times New Roman" w:cs="Times New Roman" w:eastAsia="Times New Roman" w:hAnsi="Times New Roman"/>
                <w:sz w:val="22"/>
                <w:szCs w:val="22"/>
                <w:color w:val="auto"/>
              </w:rPr>
              <w:t>Corporate Documents and Corporate Existence</w:t>
            </w:r>
          </w:p>
        </w:tc>
        <w:tc>
          <w:tcPr>
            <w:tcW w:w="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gridSpan w:val="31"/>
          </w:tcPr>
          <w:p>
            <w:pPr>
              <w:spacing w:after="0"/>
              <w:rPr>
                <w:sz w:val="20"/>
                <w:szCs w:val="20"/>
                <w:color w:val="auto"/>
              </w:rPr>
            </w:pPr>
            <w:r>
              <w:rPr>
                <w:rFonts w:ascii="Times New Roman" w:cs="Times New Roman" w:eastAsia="Times New Roman" w:hAnsi="Times New Roman"/>
                <w:sz w:val="22"/>
                <w:szCs w:val="22"/>
                <w:color w:val="auto"/>
              </w:rPr>
              <w:t>ARTICLE 7.  AFFIRMATIVE COVENANTS.  69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w:t>
            </w:r>
          </w:p>
        </w:tc>
        <w:tc>
          <w:tcPr>
            <w:tcW w:w="1840" w:type="dxa"/>
            <w:vAlign w:val="bottom"/>
            <w:gridSpan w:val="13"/>
          </w:tcPr>
          <w:p>
            <w:pPr>
              <w:spacing w:after="0"/>
              <w:rPr>
                <w:sz w:val="20"/>
                <w:szCs w:val="20"/>
                <w:color w:val="auto"/>
              </w:rPr>
            </w:pPr>
            <w:r>
              <w:rPr>
                <w:rFonts w:ascii="Times New Roman" w:cs="Times New Roman" w:eastAsia="Times New Roman" w:hAnsi="Times New Roman"/>
                <w:sz w:val="22"/>
                <w:szCs w:val="22"/>
                <w:color w:val="auto"/>
                <w:w w:val="98"/>
              </w:rPr>
              <w:t>Financial Statements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vMerge w:val="restart"/>
          </w:tcPr>
          <w:p>
            <w:pPr>
              <w:jc w:val="right"/>
              <w:ind w:right="15"/>
              <w:spacing w:after="0"/>
              <w:rPr>
                <w:sz w:val="20"/>
                <w:szCs w:val="20"/>
                <w:color w:val="auto"/>
              </w:rPr>
            </w:pPr>
            <w:r>
              <w:rPr>
                <w:rFonts w:ascii="Times New Roman" w:cs="Times New Roman" w:eastAsia="Times New Roman" w:hAnsi="Times New Roman"/>
                <w:sz w:val="22"/>
                <w:szCs w:val="22"/>
                <w:color w:val="auto"/>
                <w:w w:val="90"/>
              </w:rPr>
              <w:t>71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7.2</w:t>
            </w:r>
          </w:p>
        </w:tc>
        <w:tc>
          <w:tcPr>
            <w:tcW w:w="2900" w:type="dxa"/>
            <w:vAlign w:val="bottom"/>
            <w:gridSpan w:val="23"/>
          </w:tcPr>
          <w:p>
            <w:pPr>
              <w:spacing w:after="0" w:line="216" w:lineRule="exact"/>
              <w:rPr>
                <w:sz w:val="20"/>
                <w:szCs w:val="20"/>
                <w:color w:val="auto"/>
              </w:rPr>
            </w:pPr>
            <w:r>
              <w:rPr>
                <w:rFonts w:ascii="Times New Roman" w:cs="Times New Roman" w:eastAsia="Times New Roman" w:hAnsi="Times New Roman"/>
                <w:sz w:val="22"/>
                <w:szCs w:val="22"/>
                <w:color w:val="auto"/>
              </w:rPr>
              <w:t>Certificates; Other Information</w:t>
            </w:r>
          </w:p>
        </w:tc>
        <w:tc>
          <w:tcPr>
            <w:tcW w:w="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7.3</w:t>
            </w:r>
          </w:p>
        </w:tc>
        <w:tc>
          <w:tcPr>
            <w:tcW w:w="2160" w:type="dxa"/>
            <w:vAlign w:val="bottom"/>
            <w:gridSpan w:val="16"/>
          </w:tcPr>
          <w:p>
            <w:pPr>
              <w:spacing w:after="0" w:line="216" w:lineRule="exact"/>
              <w:rPr>
                <w:sz w:val="20"/>
                <w:szCs w:val="20"/>
                <w:color w:val="auto"/>
              </w:rPr>
            </w:pPr>
            <w:r>
              <w:rPr>
                <w:rFonts w:ascii="Times New Roman" w:cs="Times New Roman" w:eastAsia="Times New Roman" w:hAnsi="Times New Roman"/>
                <w:sz w:val="22"/>
                <w:szCs w:val="22"/>
                <w:color w:val="auto"/>
              </w:rPr>
              <w:t>Payment of Obligations</w:t>
            </w:r>
          </w:p>
        </w:tc>
        <w:tc>
          <w:tcPr>
            <w:tcW w:w="42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2"/>
                <w:szCs w:val="22"/>
                <w:color w:val="auto"/>
              </w:rPr>
              <w:t>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7.4</w:t>
            </w:r>
          </w:p>
        </w:tc>
        <w:tc>
          <w:tcPr>
            <w:tcW w:w="7000" w:type="dxa"/>
            <w:vAlign w:val="bottom"/>
            <w:gridSpan w:val="39"/>
          </w:tcPr>
          <w:p>
            <w:pPr>
              <w:spacing w:after="0" w:line="216" w:lineRule="exact"/>
              <w:rPr>
                <w:sz w:val="20"/>
                <w:szCs w:val="20"/>
                <w:color w:val="auto"/>
              </w:rPr>
            </w:pPr>
            <w:r>
              <w:rPr>
                <w:rFonts w:ascii="Times New Roman" w:cs="Times New Roman" w:eastAsia="Times New Roman" w:hAnsi="Times New Roman"/>
                <w:sz w:val="22"/>
                <w:szCs w:val="22"/>
                <w:color w:val="auto"/>
                <w:w w:val="99"/>
              </w:rPr>
              <w:t>Conduct of Business and Maintenance of Existence; Compliance with Laws  72</w:t>
            </w:r>
          </w:p>
        </w:tc>
        <w:tc>
          <w:tcPr>
            <w:tcW w:w="0" w:type="dxa"/>
            <w:vAlign w:val="bottom"/>
          </w:tcPr>
          <w:p>
            <w:pPr>
              <w:spacing w:after="0"/>
              <w:rPr>
                <w:sz w:val="1"/>
                <w:szCs w:val="1"/>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7.5</w:t>
            </w:r>
          </w:p>
        </w:tc>
        <w:tc>
          <w:tcPr>
            <w:tcW w:w="3240" w:type="dxa"/>
            <w:vAlign w:val="bottom"/>
            <w:gridSpan w:val="24"/>
          </w:tcPr>
          <w:p>
            <w:pPr>
              <w:spacing w:after="0" w:line="229" w:lineRule="exact"/>
              <w:rPr>
                <w:sz w:val="20"/>
                <w:szCs w:val="20"/>
                <w:color w:val="auto"/>
              </w:rPr>
            </w:pPr>
            <w:r>
              <w:rPr>
                <w:rFonts w:ascii="Times New Roman" w:cs="Times New Roman" w:eastAsia="Times New Roman" w:hAnsi="Times New Roman"/>
                <w:sz w:val="22"/>
                <w:szCs w:val="22"/>
                <w:color w:val="auto"/>
              </w:rPr>
              <w:t>Maintenance of Property; Insurance</w:t>
            </w:r>
          </w:p>
        </w:tc>
        <w:tc>
          <w:tcPr>
            <w:tcW w:w="3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rPr>
              <w:t>72</w:t>
            </w:r>
          </w:p>
        </w:tc>
        <w:tc>
          <w:tcPr>
            <w:tcW w:w="220" w:type="dxa"/>
            <w:vAlign w:val="bottom"/>
            <w:tcBorders>
              <w:bottom w:val="single" w:sz="8" w:color="0000FF"/>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73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7.6</w:t>
            </w:r>
          </w:p>
        </w:tc>
        <w:tc>
          <w:tcPr>
            <w:tcW w:w="3760" w:type="dxa"/>
            <w:vAlign w:val="bottom"/>
            <w:gridSpan w:val="28"/>
          </w:tcPr>
          <w:p>
            <w:pPr>
              <w:spacing w:after="0" w:line="183" w:lineRule="exact"/>
              <w:rPr>
                <w:sz w:val="20"/>
                <w:szCs w:val="20"/>
                <w:color w:val="auto"/>
              </w:rPr>
            </w:pPr>
            <w:r>
              <w:rPr>
                <w:rFonts w:ascii="Times New Roman" w:cs="Times New Roman" w:eastAsia="Times New Roman" w:hAnsi="Times New Roman"/>
                <w:sz w:val="21"/>
                <w:szCs w:val="21"/>
                <w:color w:val="auto"/>
              </w:rPr>
              <w:t>Inspection of Property; Books and Records,</w:t>
            </w:r>
          </w:p>
        </w:tc>
        <w:tc>
          <w:tcPr>
            <w:tcW w:w="1280" w:type="dxa"/>
            <w:vAlign w:val="bottom"/>
            <w:gridSpan w:val="5"/>
          </w:tcPr>
          <w:p>
            <w:pPr>
              <w:jc w:val="right"/>
              <w:ind w:right="72"/>
              <w:spacing w:after="0" w:line="183" w:lineRule="exact"/>
              <w:rPr>
                <w:sz w:val="20"/>
                <w:szCs w:val="20"/>
                <w:color w:val="auto"/>
              </w:rPr>
            </w:pPr>
            <w:r>
              <w:rPr>
                <w:rFonts w:ascii="Times New Roman" w:cs="Times New Roman" w:eastAsia="Times New Roman" w:hAnsi="Times New Roman"/>
                <w:sz w:val="21"/>
                <w:szCs w:val="21"/>
                <w:color w:val="auto"/>
              </w:rPr>
              <w:t>Discussions</w:t>
            </w:r>
          </w:p>
        </w:tc>
        <w:tc>
          <w:tcPr>
            <w:tcW w:w="380" w:type="dxa"/>
            <w:vAlign w:val="bottom"/>
          </w:tcPr>
          <w:p>
            <w:pPr>
              <w:jc w:val="right"/>
              <w:ind w:right="15"/>
              <w:spacing w:after="0" w:line="183" w:lineRule="exact"/>
              <w:rPr>
                <w:sz w:val="20"/>
                <w:szCs w:val="20"/>
                <w:color w:val="auto"/>
              </w:rPr>
            </w:pPr>
            <w:r>
              <w:rPr>
                <w:rFonts w:ascii="Times New Roman" w:cs="Times New Roman" w:eastAsia="Times New Roman" w:hAnsi="Times New Roman"/>
                <w:sz w:val="21"/>
                <w:szCs w:val="21"/>
                <w:color w:val="auto"/>
              </w:rPr>
              <w:t>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7.7</w:t>
            </w:r>
          </w:p>
        </w:tc>
        <w:tc>
          <w:tcPr>
            <w:tcW w:w="6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w w:val="98"/>
              </w:rPr>
              <w:t>Notices</w:t>
            </w:r>
          </w:p>
        </w:tc>
        <w:tc>
          <w:tcPr>
            <w:tcW w:w="4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auto"/>
              </w:rPr>
              <w:t>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7.8</w:t>
            </w:r>
          </w:p>
        </w:tc>
        <w:tc>
          <w:tcPr>
            <w:tcW w:w="2440" w:type="dxa"/>
            <w:vAlign w:val="bottom"/>
            <w:gridSpan w:val="19"/>
          </w:tcPr>
          <w:p>
            <w:pPr>
              <w:spacing w:after="0" w:line="229" w:lineRule="exact"/>
              <w:rPr>
                <w:sz w:val="20"/>
                <w:szCs w:val="20"/>
                <w:color w:val="auto"/>
              </w:rPr>
            </w:pPr>
            <w:r>
              <w:rPr>
                <w:rFonts w:ascii="Times New Roman" w:cs="Times New Roman" w:eastAsia="Times New Roman" w:hAnsi="Times New Roman"/>
                <w:sz w:val="22"/>
                <w:szCs w:val="22"/>
                <w:color w:val="auto"/>
              </w:rPr>
              <w:t>Hazardous Material Laws</w:t>
            </w:r>
          </w:p>
        </w:tc>
        <w:tc>
          <w:tcPr>
            <w:tcW w:w="2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74</w:t>
            </w:r>
          </w:p>
        </w:tc>
        <w:tc>
          <w:tcPr>
            <w:tcW w:w="220" w:type="dxa"/>
            <w:vAlign w:val="bottom"/>
            <w:tcBorders>
              <w:bottom w:val="single" w:sz="8" w:color="0000FF"/>
            </w:tcBorders>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75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7.9</w:t>
            </w:r>
          </w:p>
        </w:tc>
        <w:tc>
          <w:tcPr>
            <w:tcW w:w="1840" w:type="dxa"/>
            <w:vAlign w:val="bottom"/>
            <w:gridSpan w:val="13"/>
          </w:tcPr>
          <w:p>
            <w:pPr>
              <w:spacing w:after="0" w:line="183" w:lineRule="exact"/>
              <w:rPr>
                <w:sz w:val="20"/>
                <w:szCs w:val="20"/>
                <w:color w:val="auto"/>
              </w:rPr>
            </w:pPr>
            <w:r>
              <w:rPr>
                <w:rFonts w:ascii="Times New Roman" w:cs="Times New Roman" w:eastAsia="Times New Roman" w:hAnsi="Times New Roman"/>
                <w:sz w:val="21"/>
                <w:szCs w:val="21"/>
                <w:color w:val="auto"/>
              </w:rPr>
              <w:t>Financial Covenants</w:t>
            </w:r>
          </w:p>
        </w:tc>
        <w:tc>
          <w:tcPr>
            <w:tcW w:w="440" w:type="dxa"/>
            <w:vAlign w:val="bottom"/>
            <w:gridSpan w:val="4"/>
          </w:tcPr>
          <w:p>
            <w:pPr>
              <w:jc w:val="right"/>
              <w:spacing w:after="0" w:line="183" w:lineRule="exact"/>
              <w:rPr>
                <w:sz w:val="20"/>
                <w:szCs w:val="20"/>
                <w:color w:val="auto"/>
              </w:rPr>
            </w:pPr>
            <w:r>
              <w:rPr>
                <w:rFonts w:ascii="Times New Roman" w:cs="Times New Roman" w:eastAsia="Times New Roman" w:hAnsi="Times New Roman"/>
                <w:sz w:val="21"/>
                <w:szCs w:val="21"/>
                <w:color w:val="auto"/>
              </w:rPr>
              <w:t>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7.10</w:t>
            </w:r>
          </w:p>
        </w:tc>
        <w:tc>
          <w:tcPr>
            <w:tcW w:w="3240" w:type="dxa"/>
            <w:vAlign w:val="bottom"/>
            <w:gridSpan w:val="24"/>
          </w:tcPr>
          <w:p>
            <w:pPr>
              <w:ind w:left="120"/>
              <w:spacing w:after="0" w:line="216" w:lineRule="exact"/>
              <w:rPr>
                <w:sz w:val="20"/>
                <w:szCs w:val="20"/>
                <w:color w:val="auto"/>
              </w:rPr>
            </w:pPr>
            <w:r>
              <w:rPr>
                <w:rFonts w:ascii="Times New Roman" w:cs="Times New Roman" w:eastAsia="Times New Roman" w:hAnsi="Times New Roman"/>
                <w:sz w:val="22"/>
                <w:szCs w:val="22"/>
                <w:color w:val="auto"/>
                <w:w w:val="98"/>
              </w:rPr>
              <w:t>Governmental and Other Approvals</w:t>
            </w:r>
          </w:p>
        </w:tc>
        <w:tc>
          <w:tcPr>
            <w:tcW w:w="4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75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7.11</w:t>
            </w:r>
          </w:p>
        </w:tc>
        <w:tc>
          <w:tcPr>
            <w:tcW w:w="3920" w:type="dxa"/>
            <w:vAlign w:val="bottom"/>
            <w:gridSpan w:val="30"/>
          </w:tcPr>
          <w:p>
            <w:pPr>
              <w:ind w:left="100"/>
              <w:spacing w:after="0" w:line="216" w:lineRule="exact"/>
              <w:rPr>
                <w:sz w:val="20"/>
                <w:szCs w:val="20"/>
                <w:color w:val="auto"/>
              </w:rPr>
            </w:pPr>
            <w:r>
              <w:rPr>
                <w:rFonts w:ascii="Times New Roman" w:cs="Times New Roman" w:eastAsia="Times New Roman" w:hAnsi="Times New Roman"/>
                <w:sz w:val="22"/>
                <w:szCs w:val="22"/>
                <w:color w:val="auto"/>
              </w:rPr>
              <w:t>Compliance with ERISA; ERISA Notices</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7.12</w:t>
            </w:r>
          </w:p>
        </w:tc>
        <w:tc>
          <w:tcPr>
            <w:tcW w:w="7000" w:type="dxa"/>
            <w:vAlign w:val="bottom"/>
            <w:gridSpan w:val="39"/>
          </w:tcPr>
          <w:p>
            <w:pPr>
              <w:ind w:left="120"/>
              <w:spacing w:after="0" w:line="216" w:lineRule="exact"/>
              <w:rPr>
                <w:sz w:val="20"/>
                <w:szCs w:val="20"/>
                <w:color w:val="auto"/>
              </w:rPr>
            </w:pPr>
            <w:r>
              <w:rPr>
                <w:rFonts w:ascii="Times New Roman" w:cs="Times New Roman" w:eastAsia="Times New Roman" w:hAnsi="Times New Roman"/>
                <w:sz w:val="22"/>
                <w:szCs w:val="22"/>
                <w:color w:val="auto"/>
              </w:rPr>
              <w:t>Future Restricted Subsidiaries; Additional Collateral  76</w:t>
            </w:r>
          </w:p>
        </w:tc>
        <w:tc>
          <w:tcPr>
            <w:tcW w:w="0" w:type="dxa"/>
            <w:vAlign w:val="bottom"/>
          </w:tcPr>
          <w:p>
            <w:pPr>
              <w:spacing w:after="0"/>
              <w:rPr>
                <w:sz w:val="1"/>
                <w:szCs w:val="1"/>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7.13</w:t>
            </w:r>
          </w:p>
        </w:tc>
        <w:tc>
          <w:tcPr>
            <w:tcW w:w="1720" w:type="dxa"/>
            <w:vAlign w:val="bottom"/>
            <w:gridSpan w:val="12"/>
          </w:tcPr>
          <w:p>
            <w:pPr>
              <w:ind w:left="120"/>
              <w:spacing w:after="0" w:line="229" w:lineRule="exact"/>
              <w:rPr>
                <w:sz w:val="20"/>
                <w:szCs w:val="20"/>
                <w:color w:val="auto"/>
              </w:rPr>
            </w:pPr>
            <w:r>
              <w:rPr>
                <w:rFonts w:ascii="Times New Roman" w:cs="Times New Roman" w:eastAsia="Times New Roman" w:hAnsi="Times New Roman"/>
                <w:sz w:val="22"/>
                <w:szCs w:val="22"/>
                <w:color w:val="auto"/>
              </w:rPr>
              <w:t>Use of Proceeds</w:t>
            </w:r>
          </w:p>
        </w:tc>
        <w:tc>
          <w:tcPr>
            <w:tcW w:w="2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76</w:t>
            </w:r>
          </w:p>
        </w:tc>
        <w:tc>
          <w:tcPr>
            <w:tcW w:w="340" w:type="dxa"/>
            <w:vAlign w:val="bottom"/>
            <w:gridSpan w:val="3"/>
          </w:tcPr>
          <w:p>
            <w:pPr>
              <w:jc w:val="right"/>
              <w:ind w:right="14"/>
              <w:spacing w:after="0" w:line="229" w:lineRule="exact"/>
              <w:rPr>
                <w:sz w:val="20"/>
                <w:szCs w:val="20"/>
                <w:color w:val="auto"/>
              </w:rPr>
            </w:pPr>
            <w:r>
              <w:rPr>
                <w:rFonts w:ascii="Times New Roman" w:cs="Times New Roman" w:eastAsia="Times New Roman" w:hAnsi="Times New Roman"/>
                <w:sz w:val="22"/>
                <w:szCs w:val="22"/>
                <w:color w:val="0000FF"/>
                <w:w w:val="90"/>
              </w:rPr>
              <w:t>77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660"/>
              <w:spacing w:after="0" w:line="216" w:lineRule="exact"/>
              <w:rPr>
                <w:sz w:val="20"/>
                <w:szCs w:val="20"/>
                <w:color w:val="auto"/>
              </w:rPr>
            </w:pPr>
            <w:r>
              <w:rPr>
                <w:rFonts w:ascii="Times New Roman" w:cs="Times New Roman" w:eastAsia="Times New Roman" w:hAnsi="Times New Roman"/>
                <w:sz w:val="22"/>
                <w:szCs w:val="22"/>
                <w:color w:val="auto"/>
              </w:rPr>
              <w:t>7.14</w:t>
            </w:r>
          </w:p>
        </w:tc>
        <w:tc>
          <w:tcPr>
            <w:tcW w:w="1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gridSpan w:val="8"/>
            <w:vMerge w:val="restart"/>
          </w:tcPr>
          <w:p>
            <w:pPr>
              <w:ind w:left="40"/>
              <w:spacing w:after="0" w:line="216" w:lineRule="exact"/>
              <w:rPr>
                <w:sz w:val="20"/>
                <w:szCs w:val="20"/>
                <w:color w:val="auto"/>
              </w:rPr>
            </w:pPr>
            <w:r>
              <w:rPr>
                <w:rFonts w:ascii="Times New Roman" w:cs="Times New Roman" w:eastAsia="Times New Roman" w:hAnsi="Times New Roman"/>
                <w:sz w:val="22"/>
                <w:szCs w:val="22"/>
                <w:color w:val="auto"/>
                <w:w w:val="97"/>
              </w:rPr>
              <w:t>Information</w:t>
            </w:r>
          </w:p>
        </w:tc>
        <w:tc>
          <w:tcPr>
            <w:tcW w:w="220" w:type="dxa"/>
            <w:vAlign w:val="bottom"/>
            <w:vMerge w:val="restart"/>
          </w:tcPr>
          <w:p>
            <w:pPr>
              <w:spacing w:after="0" w:line="20" w:lineRule="exact"/>
              <w:rPr>
                <w:sz w:val="1"/>
                <w:szCs w:val="1"/>
                <w:color w:val="auto"/>
              </w:rPr>
            </w:pPr>
          </w:p>
        </w:tc>
        <w:tc>
          <w:tcPr>
            <w:tcW w:w="200" w:type="dxa"/>
            <w:vAlign w:val="bottom"/>
            <w:gridSpan w:val="2"/>
            <w:vMerge w:val="restart"/>
          </w:tcPr>
          <w:p>
            <w:pPr>
              <w:jc w:val="right"/>
              <w:spacing w:after="0" w:line="216" w:lineRule="exact"/>
              <w:rPr>
                <w:sz w:val="20"/>
                <w:szCs w:val="20"/>
                <w:color w:val="auto"/>
              </w:rPr>
            </w:pPr>
            <w:r>
              <w:rPr>
                <w:rFonts w:ascii="Times New Roman" w:cs="Times New Roman" w:eastAsia="Times New Roman" w:hAnsi="Times New Roman"/>
                <w:sz w:val="22"/>
                <w:szCs w:val="22"/>
                <w:color w:val="FF0000"/>
                <w:strike w:val="1"/>
                <w:w w:val="81"/>
              </w:rPr>
              <w:t>76</w:t>
            </w:r>
          </w:p>
        </w:tc>
        <w:tc>
          <w:tcPr>
            <w:tcW w:w="220" w:type="dxa"/>
            <w:vAlign w:val="bottom"/>
            <w:gridSpan w:val="2"/>
            <w:vMerge w:val="restart"/>
          </w:tcPr>
          <w:p>
            <w:pPr>
              <w:jc w:val="right"/>
              <w:spacing w:after="0" w:line="216" w:lineRule="exact"/>
              <w:rPr>
                <w:sz w:val="20"/>
                <w:szCs w:val="20"/>
                <w:color w:val="auto"/>
              </w:rPr>
            </w:pPr>
            <w:r>
              <w:rPr>
                <w:rFonts w:ascii="Times New Roman" w:cs="Times New Roman" w:eastAsia="Times New Roman" w:hAnsi="Times New Roman"/>
                <w:sz w:val="22"/>
                <w:szCs w:val="22"/>
                <w:color w:val="0000FF"/>
                <w:w w:val="90"/>
              </w:rPr>
              <w:t>77</w:t>
            </w:r>
          </w:p>
        </w:tc>
        <w:tc>
          <w:tcPr>
            <w:tcW w:w="4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40" w:type="dxa"/>
            <w:vAlign w:val="bottom"/>
            <w:vMerge w:val="continue"/>
          </w:tcPr>
          <w:p>
            <w:pPr>
              <w:spacing w:after="0"/>
              <w:rPr>
                <w:sz w:val="17"/>
                <w:szCs w:val="17"/>
                <w:color w:val="auto"/>
              </w:rPr>
            </w:pPr>
          </w:p>
        </w:tc>
        <w:tc>
          <w:tcPr>
            <w:tcW w:w="2160" w:type="dxa"/>
            <w:vAlign w:val="bottom"/>
            <w:gridSpan w:val="16"/>
          </w:tcPr>
          <w:p>
            <w:pPr>
              <w:ind w:left="120"/>
              <w:spacing w:after="0" w:line="196" w:lineRule="exact"/>
              <w:rPr>
                <w:sz w:val="20"/>
                <w:szCs w:val="20"/>
                <w:color w:val="auto"/>
              </w:rPr>
            </w:pPr>
            <w:r>
              <w:rPr>
                <w:rFonts w:ascii="Times New Roman" w:cs="Times New Roman" w:eastAsia="Times New Roman" w:hAnsi="Times New Roman"/>
                <w:sz w:val="22"/>
                <w:szCs w:val="22"/>
                <w:color w:val="auto"/>
                <w:w w:val="96"/>
              </w:rPr>
              <w:t>Further Assurances and</w:t>
            </w:r>
          </w:p>
        </w:tc>
        <w:tc>
          <w:tcPr>
            <w:tcW w:w="1080" w:type="dxa"/>
            <w:vAlign w:val="bottom"/>
            <w:gridSpan w:val="8"/>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220" w:type="dxa"/>
            <w:vAlign w:val="bottom"/>
            <w:tcBorders>
              <w:bottom w:val="single" w:sz="8" w:color="0000FF"/>
            </w:tcBorders>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7.15</w:t>
            </w:r>
          </w:p>
        </w:tc>
        <w:tc>
          <w:tcPr>
            <w:tcW w:w="1720" w:type="dxa"/>
            <w:vAlign w:val="bottom"/>
            <w:gridSpan w:val="12"/>
          </w:tcPr>
          <w:p>
            <w:pPr>
              <w:ind w:left="120"/>
              <w:spacing w:after="0" w:line="183" w:lineRule="exact"/>
              <w:rPr>
                <w:sz w:val="20"/>
                <w:szCs w:val="20"/>
                <w:color w:val="auto"/>
              </w:rPr>
            </w:pPr>
            <w:r>
              <w:rPr>
                <w:rFonts w:ascii="Times New Roman" w:cs="Times New Roman" w:eastAsia="Times New Roman" w:hAnsi="Times New Roman"/>
                <w:sz w:val="21"/>
                <w:szCs w:val="21"/>
                <w:color w:val="auto"/>
              </w:rPr>
              <w:t>Reserve Reports</w:t>
            </w:r>
          </w:p>
        </w:tc>
        <w:tc>
          <w:tcPr>
            <w:tcW w:w="34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auto"/>
              </w:rPr>
              <w:t>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78</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7.16</w:t>
            </w:r>
          </w:p>
        </w:tc>
        <w:tc>
          <w:tcPr>
            <w:tcW w:w="3920" w:type="dxa"/>
            <w:vAlign w:val="bottom"/>
            <w:gridSpan w:val="30"/>
          </w:tcPr>
          <w:p>
            <w:pPr>
              <w:ind w:left="100"/>
              <w:spacing w:after="0" w:line="216" w:lineRule="exact"/>
              <w:rPr>
                <w:sz w:val="20"/>
                <w:szCs w:val="20"/>
                <w:color w:val="auto"/>
              </w:rPr>
            </w:pPr>
            <w:r>
              <w:rPr>
                <w:rFonts w:ascii="Times New Roman" w:cs="Times New Roman" w:eastAsia="Times New Roman" w:hAnsi="Times New Roman"/>
                <w:sz w:val="22"/>
                <w:szCs w:val="22"/>
                <w:color w:val="auto"/>
              </w:rPr>
              <w:t>Title Information and Mortgage Coverage</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7.17</w:t>
            </w:r>
          </w:p>
        </w:tc>
        <w:tc>
          <w:tcPr>
            <w:tcW w:w="1180" w:type="dxa"/>
            <w:vAlign w:val="bottom"/>
            <w:gridSpan w:val="4"/>
          </w:tcPr>
          <w:p>
            <w:pPr>
              <w:ind w:left="120"/>
              <w:spacing w:after="0" w:line="216" w:lineRule="exact"/>
              <w:rPr>
                <w:sz w:val="20"/>
                <w:szCs w:val="20"/>
                <w:color w:val="auto"/>
              </w:rPr>
            </w:pPr>
            <w:r>
              <w:rPr>
                <w:rFonts w:ascii="Times New Roman" w:cs="Times New Roman" w:eastAsia="Times New Roman" w:hAnsi="Times New Roman"/>
                <w:sz w:val="22"/>
                <w:szCs w:val="22"/>
                <w:color w:val="auto"/>
              </w:rPr>
              <w:t>Collateral</w:t>
            </w:r>
          </w:p>
        </w:tc>
        <w:tc>
          <w:tcPr>
            <w:tcW w:w="2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auto"/>
                <w:w w:val="90"/>
              </w:rPr>
              <w:t>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7.18</w:t>
            </w:r>
          </w:p>
        </w:tc>
        <w:tc>
          <w:tcPr>
            <w:tcW w:w="1180" w:type="dxa"/>
            <w:vAlign w:val="bottom"/>
            <w:gridSpan w:val="4"/>
          </w:tcPr>
          <w:p>
            <w:pPr>
              <w:ind w:left="120"/>
              <w:spacing w:after="0" w:line="229" w:lineRule="exact"/>
              <w:rPr>
                <w:sz w:val="20"/>
                <w:szCs w:val="20"/>
                <w:color w:val="auto"/>
              </w:rPr>
            </w:pPr>
            <w:r>
              <w:rPr>
                <w:rFonts w:ascii="Times New Roman" w:cs="Times New Roman" w:eastAsia="Times New Roman" w:hAnsi="Times New Roman"/>
                <w:sz w:val="22"/>
                <w:szCs w:val="22"/>
                <w:color w:val="auto"/>
              </w:rPr>
              <w:t>[Reserved]</w:t>
            </w:r>
          </w:p>
        </w:tc>
        <w:tc>
          <w:tcPr>
            <w:tcW w:w="32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rPr>
              <w:t>79</w:t>
            </w:r>
          </w:p>
        </w:tc>
        <w:tc>
          <w:tcPr>
            <w:tcW w:w="220" w:type="dxa"/>
            <w:vAlign w:val="bottom"/>
            <w:tcBorders>
              <w:bottom w:val="single" w:sz="8" w:color="0000FF"/>
            </w:tcBorders>
            <w:gridSpan w:val="4"/>
          </w:tcPr>
          <w:p>
            <w:pPr>
              <w:spacing w:after="0" w:line="229" w:lineRule="exact"/>
              <w:rPr>
                <w:sz w:val="20"/>
                <w:szCs w:val="20"/>
                <w:color w:val="auto"/>
              </w:rPr>
            </w:pPr>
            <w:r>
              <w:rPr>
                <w:rFonts w:ascii="Times New Roman" w:cs="Times New Roman" w:eastAsia="Times New Roman" w:hAnsi="Times New Roman"/>
                <w:sz w:val="22"/>
                <w:szCs w:val="22"/>
                <w:color w:val="0000FF"/>
                <w:w w:val="90"/>
              </w:rPr>
              <w:t>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7.19</w:t>
            </w:r>
          </w:p>
        </w:tc>
        <w:tc>
          <w:tcPr>
            <w:tcW w:w="1720" w:type="dxa"/>
            <w:vAlign w:val="bottom"/>
            <w:gridSpan w:val="12"/>
          </w:tcPr>
          <w:p>
            <w:pPr>
              <w:ind w:left="120"/>
              <w:spacing w:after="0" w:line="183" w:lineRule="exact"/>
              <w:rPr>
                <w:sz w:val="20"/>
                <w:szCs w:val="20"/>
                <w:color w:val="auto"/>
              </w:rPr>
            </w:pPr>
            <w:r>
              <w:rPr>
                <w:rFonts w:ascii="Times New Roman" w:cs="Times New Roman" w:eastAsia="Times New Roman" w:hAnsi="Times New Roman"/>
                <w:sz w:val="21"/>
                <w:szCs w:val="21"/>
                <w:color w:val="auto"/>
                <w:w w:val="99"/>
              </w:rPr>
              <w:t>Consolidated Cash</w:t>
            </w:r>
          </w:p>
        </w:tc>
        <w:tc>
          <w:tcPr>
            <w:tcW w:w="2660" w:type="dxa"/>
            <w:vAlign w:val="bottom"/>
            <w:gridSpan w:val="20"/>
          </w:tcPr>
          <w:p>
            <w:pPr>
              <w:ind w:left="80"/>
              <w:spacing w:after="0" w:line="183" w:lineRule="exact"/>
              <w:rPr>
                <w:sz w:val="20"/>
                <w:szCs w:val="20"/>
                <w:color w:val="auto"/>
              </w:rPr>
            </w:pPr>
            <w:r>
              <w:rPr>
                <w:rFonts w:ascii="Times New Roman" w:cs="Times New Roman" w:eastAsia="Times New Roman" w:hAnsi="Times New Roman"/>
                <w:sz w:val="21"/>
                <w:szCs w:val="21"/>
                <w:color w:val="auto"/>
              </w:rPr>
              <w:t>Balance Information  80</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7.20</w:t>
            </w:r>
          </w:p>
        </w:tc>
        <w:tc>
          <w:tcPr>
            <w:tcW w:w="2160" w:type="dxa"/>
            <w:vAlign w:val="bottom"/>
            <w:gridSpan w:val="16"/>
          </w:tcPr>
          <w:p>
            <w:pPr>
              <w:ind w:left="120"/>
              <w:spacing w:after="0"/>
              <w:rPr>
                <w:sz w:val="20"/>
                <w:szCs w:val="20"/>
                <w:color w:val="auto"/>
              </w:rPr>
            </w:pPr>
            <w:r>
              <w:rPr>
                <w:rFonts w:ascii="Times New Roman" w:cs="Times New Roman" w:eastAsia="Times New Roman" w:hAnsi="Times New Roman"/>
                <w:sz w:val="22"/>
                <w:szCs w:val="22"/>
                <w:color w:val="auto"/>
                <w:w w:val="98"/>
              </w:rPr>
              <w:t>Post-Closing Covenant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w w:val="97"/>
              </w:rPr>
              <w:t>ARTICLE 8.</w:t>
            </w:r>
          </w:p>
        </w:tc>
        <w:tc>
          <w:tcPr>
            <w:tcW w:w="3240" w:type="dxa"/>
            <w:vAlign w:val="bottom"/>
            <w:gridSpan w:val="24"/>
          </w:tcPr>
          <w:p>
            <w:pPr>
              <w:ind w:left="200"/>
              <w:spacing w:after="0"/>
              <w:rPr>
                <w:sz w:val="20"/>
                <w:szCs w:val="20"/>
                <w:color w:val="auto"/>
              </w:rPr>
            </w:pPr>
            <w:r>
              <w:rPr>
                <w:rFonts w:ascii="Times New Roman" w:cs="Times New Roman" w:eastAsia="Times New Roman" w:hAnsi="Times New Roman"/>
                <w:sz w:val="22"/>
                <w:szCs w:val="22"/>
                <w:color w:val="auto"/>
              </w:rPr>
              <w:t>NEGATIVE COVENANTS  80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w:t>
            </w:r>
          </w:p>
        </w:tc>
        <w:tc>
          <w:tcPr>
            <w:tcW w:w="172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Limitation on Debt</w:t>
            </w:r>
          </w:p>
        </w:tc>
        <w:tc>
          <w:tcPr>
            <w:tcW w:w="120" w:type="dxa"/>
            <w:vAlign w:val="bottom"/>
          </w:tcPr>
          <w:p>
            <w:pPr>
              <w:spacing w:after="0"/>
              <w:rPr>
                <w:sz w:val="22"/>
                <w:szCs w:val="22"/>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8.2</w:t>
            </w:r>
          </w:p>
        </w:tc>
        <w:tc>
          <w:tcPr>
            <w:tcW w:w="1720" w:type="dxa"/>
            <w:vAlign w:val="bottom"/>
            <w:gridSpan w:val="12"/>
          </w:tcPr>
          <w:p>
            <w:pPr>
              <w:spacing w:after="0" w:line="216" w:lineRule="exact"/>
              <w:rPr>
                <w:sz w:val="20"/>
                <w:szCs w:val="20"/>
                <w:color w:val="auto"/>
              </w:rPr>
            </w:pPr>
            <w:r>
              <w:rPr>
                <w:rFonts w:ascii="Times New Roman" w:cs="Times New Roman" w:eastAsia="Times New Roman" w:hAnsi="Times New Roman"/>
                <w:sz w:val="22"/>
                <w:szCs w:val="22"/>
                <w:color w:val="auto"/>
                <w:w w:val="97"/>
              </w:rPr>
              <w:t>Limitation on Liens</w:t>
            </w:r>
          </w:p>
        </w:tc>
        <w:tc>
          <w:tcPr>
            <w:tcW w:w="120" w:type="dxa"/>
            <w:vAlign w:val="bottom"/>
          </w:tcPr>
          <w:p>
            <w:pPr>
              <w:spacing w:after="0"/>
              <w:rPr>
                <w:sz w:val="18"/>
                <w:szCs w:val="18"/>
                <w:color w:val="auto"/>
              </w:rPr>
            </w:pPr>
          </w:p>
        </w:tc>
        <w:tc>
          <w:tcPr>
            <w:tcW w:w="3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2"/>
                <w:szCs w:val="22"/>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8.3</w:t>
            </w:r>
          </w:p>
        </w:tc>
        <w:tc>
          <w:tcPr>
            <w:tcW w:w="2160" w:type="dxa"/>
            <w:vAlign w:val="bottom"/>
            <w:gridSpan w:val="16"/>
          </w:tcPr>
          <w:p>
            <w:pPr>
              <w:spacing w:after="0" w:line="229" w:lineRule="exact"/>
              <w:rPr>
                <w:sz w:val="20"/>
                <w:szCs w:val="20"/>
                <w:color w:val="auto"/>
              </w:rPr>
            </w:pPr>
            <w:r>
              <w:rPr>
                <w:rFonts w:ascii="Times New Roman" w:cs="Times New Roman" w:eastAsia="Times New Roman" w:hAnsi="Times New Roman"/>
                <w:sz w:val="22"/>
                <w:szCs w:val="22"/>
                <w:color w:val="auto"/>
              </w:rPr>
              <w:t>Fundamental Changes</w:t>
            </w:r>
          </w:p>
        </w:tc>
        <w:tc>
          <w:tcPr>
            <w:tcW w:w="2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81"/>
              </w:rPr>
              <w:t>82</w:t>
            </w:r>
          </w:p>
        </w:tc>
        <w:tc>
          <w:tcPr>
            <w:tcW w:w="220" w:type="dxa"/>
            <w:vAlign w:val="bottom"/>
            <w:tcBorders>
              <w:bottom w:val="single" w:sz="8" w:color="0000FF"/>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8.4</w:t>
            </w:r>
          </w:p>
        </w:tc>
        <w:tc>
          <w:tcPr>
            <w:tcW w:w="1180" w:type="dxa"/>
            <w:vAlign w:val="bottom"/>
            <w:gridSpan w:val="4"/>
          </w:tcPr>
          <w:p>
            <w:pPr>
              <w:spacing w:after="0" w:line="183" w:lineRule="exact"/>
              <w:rPr>
                <w:sz w:val="20"/>
                <w:szCs w:val="20"/>
                <w:color w:val="auto"/>
              </w:rPr>
            </w:pPr>
            <w:r>
              <w:rPr>
                <w:rFonts w:ascii="Times New Roman" w:cs="Times New Roman" w:eastAsia="Times New Roman" w:hAnsi="Times New Roman"/>
                <w:sz w:val="21"/>
                <w:szCs w:val="21"/>
                <w:color w:val="auto"/>
              </w:rPr>
              <w:t>Dispositions</w:t>
            </w:r>
          </w:p>
        </w:tc>
        <w:tc>
          <w:tcPr>
            <w:tcW w:w="380" w:type="dxa"/>
            <w:vAlign w:val="bottom"/>
            <w:gridSpan w:val="5"/>
          </w:tcPr>
          <w:p>
            <w:pPr>
              <w:jc w:val="right"/>
              <w:spacing w:after="0" w:line="183" w:lineRule="exact"/>
              <w:rPr>
                <w:sz w:val="20"/>
                <w:szCs w:val="20"/>
                <w:color w:val="auto"/>
              </w:rPr>
            </w:pPr>
            <w:r>
              <w:rPr>
                <w:rFonts w:ascii="Times New Roman" w:cs="Times New Roman" w:eastAsia="Times New Roman" w:hAnsi="Times New Roman"/>
                <w:sz w:val="21"/>
                <w:szCs w:val="21"/>
                <w:color w:val="auto"/>
              </w:rPr>
              <w:t>83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8.5</w:t>
            </w:r>
          </w:p>
        </w:tc>
        <w:tc>
          <w:tcPr>
            <w:tcW w:w="1840" w:type="dxa"/>
            <w:vAlign w:val="bottom"/>
            <w:gridSpan w:val="13"/>
          </w:tcPr>
          <w:p>
            <w:pPr>
              <w:spacing w:after="0" w:line="216" w:lineRule="exact"/>
              <w:rPr>
                <w:sz w:val="20"/>
                <w:szCs w:val="20"/>
                <w:color w:val="auto"/>
              </w:rPr>
            </w:pPr>
            <w:r>
              <w:rPr>
                <w:rFonts w:ascii="Times New Roman" w:cs="Times New Roman" w:eastAsia="Times New Roman" w:hAnsi="Times New Roman"/>
                <w:sz w:val="22"/>
                <w:szCs w:val="22"/>
                <w:color w:val="auto"/>
              </w:rPr>
              <w:t>Restricted Payments</w:t>
            </w:r>
          </w:p>
        </w:tc>
        <w:tc>
          <w:tcPr>
            <w:tcW w:w="44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85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2"/>
                <w:szCs w:val="22"/>
                <w:color w:val="auto"/>
              </w:rPr>
              <w:t>8.6</w:t>
            </w:r>
          </w:p>
        </w:tc>
        <w:tc>
          <w:tcPr>
            <w:tcW w:w="4380" w:type="dxa"/>
            <w:vAlign w:val="bottom"/>
            <w:gridSpan w:val="32"/>
          </w:tcPr>
          <w:p>
            <w:pPr>
              <w:spacing w:after="0" w:line="216" w:lineRule="exact"/>
              <w:rPr>
                <w:sz w:val="20"/>
                <w:szCs w:val="20"/>
                <w:color w:val="auto"/>
              </w:rPr>
            </w:pPr>
            <w:r>
              <w:rPr>
                <w:rFonts w:ascii="Times New Roman" w:cs="Times New Roman" w:eastAsia="Times New Roman" w:hAnsi="Times New Roman"/>
                <w:sz w:val="22"/>
                <w:szCs w:val="22"/>
                <w:color w:val="auto"/>
              </w:rPr>
              <w:t>Limitation on Investments, Loans and Advances</w:t>
            </w:r>
          </w:p>
        </w:tc>
        <w:tc>
          <w:tcPr>
            <w:tcW w:w="6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8.7</w:t>
            </w:r>
          </w:p>
        </w:tc>
        <w:tc>
          <w:tcPr>
            <w:tcW w:w="5040" w:type="dxa"/>
            <w:vAlign w:val="bottom"/>
            <w:gridSpan w:val="33"/>
          </w:tcPr>
          <w:p>
            <w:pPr>
              <w:spacing w:after="0" w:line="229" w:lineRule="exact"/>
              <w:rPr>
                <w:sz w:val="20"/>
                <w:szCs w:val="20"/>
                <w:color w:val="auto"/>
              </w:rPr>
            </w:pPr>
            <w:r>
              <w:rPr>
                <w:rFonts w:ascii="Times New Roman" w:cs="Times New Roman" w:eastAsia="Times New Roman" w:hAnsi="Times New Roman"/>
                <w:sz w:val="22"/>
                <w:szCs w:val="22"/>
                <w:color w:val="auto"/>
                <w:w w:val="98"/>
              </w:rPr>
              <w:t>Transactions with Affiliates and Unrestricted Subsidiaries</w:t>
            </w:r>
          </w:p>
        </w:tc>
        <w:tc>
          <w:tcPr>
            <w:tcW w:w="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rPr>
              <w:t>86</w:t>
            </w:r>
          </w:p>
        </w:tc>
        <w:tc>
          <w:tcPr>
            <w:tcW w:w="360" w:type="dxa"/>
            <w:vAlign w:val="bottom"/>
            <w:gridSpan w:val="3"/>
          </w:tcPr>
          <w:p>
            <w:pPr>
              <w:jc w:val="right"/>
              <w:ind w:right="140"/>
              <w:spacing w:after="0" w:line="229" w:lineRule="exact"/>
              <w:rPr>
                <w:sz w:val="20"/>
                <w:szCs w:val="20"/>
                <w:color w:val="auto"/>
              </w:rPr>
            </w:pPr>
            <w:r>
              <w:rPr>
                <w:rFonts w:ascii="Times New Roman" w:cs="Times New Roman" w:eastAsia="Times New Roman" w:hAnsi="Times New Roman"/>
                <w:sz w:val="22"/>
                <w:szCs w:val="22"/>
                <w:color w:val="0000FF"/>
                <w:w w:val="90"/>
              </w:rPr>
              <w:t>87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660"/>
              <w:spacing w:after="0" w:line="183" w:lineRule="exact"/>
              <w:rPr>
                <w:sz w:val="20"/>
                <w:szCs w:val="20"/>
                <w:color w:val="auto"/>
              </w:rPr>
            </w:pPr>
            <w:r>
              <w:rPr>
                <w:rFonts w:ascii="Times New Roman" w:cs="Times New Roman" w:eastAsia="Times New Roman" w:hAnsi="Times New Roman"/>
                <w:sz w:val="21"/>
                <w:szCs w:val="21"/>
                <w:color w:val="auto"/>
              </w:rPr>
              <w:t>8.8</w:t>
            </w:r>
          </w:p>
        </w:tc>
        <w:tc>
          <w:tcPr>
            <w:tcW w:w="2900" w:type="dxa"/>
            <w:vAlign w:val="bottom"/>
            <w:gridSpan w:val="23"/>
          </w:tcPr>
          <w:p>
            <w:pPr>
              <w:spacing w:after="0" w:line="183" w:lineRule="exact"/>
              <w:rPr>
                <w:sz w:val="20"/>
                <w:szCs w:val="20"/>
                <w:color w:val="auto"/>
              </w:rPr>
            </w:pPr>
            <w:r>
              <w:rPr>
                <w:rFonts w:ascii="Times New Roman" w:cs="Times New Roman" w:eastAsia="Times New Roman" w:hAnsi="Times New Roman"/>
                <w:sz w:val="21"/>
                <w:szCs w:val="21"/>
                <w:color w:val="auto"/>
              </w:rPr>
              <w:t>Limitations on Other Restrictions</w:t>
            </w:r>
          </w:p>
        </w:tc>
        <w:tc>
          <w:tcPr>
            <w:tcW w:w="560" w:type="dxa"/>
            <w:vAlign w:val="bottom"/>
            <w:gridSpan w:val="2"/>
          </w:tcPr>
          <w:p>
            <w:pPr>
              <w:jc w:val="right"/>
              <w:ind w:right="13"/>
              <w:spacing w:after="0" w:line="183" w:lineRule="exact"/>
              <w:rPr>
                <w:sz w:val="20"/>
                <w:szCs w:val="20"/>
                <w:color w:val="auto"/>
              </w:rPr>
            </w:pPr>
            <w:r>
              <w:rPr>
                <w:rFonts w:ascii="Times New Roman" w:cs="Times New Roman" w:eastAsia="Times New Roman" w:hAnsi="Times New Roman"/>
                <w:sz w:val="21"/>
                <w:szCs w:val="21"/>
                <w:color w:val="auto"/>
              </w:rPr>
              <w:t>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660"/>
              <w:spacing w:after="0" w:line="229" w:lineRule="exact"/>
              <w:rPr>
                <w:sz w:val="20"/>
                <w:szCs w:val="20"/>
                <w:color w:val="auto"/>
              </w:rPr>
            </w:pPr>
            <w:r>
              <w:rPr>
                <w:rFonts w:ascii="Times New Roman" w:cs="Times New Roman" w:eastAsia="Times New Roman" w:hAnsi="Times New Roman"/>
                <w:sz w:val="22"/>
                <w:szCs w:val="22"/>
                <w:color w:val="auto"/>
              </w:rPr>
              <w:t>8.9</w:t>
            </w:r>
          </w:p>
        </w:tc>
        <w:tc>
          <w:tcPr>
            <w:tcW w:w="1180" w:type="dxa"/>
            <w:vAlign w:val="bottom"/>
            <w:gridSpan w:val="4"/>
          </w:tcPr>
          <w:p>
            <w:pPr>
              <w:spacing w:after="0" w:line="229" w:lineRule="exact"/>
              <w:rPr>
                <w:sz w:val="20"/>
                <w:szCs w:val="20"/>
                <w:color w:val="auto"/>
              </w:rPr>
            </w:pPr>
            <w:r>
              <w:rPr>
                <w:rFonts w:ascii="Times New Roman" w:cs="Times New Roman" w:eastAsia="Times New Roman" w:hAnsi="Times New Roman"/>
                <w:sz w:val="22"/>
                <w:szCs w:val="22"/>
                <w:color w:val="auto"/>
              </w:rPr>
              <w:t>Fiscal Year</w:t>
            </w:r>
          </w:p>
        </w:tc>
        <w:tc>
          <w:tcPr>
            <w:tcW w:w="2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87</w:t>
            </w:r>
          </w:p>
        </w:tc>
        <w:tc>
          <w:tcPr>
            <w:tcW w:w="220" w:type="dxa"/>
            <w:vAlign w:val="bottom"/>
            <w:tcBorders>
              <w:bottom w:val="single" w:sz="8" w:color="0000FF"/>
            </w:tcBorders>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58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39"/>
          </w:cols>
          <w:pgMar w:left="320" w:top="1358"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47"/>
        </w:trPr>
        <w:tc>
          <w:tcPr>
            <w:tcW w:w="1140" w:type="dxa"/>
            <w:vAlign w:val="bottom"/>
            <w:gridSpan w:val="3"/>
            <w:vMerge w:val="restart"/>
          </w:tcPr>
          <w:p>
            <w:pPr>
              <w:ind w:left="660"/>
              <w:spacing w:after="0"/>
              <w:rPr>
                <w:sz w:val="20"/>
                <w:szCs w:val="20"/>
                <w:color w:val="auto"/>
              </w:rPr>
            </w:pPr>
            <w:r>
              <w:rPr>
                <w:rFonts w:ascii="Times New Roman" w:cs="Times New Roman" w:eastAsia="Times New Roman" w:hAnsi="Times New Roman"/>
                <w:sz w:val="22"/>
                <w:szCs w:val="22"/>
                <w:color w:val="auto"/>
              </w:rPr>
              <w:t>8.10</w:t>
            </w:r>
          </w:p>
        </w:tc>
        <w:tc>
          <w:tcPr>
            <w:tcW w:w="100" w:type="dxa"/>
            <w:vAlign w:val="bottom"/>
            <w:vMerge w:val="restart"/>
          </w:tcPr>
          <w:p>
            <w:pPr>
              <w:spacing w:after="0"/>
              <w:rPr>
                <w:sz w:val="4"/>
                <w:szCs w:val="4"/>
                <w:color w:val="auto"/>
              </w:rPr>
            </w:pPr>
          </w:p>
        </w:tc>
        <w:tc>
          <w:tcPr>
            <w:tcW w:w="5450" w:type="dxa"/>
            <w:vAlign w:val="bottom"/>
            <w:gridSpan w:val="54"/>
            <w:vMerge w:val="restart"/>
          </w:tcPr>
          <w:p>
            <w:pPr>
              <w:ind w:left="20"/>
              <w:spacing w:after="0"/>
              <w:rPr>
                <w:sz w:val="20"/>
                <w:szCs w:val="20"/>
                <w:color w:val="auto"/>
              </w:rPr>
            </w:pPr>
            <w:r>
              <w:rPr>
                <w:rFonts w:ascii="Times New Roman" w:cs="Times New Roman" w:eastAsia="Times New Roman" w:hAnsi="Times New Roman"/>
                <w:sz w:val="22"/>
                <w:szCs w:val="22"/>
                <w:color w:val="auto"/>
              </w:rPr>
              <w:t>Gas Balancing Agreements and Advance Payment Contracts</w:t>
            </w:r>
          </w:p>
        </w:tc>
        <w:tc>
          <w:tcPr>
            <w:tcW w:w="230" w:type="dxa"/>
            <w:vAlign w:val="bottom"/>
            <w:gridSpan w:val="5"/>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87</w:t>
            </w:r>
          </w:p>
        </w:tc>
        <w:tc>
          <w:tcPr>
            <w:tcW w:w="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2"/>
                <w:szCs w:val="22"/>
                <w:color w:val="0000FF"/>
                <w:w w:val="99"/>
              </w:rPr>
              <w:t>88</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140" w:type="dxa"/>
            <w:vAlign w:val="bottom"/>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450" w:type="dxa"/>
            <w:vAlign w:val="bottom"/>
            <w:gridSpan w:val="54"/>
            <w:vMerge w:val="continue"/>
          </w:tcPr>
          <w:p>
            <w:pPr>
              <w:spacing w:after="0"/>
              <w:rPr>
                <w:sz w:val="17"/>
                <w:szCs w:val="17"/>
                <w:color w:val="auto"/>
              </w:rPr>
            </w:pPr>
          </w:p>
        </w:tc>
        <w:tc>
          <w:tcPr>
            <w:tcW w:w="230" w:type="dxa"/>
            <w:vAlign w:val="bottom"/>
            <w:gridSpan w:val="5"/>
            <w:vMerge w:val="continue"/>
          </w:tcPr>
          <w:p>
            <w:pPr>
              <w:spacing w:after="0"/>
              <w:rPr>
                <w:sz w:val="17"/>
                <w:szCs w:val="17"/>
                <w:color w:val="auto"/>
              </w:rPr>
            </w:pPr>
          </w:p>
        </w:tc>
        <w:tc>
          <w:tcPr>
            <w:tcW w:w="220" w:type="dxa"/>
            <w:vAlign w:val="bottom"/>
            <w:tcBorders>
              <w:bottom w:val="single" w:sz="8" w:color="0000FF"/>
            </w:tcBorders>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40" w:type="dxa"/>
            <w:vAlign w:val="bottom"/>
            <w:gridSpan w:val="4"/>
          </w:tcPr>
          <w:p>
            <w:pPr>
              <w:ind w:left="660"/>
              <w:spacing w:after="0" w:line="183" w:lineRule="exact"/>
              <w:rPr>
                <w:sz w:val="20"/>
                <w:szCs w:val="20"/>
                <w:color w:val="auto"/>
              </w:rPr>
            </w:pPr>
            <w:r>
              <w:rPr>
                <w:rFonts w:ascii="Times New Roman" w:cs="Times New Roman" w:eastAsia="Times New Roman" w:hAnsi="Times New Roman"/>
                <w:sz w:val="21"/>
                <w:szCs w:val="21"/>
                <w:color w:val="auto"/>
              </w:rPr>
              <w:t>8.11</w:t>
            </w:r>
          </w:p>
        </w:tc>
        <w:tc>
          <w:tcPr>
            <w:tcW w:w="2000" w:type="dxa"/>
            <w:vAlign w:val="bottom"/>
            <w:gridSpan w:val="10"/>
          </w:tcPr>
          <w:p>
            <w:pPr>
              <w:spacing w:after="0" w:line="183" w:lineRule="exact"/>
              <w:rPr>
                <w:sz w:val="20"/>
                <w:szCs w:val="20"/>
                <w:color w:val="auto"/>
              </w:rPr>
            </w:pPr>
            <w:r>
              <w:rPr>
                <w:rFonts w:ascii="Times New Roman" w:cs="Times New Roman" w:eastAsia="Times New Roman" w:hAnsi="Times New Roman"/>
                <w:sz w:val="21"/>
                <w:szCs w:val="21"/>
                <w:color w:val="auto"/>
              </w:rPr>
              <w:t>Hedging Transactions</w:t>
            </w:r>
          </w:p>
        </w:tc>
        <w:tc>
          <w:tcPr>
            <w:tcW w:w="6460" w:type="dxa"/>
            <w:vAlign w:val="bottom"/>
            <w:gridSpan w:val="61"/>
          </w:tcPr>
          <w:p>
            <w:pPr>
              <w:jc w:val="right"/>
              <w:ind w:right="6032"/>
              <w:spacing w:after="0" w:line="183" w:lineRule="exact"/>
              <w:rPr>
                <w:sz w:val="20"/>
                <w:szCs w:val="20"/>
                <w:color w:val="auto"/>
              </w:rPr>
            </w:pPr>
            <w:r>
              <w:rPr>
                <w:rFonts w:ascii="Times New Roman" w:cs="Times New Roman" w:eastAsia="Times New Roman" w:hAnsi="Times New Roman"/>
                <w:sz w:val="21"/>
                <w:szCs w:val="21"/>
                <w:color w:val="auto"/>
              </w:rPr>
              <w:t>88</w:t>
            </w:r>
          </w:p>
        </w:tc>
        <w:tc>
          <w:tcPr>
            <w:tcW w:w="0" w:type="dxa"/>
            <w:vAlign w:val="bottom"/>
          </w:tcPr>
          <w:p>
            <w:pPr>
              <w:spacing w:after="0"/>
              <w:rPr>
                <w:sz w:val="1"/>
                <w:szCs w:val="1"/>
                <w:color w:val="auto"/>
              </w:rPr>
            </w:pPr>
          </w:p>
        </w:tc>
      </w:tr>
      <w:tr>
        <w:trPr>
          <w:trHeight w:val="216"/>
        </w:trPr>
        <w:tc>
          <w:tcPr>
            <w:tcW w:w="1240" w:type="dxa"/>
            <w:vAlign w:val="bottom"/>
            <w:gridSpan w:val="4"/>
          </w:tcPr>
          <w:p>
            <w:pPr>
              <w:ind w:left="660"/>
              <w:spacing w:after="0" w:line="216" w:lineRule="exact"/>
              <w:rPr>
                <w:sz w:val="20"/>
                <w:szCs w:val="20"/>
                <w:color w:val="auto"/>
              </w:rPr>
            </w:pPr>
            <w:r>
              <w:rPr>
                <w:rFonts w:ascii="Times New Roman" w:cs="Times New Roman" w:eastAsia="Times New Roman" w:hAnsi="Times New Roman"/>
                <w:sz w:val="22"/>
                <w:szCs w:val="22"/>
                <w:color w:val="auto"/>
              </w:rPr>
              <w:t>8.12</w:t>
            </w:r>
          </w:p>
        </w:tc>
        <w:tc>
          <w:tcPr>
            <w:tcW w:w="1720" w:type="dxa"/>
            <w:vAlign w:val="bottom"/>
            <w:gridSpan w:val="7"/>
          </w:tcPr>
          <w:p>
            <w:pPr>
              <w:ind w:left="20"/>
              <w:spacing w:after="0" w:line="216" w:lineRule="exact"/>
              <w:rPr>
                <w:sz w:val="20"/>
                <w:szCs w:val="20"/>
                <w:color w:val="auto"/>
              </w:rPr>
            </w:pPr>
            <w:r>
              <w:rPr>
                <w:rFonts w:ascii="Times New Roman" w:cs="Times New Roman" w:eastAsia="Times New Roman" w:hAnsi="Times New Roman"/>
                <w:sz w:val="22"/>
                <w:szCs w:val="22"/>
                <w:color w:val="auto"/>
              </w:rPr>
              <w:t>Nature of Business</w:t>
            </w:r>
          </w:p>
        </w:tc>
        <w:tc>
          <w:tcPr>
            <w:tcW w:w="6740" w:type="dxa"/>
            <w:vAlign w:val="bottom"/>
            <w:gridSpan w:val="64"/>
          </w:tcPr>
          <w:p>
            <w:pPr>
              <w:ind w:left="140"/>
              <w:spacing w:after="0" w:line="216" w:lineRule="exact"/>
              <w:rPr>
                <w:sz w:val="20"/>
                <w:szCs w:val="20"/>
                <w:color w:val="auto"/>
              </w:rPr>
            </w:pPr>
            <w:r>
              <w:rPr>
                <w:rFonts w:ascii="Times New Roman" w:cs="Times New Roman" w:eastAsia="Times New Roman" w:hAnsi="Times New Roman"/>
                <w:sz w:val="22"/>
                <w:szCs w:val="22"/>
                <w:color w:val="auto"/>
              </w:rPr>
              <w:t>88</w:t>
            </w:r>
          </w:p>
        </w:tc>
        <w:tc>
          <w:tcPr>
            <w:tcW w:w="0" w:type="dxa"/>
            <w:vAlign w:val="bottom"/>
          </w:tcPr>
          <w:p>
            <w:pPr>
              <w:spacing w:after="0"/>
              <w:rPr>
                <w:sz w:val="1"/>
                <w:szCs w:val="1"/>
                <w:color w:val="auto"/>
              </w:rPr>
            </w:pPr>
          </w:p>
        </w:tc>
      </w:tr>
      <w:tr>
        <w:trPr>
          <w:trHeight w:val="229"/>
        </w:trPr>
        <w:tc>
          <w:tcPr>
            <w:tcW w:w="1140" w:type="dxa"/>
            <w:vAlign w:val="bottom"/>
            <w:gridSpan w:val="3"/>
          </w:tcPr>
          <w:p>
            <w:pPr>
              <w:ind w:left="660"/>
              <w:spacing w:after="0" w:line="229" w:lineRule="exact"/>
              <w:rPr>
                <w:sz w:val="20"/>
                <w:szCs w:val="20"/>
                <w:color w:val="auto"/>
              </w:rPr>
            </w:pPr>
            <w:r>
              <w:rPr>
                <w:rFonts w:ascii="Times New Roman" w:cs="Times New Roman" w:eastAsia="Times New Roman" w:hAnsi="Times New Roman"/>
                <w:sz w:val="22"/>
                <w:szCs w:val="22"/>
                <w:color w:val="auto"/>
              </w:rPr>
              <w:t>8.13</w:t>
            </w:r>
          </w:p>
        </w:tc>
        <w:tc>
          <w:tcPr>
            <w:tcW w:w="100" w:type="dxa"/>
            <w:vAlign w:val="bottom"/>
          </w:tcPr>
          <w:p>
            <w:pPr>
              <w:spacing w:after="0"/>
              <w:rPr>
                <w:sz w:val="19"/>
                <w:szCs w:val="19"/>
                <w:color w:val="auto"/>
              </w:rPr>
            </w:pPr>
          </w:p>
        </w:tc>
        <w:tc>
          <w:tcPr>
            <w:tcW w:w="2440" w:type="dxa"/>
            <w:vAlign w:val="bottom"/>
            <w:gridSpan w:val="16"/>
          </w:tcPr>
          <w:p>
            <w:pPr>
              <w:ind w:left="20"/>
              <w:spacing w:after="0" w:line="229" w:lineRule="exact"/>
              <w:rPr>
                <w:sz w:val="20"/>
                <w:szCs w:val="20"/>
                <w:color w:val="auto"/>
              </w:rPr>
            </w:pPr>
            <w:r>
              <w:rPr>
                <w:rFonts w:ascii="Times New Roman" w:cs="Times New Roman" w:eastAsia="Times New Roman" w:hAnsi="Times New Roman"/>
                <w:sz w:val="22"/>
                <w:szCs w:val="22"/>
                <w:color w:val="auto"/>
              </w:rPr>
              <w:t>Senior Notes Restrictions</w:t>
            </w:r>
          </w:p>
        </w:tc>
        <w:tc>
          <w:tcPr>
            <w:tcW w:w="200" w:type="dxa"/>
            <w:vAlign w:val="bottom"/>
            <w:gridSpan w:val="5"/>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81"/>
              </w:rPr>
              <w:t>88</w:t>
            </w:r>
          </w:p>
        </w:tc>
        <w:tc>
          <w:tcPr>
            <w:tcW w:w="240" w:type="dxa"/>
            <w:vAlign w:val="bottom"/>
            <w:tcBorders>
              <w:bottom w:val="single" w:sz="8" w:color="0000FF"/>
            </w:tcBorders>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7"/>
              </w:rPr>
              <w:t>ARTICLE 9.</w:t>
            </w:r>
          </w:p>
        </w:tc>
        <w:tc>
          <w:tcPr>
            <w:tcW w:w="8460" w:type="dxa"/>
            <w:vAlign w:val="bottom"/>
            <w:gridSpan w:val="71"/>
          </w:tcPr>
          <w:p>
            <w:pPr>
              <w:ind w:left="100"/>
              <w:spacing w:after="0"/>
              <w:rPr>
                <w:sz w:val="20"/>
                <w:szCs w:val="20"/>
                <w:color w:val="auto"/>
              </w:rPr>
            </w:pPr>
            <w:r>
              <w:rPr>
                <w:rFonts w:ascii="Times New Roman" w:cs="Times New Roman" w:eastAsia="Times New Roman" w:hAnsi="Times New Roman"/>
                <w:sz w:val="22"/>
                <w:szCs w:val="22"/>
                <w:color w:val="auto"/>
              </w:rPr>
              <w:t>DEFAULTS  89</w:t>
            </w:r>
          </w:p>
        </w:tc>
        <w:tc>
          <w:tcPr>
            <w:tcW w:w="0" w:type="dxa"/>
            <w:vAlign w:val="bottom"/>
          </w:tcPr>
          <w:p>
            <w:pPr>
              <w:spacing w:after="0"/>
              <w:rPr>
                <w:sz w:val="1"/>
                <w:szCs w:val="1"/>
                <w:color w:val="auto"/>
              </w:rPr>
            </w:pPr>
          </w:p>
        </w:tc>
      </w:tr>
      <w:tr>
        <w:trPr>
          <w:trHeight w:val="258"/>
        </w:trPr>
        <w:tc>
          <w:tcPr>
            <w:tcW w:w="11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9.1</w:t>
            </w:r>
          </w:p>
        </w:tc>
        <w:tc>
          <w:tcPr>
            <w:tcW w:w="17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Events of Default</w:t>
            </w:r>
          </w:p>
        </w:tc>
        <w:tc>
          <w:tcPr>
            <w:tcW w:w="380" w:type="dxa"/>
            <w:vAlign w:val="bottom"/>
            <w:gridSpan w:val="4"/>
          </w:tcPr>
          <w:p>
            <w:pPr>
              <w:jc w:val="right"/>
              <w:ind w:right="32"/>
              <w:spacing w:after="0"/>
              <w:rPr>
                <w:sz w:val="20"/>
                <w:szCs w:val="20"/>
                <w:color w:val="auto"/>
              </w:rPr>
            </w:pPr>
            <w:r>
              <w:rPr>
                <w:rFonts w:ascii="Times New Roman" w:cs="Times New Roman" w:eastAsia="Times New Roman" w:hAnsi="Times New Roman"/>
                <w:sz w:val="22"/>
                <w:szCs w:val="22"/>
                <w:color w:val="auto"/>
                <w:w w:val="99"/>
              </w:rPr>
              <w:t>89</w:t>
            </w:r>
          </w:p>
        </w:tc>
        <w:tc>
          <w:tcPr>
            <w:tcW w:w="24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auto"/>
                <w:w w:val="99"/>
              </w:rPr>
              <w:t>92</w:t>
            </w:r>
          </w:p>
        </w:tc>
        <w:tc>
          <w:tcPr>
            <w:tcW w:w="6220" w:type="dxa"/>
            <w:vAlign w:val="bottom"/>
            <w:gridSpan w:val="57"/>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gridSpan w:val="3"/>
          </w:tcPr>
          <w:p>
            <w:pPr>
              <w:ind w:left="660"/>
              <w:spacing w:after="0" w:line="216" w:lineRule="exact"/>
              <w:rPr>
                <w:sz w:val="20"/>
                <w:szCs w:val="20"/>
                <w:color w:val="auto"/>
              </w:rPr>
            </w:pPr>
            <w:r>
              <w:rPr>
                <w:rFonts w:ascii="Times New Roman" w:cs="Times New Roman" w:eastAsia="Times New Roman" w:hAnsi="Times New Roman"/>
                <w:sz w:val="22"/>
                <w:szCs w:val="22"/>
                <w:color w:val="auto"/>
              </w:rPr>
              <w:t>9.2</w:t>
            </w:r>
          </w:p>
        </w:tc>
        <w:tc>
          <w:tcPr>
            <w:tcW w:w="2100" w:type="dxa"/>
            <w:vAlign w:val="bottom"/>
            <w:gridSpan w:val="11"/>
          </w:tcPr>
          <w:p>
            <w:pPr>
              <w:spacing w:after="0" w:line="216" w:lineRule="exact"/>
              <w:rPr>
                <w:sz w:val="20"/>
                <w:szCs w:val="20"/>
                <w:color w:val="auto"/>
              </w:rPr>
            </w:pPr>
            <w:r>
              <w:rPr>
                <w:rFonts w:ascii="Times New Roman" w:cs="Times New Roman" w:eastAsia="Times New Roman" w:hAnsi="Times New Roman"/>
                <w:sz w:val="22"/>
                <w:szCs w:val="22"/>
                <w:color w:val="auto"/>
              </w:rPr>
              <w:t>Exercise of Remedies</w:t>
            </w:r>
          </w:p>
        </w:tc>
        <w:tc>
          <w:tcPr>
            <w:tcW w:w="240" w:type="dxa"/>
            <w:vAlign w:val="bottom"/>
            <w:gridSpan w:val="4"/>
            <w:vMerge w:val="continue"/>
          </w:tcPr>
          <w:p>
            <w:pPr>
              <w:spacing w:after="0"/>
              <w:rPr>
                <w:sz w:val="18"/>
                <w:szCs w:val="18"/>
                <w:color w:val="auto"/>
              </w:rPr>
            </w:pPr>
          </w:p>
        </w:tc>
        <w:tc>
          <w:tcPr>
            <w:tcW w:w="6220" w:type="dxa"/>
            <w:vAlign w:val="bottom"/>
            <w:gridSpan w:val="57"/>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3"/>
          </w:tcPr>
          <w:p>
            <w:pPr>
              <w:ind w:left="660"/>
              <w:spacing w:after="0" w:line="216" w:lineRule="exact"/>
              <w:rPr>
                <w:sz w:val="20"/>
                <w:szCs w:val="20"/>
                <w:color w:val="auto"/>
              </w:rPr>
            </w:pPr>
            <w:r>
              <w:rPr>
                <w:rFonts w:ascii="Times New Roman" w:cs="Times New Roman" w:eastAsia="Times New Roman" w:hAnsi="Times New Roman"/>
                <w:sz w:val="22"/>
                <w:szCs w:val="22"/>
                <w:color w:val="auto"/>
              </w:rPr>
              <w:t>9.3</w:t>
            </w:r>
          </w:p>
        </w:tc>
        <w:tc>
          <w:tcPr>
            <w:tcW w:w="1820" w:type="dxa"/>
            <w:vAlign w:val="bottom"/>
            <w:gridSpan w:val="8"/>
          </w:tcPr>
          <w:p>
            <w:pPr>
              <w:spacing w:after="0" w:line="216" w:lineRule="exact"/>
              <w:rPr>
                <w:sz w:val="20"/>
                <w:szCs w:val="20"/>
                <w:color w:val="auto"/>
              </w:rPr>
            </w:pPr>
            <w:r>
              <w:rPr>
                <w:rFonts w:ascii="Times New Roman" w:cs="Times New Roman" w:eastAsia="Times New Roman" w:hAnsi="Times New Roman"/>
                <w:sz w:val="22"/>
                <w:szCs w:val="22"/>
                <w:color w:val="auto"/>
              </w:rPr>
              <w:t>Rights Cumulative</w:t>
            </w:r>
          </w:p>
        </w:tc>
        <w:tc>
          <w:tcPr>
            <w:tcW w:w="6740" w:type="dxa"/>
            <w:vAlign w:val="bottom"/>
            <w:gridSpan w:val="64"/>
          </w:tcPr>
          <w:p>
            <w:pPr>
              <w:jc w:val="center"/>
              <w:ind w:right="6372"/>
              <w:spacing w:after="0" w:line="216" w:lineRule="exact"/>
              <w:rPr>
                <w:sz w:val="20"/>
                <w:szCs w:val="20"/>
                <w:color w:val="auto"/>
              </w:rPr>
            </w:pPr>
            <w:r>
              <w:rPr>
                <w:rFonts w:ascii="Times New Roman" w:cs="Times New Roman" w:eastAsia="Times New Roman" w:hAnsi="Times New Roman"/>
                <w:sz w:val="22"/>
                <w:szCs w:val="22"/>
                <w:color w:val="auto"/>
                <w:w w:val="99"/>
              </w:rPr>
              <w:t>92</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900" w:type="dxa"/>
            <w:vAlign w:val="bottom"/>
            <w:gridSpan w:val="31"/>
          </w:tcPr>
          <w:p>
            <w:pPr>
              <w:spacing w:after="0" w:line="229" w:lineRule="exact"/>
              <w:rPr>
                <w:sz w:val="20"/>
                <w:szCs w:val="20"/>
                <w:color w:val="auto"/>
              </w:rPr>
            </w:pPr>
            <w:r>
              <w:rPr>
                <w:rFonts w:ascii="Times New Roman" w:cs="Times New Roman" w:eastAsia="Times New Roman" w:hAnsi="Times New Roman"/>
                <w:sz w:val="22"/>
                <w:szCs w:val="22"/>
                <w:color w:val="auto"/>
              </w:rPr>
              <w:t>9.4  Waiver by Borrower of Certain Laws</w:t>
            </w:r>
          </w:p>
        </w:tc>
        <w:tc>
          <w:tcPr>
            <w:tcW w:w="22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92</w:t>
            </w:r>
          </w:p>
        </w:tc>
        <w:tc>
          <w:tcPr>
            <w:tcW w:w="240" w:type="dxa"/>
            <w:vAlign w:val="bottom"/>
            <w:gridSpan w:val="5"/>
          </w:tcPr>
          <w:p>
            <w:pPr>
              <w:spacing w:after="0" w:line="229" w:lineRule="exact"/>
              <w:rPr>
                <w:sz w:val="20"/>
                <w:szCs w:val="20"/>
                <w:color w:val="auto"/>
              </w:rPr>
            </w:pPr>
            <w:r>
              <w:rPr>
                <w:rFonts w:ascii="Times New Roman" w:cs="Times New Roman" w:eastAsia="Times New Roman" w:hAnsi="Times New Roman"/>
                <w:sz w:val="22"/>
                <w:szCs w:val="22"/>
                <w:color w:val="0000FF"/>
                <w:w w:val="99"/>
              </w:rPr>
              <w:t>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80" w:type="dxa"/>
            <w:vAlign w:val="bottom"/>
            <w:gridSpan w:val="2"/>
          </w:tcPr>
          <w:p>
            <w:pPr>
              <w:ind w:left="660"/>
              <w:spacing w:after="0" w:line="183" w:lineRule="exact"/>
              <w:rPr>
                <w:sz w:val="20"/>
                <w:szCs w:val="20"/>
                <w:color w:val="auto"/>
              </w:rPr>
            </w:pPr>
            <w:r>
              <w:rPr>
                <w:rFonts w:ascii="Times New Roman" w:cs="Times New Roman" w:eastAsia="Times New Roman" w:hAnsi="Times New Roman"/>
                <w:sz w:val="21"/>
                <w:szCs w:val="21"/>
                <w:color w:val="auto"/>
              </w:rPr>
              <w:t>9.5</w:t>
            </w:r>
          </w:p>
        </w:tc>
        <w:tc>
          <w:tcPr>
            <w:tcW w:w="1880" w:type="dxa"/>
            <w:vAlign w:val="bottom"/>
            <w:gridSpan w:val="9"/>
          </w:tcPr>
          <w:p>
            <w:pPr>
              <w:ind w:left="60"/>
              <w:spacing w:after="0" w:line="183" w:lineRule="exact"/>
              <w:rPr>
                <w:sz w:val="20"/>
                <w:szCs w:val="20"/>
                <w:color w:val="auto"/>
              </w:rPr>
            </w:pPr>
            <w:r>
              <w:rPr>
                <w:rFonts w:ascii="Times New Roman" w:cs="Times New Roman" w:eastAsia="Times New Roman" w:hAnsi="Times New Roman"/>
                <w:sz w:val="21"/>
                <w:szCs w:val="21"/>
                <w:color w:val="auto"/>
              </w:rPr>
              <w:t>Waiver of Defaults</w:t>
            </w:r>
          </w:p>
        </w:tc>
        <w:tc>
          <w:tcPr>
            <w:tcW w:w="1820" w:type="dxa"/>
            <w:vAlign w:val="bottom"/>
            <w:gridSpan w:val="24"/>
          </w:tcPr>
          <w:p>
            <w:pPr>
              <w:jc w:val="center"/>
              <w:ind w:right="1432"/>
              <w:spacing w:after="0" w:line="183" w:lineRule="exact"/>
              <w:rPr>
                <w:sz w:val="20"/>
                <w:szCs w:val="20"/>
                <w:color w:val="auto"/>
              </w:rPr>
            </w:pPr>
            <w:r>
              <w:rPr>
                <w:rFonts w:ascii="Times New Roman" w:cs="Times New Roman" w:eastAsia="Times New Roman" w:hAnsi="Times New Roman"/>
                <w:sz w:val="21"/>
                <w:szCs w:val="21"/>
                <w:color w:val="auto"/>
                <w:w w:val="95"/>
              </w:rPr>
              <w:t>93</w:t>
            </w:r>
          </w:p>
        </w:tc>
        <w:tc>
          <w:tcPr>
            <w:tcW w:w="220" w:type="dxa"/>
            <w:vAlign w:val="bottom"/>
            <w:tcBorders>
              <w:top w:val="single" w:sz="8" w:color="0000FF"/>
            </w:tcBorders>
            <w:gridSpan w:val="4"/>
          </w:tcPr>
          <w:p>
            <w:pPr>
              <w:spacing w:after="0"/>
              <w:rPr>
                <w:sz w:val="15"/>
                <w:szCs w:val="15"/>
                <w:color w:val="auto"/>
              </w:rPr>
            </w:pPr>
          </w:p>
        </w:tc>
        <w:tc>
          <w:tcPr>
            <w:tcW w:w="4700" w:type="dxa"/>
            <w:vAlign w:val="bottom"/>
            <w:gridSpan w:val="36"/>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1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9.6</w:t>
            </w:r>
          </w:p>
        </w:tc>
        <w:tc>
          <w:tcPr>
            <w:tcW w:w="8560" w:type="dxa"/>
            <w:vAlign w:val="bottom"/>
            <w:gridSpan w:val="72"/>
          </w:tcPr>
          <w:p>
            <w:pPr>
              <w:spacing w:after="0"/>
              <w:rPr>
                <w:sz w:val="20"/>
                <w:szCs w:val="20"/>
                <w:color w:val="auto"/>
              </w:rPr>
            </w:pPr>
            <w:r>
              <w:rPr>
                <w:rFonts w:ascii="Times New Roman" w:cs="Times New Roman" w:eastAsia="Times New Roman" w:hAnsi="Times New Roman"/>
                <w:sz w:val="22"/>
                <w:szCs w:val="22"/>
                <w:color w:val="auto"/>
              </w:rPr>
              <w:t>Set Off  93</w:t>
            </w:r>
          </w:p>
        </w:tc>
        <w:tc>
          <w:tcPr>
            <w:tcW w:w="0" w:type="dxa"/>
            <w:vAlign w:val="bottom"/>
          </w:tcPr>
          <w:p>
            <w:pPr>
              <w:spacing w:after="0"/>
              <w:rPr>
                <w:sz w:val="1"/>
                <w:szCs w:val="1"/>
                <w:color w:val="auto"/>
              </w:rPr>
            </w:pPr>
          </w:p>
        </w:tc>
      </w:tr>
      <w:tr>
        <w:trPr>
          <w:trHeight w:val="324"/>
        </w:trPr>
        <w:tc>
          <w:tcPr>
            <w:tcW w:w="6260" w:type="dxa"/>
            <w:vAlign w:val="bottom"/>
            <w:gridSpan w:val="53"/>
          </w:tcPr>
          <w:p>
            <w:pPr>
              <w:spacing w:after="0"/>
              <w:rPr>
                <w:sz w:val="20"/>
                <w:szCs w:val="20"/>
                <w:color w:val="auto"/>
              </w:rPr>
            </w:pPr>
            <w:r>
              <w:rPr>
                <w:rFonts w:ascii="Times New Roman" w:cs="Times New Roman" w:eastAsia="Times New Roman" w:hAnsi="Times New Roman"/>
                <w:sz w:val="22"/>
                <w:szCs w:val="22"/>
                <w:color w:val="auto"/>
              </w:rPr>
              <w:t>ARTICLE 10.  PAYMENTS, RECOVERIES AND COLLECTIONS</w:t>
            </w:r>
          </w:p>
        </w:tc>
        <w:tc>
          <w:tcPr>
            <w:tcW w:w="30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93</w:t>
            </w: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4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10.1</w:t>
            </w:r>
          </w:p>
        </w:tc>
        <w:tc>
          <w:tcPr>
            <w:tcW w:w="172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w w:val="97"/>
              </w:rPr>
              <w:t>Payment Procedure</w:t>
            </w:r>
          </w:p>
        </w:tc>
        <w:tc>
          <w:tcPr>
            <w:tcW w:w="1600" w:type="dxa"/>
            <w:vAlign w:val="bottom"/>
            <w:gridSpan w:val="21"/>
          </w:tcPr>
          <w:p>
            <w:pPr>
              <w:ind w:left="200"/>
              <w:spacing w:after="0"/>
              <w:rPr>
                <w:sz w:val="20"/>
                <w:szCs w:val="20"/>
                <w:color w:val="auto"/>
              </w:rPr>
            </w:pPr>
            <w:r>
              <w:rPr>
                <w:rFonts w:ascii="Times New Roman" w:cs="Times New Roman" w:eastAsia="Times New Roman" w:hAnsi="Times New Roman"/>
                <w:sz w:val="22"/>
                <w:szCs w:val="22"/>
                <w:color w:val="auto"/>
                <w:w w:val="99"/>
              </w:rPr>
              <w:t>93</w:t>
            </w:r>
          </w:p>
        </w:tc>
        <w:tc>
          <w:tcPr>
            <w:tcW w:w="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4800" w:type="dxa"/>
            <w:vAlign w:val="bottom"/>
            <w:gridSpan w:val="3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gridSpan w:val="3"/>
          </w:tcPr>
          <w:p>
            <w:pPr>
              <w:ind w:left="660"/>
              <w:spacing w:after="0" w:line="216" w:lineRule="exact"/>
              <w:rPr>
                <w:sz w:val="20"/>
                <w:szCs w:val="20"/>
                <w:color w:val="auto"/>
              </w:rPr>
            </w:pPr>
            <w:r>
              <w:rPr>
                <w:rFonts w:ascii="Times New Roman" w:cs="Times New Roman" w:eastAsia="Times New Roman" w:hAnsi="Times New Roman"/>
                <w:sz w:val="22"/>
                <w:szCs w:val="22"/>
                <w:color w:val="auto"/>
              </w:rPr>
              <w:t>10.2</w:t>
            </w:r>
          </w:p>
        </w:tc>
        <w:tc>
          <w:tcPr>
            <w:tcW w:w="3420" w:type="dxa"/>
            <w:vAlign w:val="bottom"/>
            <w:gridSpan w:val="29"/>
          </w:tcPr>
          <w:p>
            <w:pPr>
              <w:ind w:left="100"/>
              <w:spacing w:after="0" w:line="216" w:lineRule="exact"/>
              <w:rPr>
                <w:sz w:val="20"/>
                <w:szCs w:val="20"/>
                <w:color w:val="auto"/>
              </w:rPr>
            </w:pPr>
            <w:r>
              <w:rPr>
                <w:rFonts w:ascii="Times New Roman" w:cs="Times New Roman" w:eastAsia="Times New Roman" w:hAnsi="Times New Roman"/>
                <w:sz w:val="22"/>
                <w:szCs w:val="22"/>
                <w:color w:val="auto"/>
              </w:rPr>
              <w:t>Application of Proceeds of Collateral</w:t>
            </w:r>
          </w:p>
        </w:tc>
        <w:tc>
          <w:tcPr>
            <w:tcW w:w="34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gridSpan w:val="4"/>
          </w:tcPr>
          <w:p>
            <w:pPr>
              <w:ind w:left="660"/>
              <w:spacing w:after="0" w:line="216" w:lineRule="exact"/>
              <w:rPr>
                <w:sz w:val="20"/>
                <w:szCs w:val="20"/>
                <w:color w:val="auto"/>
              </w:rPr>
            </w:pPr>
            <w:r>
              <w:rPr>
                <w:rFonts w:ascii="Times New Roman" w:cs="Times New Roman" w:eastAsia="Times New Roman" w:hAnsi="Times New Roman"/>
                <w:sz w:val="22"/>
                <w:szCs w:val="22"/>
                <w:color w:val="auto"/>
              </w:rPr>
              <w:t>10.3</w:t>
            </w:r>
          </w:p>
        </w:tc>
        <w:tc>
          <w:tcPr>
            <w:tcW w:w="1720" w:type="dxa"/>
            <w:vAlign w:val="bottom"/>
            <w:gridSpan w:val="7"/>
          </w:tcPr>
          <w:p>
            <w:pPr>
              <w:ind w:left="20"/>
              <w:spacing w:after="0" w:line="216" w:lineRule="exact"/>
              <w:rPr>
                <w:sz w:val="20"/>
                <w:szCs w:val="20"/>
                <w:color w:val="auto"/>
              </w:rPr>
            </w:pPr>
            <w:r>
              <w:rPr>
                <w:rFonts w:ascii="Times New Roman" w:cs="Times New Roman" w:eastAsia="Times New Roman" w:hAnsi="Times New Roman"/>
                <w:sz w:val="22"/>
                <w:szCs w:val="22"/>
                <w:color w:val="auto"/>
                <w:w w:val="98"/>
              </w:rPr>
              <w:t>Pro-rata Recovery</w:t>
            </w:r>
          </w:p>
        </w:tc>
        <w:tc>
          <w:tcPr>
            <w:tcW w:w="6740" w:type="dxa"/>
            <w:vAlign w:val="bottom"/>
            <w:gridSpan w:val="64"/>
          </w:tcPr>
          <w:p>
            <w:pPr>
              <w:jc w:val="right"/>
              <w:ind w:right="6332"/>
              <w:spacing w:after="0" w:line="216" w:lineRule="exact"/>
              <w:rPr>
                <w:sz w:val="20"/>
                <w:szCs w:val="20"/>
                <w:color w:val="auto"/>
              </w:rPr>
            </w:pPr>
            <w:r>
              <w:rPr>
                <w:rFonts w:ascii="Times New Roman" w:cs="Times New Roman" w:eastAsia="Times New Roman" w:hAnsi="Times New Roman"/>
                <w:sz w:val="22"/>
                <w:szCs w:val="22"/>
                <w:color w:val="auto"/>
              </w:rPr>
              <w:t>95</w:t>
            </w:r>
          </w:p>
        </w:tc>
        <w:tc>
          <w:tcPr>
            <w:tcW w:w="0" w:type="dxa"/>
            <w:vAlign w:val="bottom"/>
          </w:tcPr>
          <w:p>
            <w:pPr>
              <w:spacing w:after="0"/>
              <w:rPr>
                <w:sz w:val="1"/>
                <w:szCs w:val="1"/>
                <w:color w:val="auto"/>
              </w:rPr>
            </w:pPr>
          </w:p>
        </w:tc>
      </w:tr>
      <w:tr>
        <w:trPr>
          <w:trHeight w:val="229"/>
        </w:trPr>
        <w:tc>
          <w:tcPr>
            <w:tcW w:w="1140" w:type="dxa"/>
            <w:vAlign w:val="bottom"/>
            <w:gridSpan w:val="3"/>
          </w:tcPr>
          <w:p>
            <w:pPr>
              <w:ind w:left="660"/>
              <w:spacing w:after="0" w:line="229" w:lineRule="exact"/>
              <w:rPr>
                <w:sz w:val="20"/>
                <w:szCs w:val="20"/>
                <w:color w:val="auto"/>
              </w:rPr>
            </w:pPr>
            <w:r>
              <w:rPr>
                <w:rFonts w:ascii="Times New Roman" w:cs="Times New Roman" w:eastAsia="Times New Roman" w:hAnsi="Times New Roman"/>
                <w:sz w:val="22"/>
                <w:szCs w:val="22"/>
                <w:color w:val="auto"/>
              </w:rPr>
              <w:t>10.4</w:t>
            </w:r>
          </w:p>
        </w:tc>
        <w:tc>
          <w:tcPr>
            <w:tcW w:w="100" w:type="dxa"/>
            <w:vAlign w:val="bottom"/>
          </w:tcPr>
          <w:p>
            <w:pPr>
              <w:spacing w:after="0"/>
              <w:rPr>
                <w:sz w:val="19"/>
                <w:szCs w:val="19"/>
                <w:color w:val="auto"/>
              </w:rPr>
            </w:pPr>
          </w:p>
        </w:tc>
        <w:tc>
          <w:tcPr>
            <w:tcW w:w="8040" w:type="dxa"/>
            <w:vAlign w:val="bottom"/>
            <w:gridSpan w:val="69"/>
          </w:tcPr>
          <w:p>
            <w:pPr>
              <w:spacing w:after="0" w:line="229" w:lineRule="exact"/>
              <w:rPr>
                <w:sz w:val="20"/>
                <w:szCs w:val="20"/>
                <w:color w:val="auto"/>
              </w:rPr>
            </w:pPr>
            <w:r>
              <w:rPr>
                <w:rFonts w:ascii="Times New Roman" w:cs="Times New Roman" w:eastAsia="Times New Roman" w:hAnsi="Times New Roman"/>
                <w:sz w:val="22"/>
                <w:szCs w:val="22"/>
                <w:color w:val="auto"/>
              </w:rPr>
              <w:t>Treatment of a Defaulting Lender; Reallocation of Defaulting Lender’s Fronting Exposure</w:t>
            </w:r>
          </w:p>
        </w:tc>
        <w:tc>
          <w:tcPr>
            <w:tcW w:w="2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81"/>
              </w:rPr>
              <w:t>95</w:t>
            </w:r>
          </w:p>
        </w:tc>
        <w:tc>
          <w:tcPr>
            <w:tcW w:w="220" w:type="dxa"/>
            <w:vAlign w:val="bottom"/>
            <w:tcBorders>
              <w:bottom w:val="single" w:sz="8" w:color="0000FF"/>
            </w:tcBorders>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96</w:t>
            </w:r>
          </w:p>
        </w:tc>
        <w:tc>
          <w:tcPr>
            <w:tcW w:w="0" w:type="dxa"/>
            <w:vAlign w:val="bottom"/>
          </w:tcPr>
          <w:p>
            <w:pPr>
              <w:spacing w:after="0"/>
              <w:rPr>
                <w:sz w:val="1"/>
                <w:szCs w:val="1"/>
                <w:color w:val="auto"/>
              </w:rPr>
            </w:pPr>
          </w:p>
        </w:tc>
      </w:tr>
      <w:tr>
        <w:trPr>
          <w:trHeight w:val="356"/>
        </w:trPr>
        <w:tc>
          <w:tcPr>
            <w:tcW w:w="7740" w:type="dxa"/>
            <w:vAlign w:val="bottom"/>
            <w:gridSpan w:val="70"/>
          </w:tcPr>
          <w:p>
            <w:pPr>
              <w:spacing w:after="0"/>
              <w:rPr>
                <w:sz w:val="20"/>
                <w:szCs w:val="20"/>
                <w:color w:val="auto"/>
              </w:rPr>
            </w:pPr>
            <w:r>
              <w:rPr>
                <w:rFonts w:ascii="Times New Roman" w:cs="Times New Roman" w:eastAsia="Times New Roman" w:hAnsi="Times New Roman"/>
                <w:sz w:val="22"/>
                <w:szCs w:val="22"/>
                <w:color w:val="auto"/>
              </w:rPr>
              <w:t>ARTICLE 11.  CHANGES IN LAW OR CIRCUMSTANCES; INCREASED COSTS</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97</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11.1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gridSpan w:val="28"/>
          </w:tcPr>
          <w:p>
            <w:pPr>
              <w:spacing w:after="0"/>
              <w:rPr>
                <w:sz w:val="20"/>
                <w:szCs w:val="20"/>
                <w:color w:val="auto"/>
              </w:rPr>
            </w:pPr>
            <w:r>
              <w:rPr>
                <w:rFonts w:ascii="Times New Roman" w:cs="Times New Roman" w:eastAsia="Times New Roman" w:hAnsi="Times New Roman"/>
                <w:sz w:val="22"/>
                <w:szCs w:val="22"/>
                <w:color w:val="auto"/>
              </w:rPr>
              <w:t>Reimbursement of Prepayment Costs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auto"/>
              </w:rPr>
              <w:t>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auto"/>
              </w:rPr>
              <w:t>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15"/>
          </w:tcPr>
          <w:p>
            <w:pPr>
              <w:spacing w:after="0" w:line="229" w:lineRule="exact"/>
              <w:rPr>
                <w:sz w:val="20"/>
                <w:szCs w:val="20"/>
                <w:color w:val="auto"/>
              </w:rPr>
            </w:pPr>
            <w:r>
              <w:rPr>
                <w:rFonts w:ascii="Times New Roman" w:cs="Times New Roman" w:eastAsia="Times New Roman" w:hAnsi="Times New Roman"/>
                <w:sz w:val="22"/>
                <w:szCs w:val="22"/>
                <w:color w:val="FF0000"/>
                <w:strike w:val="1"/>
                <w:w w:val="96"/>
              </w:rPr>
              <w:t>Eurodollar Lending Office</w:t>
            </w:r>
          </w:p>
        </w:tc>
        <w:tc>
          <w:tcPr>
            <w:tcW w:w="1020" w:type="dxa"/>
            <w:vAlign w:val="bottom"/>
            <w:gridSpan w:val="13"/>
          </w:tcPr>
          <w:p>
            <w:pPr>
              <w:spacing w:after="0" w:line="229" w:lineRule="exact"/>
              <w:rPr>
                <w:sz w:val="20"/>
                <w:szCs w:val="20"/>
                <w:color w:val="auto"/>
              </w:rPr>
            </w:pPr>
            <w:r>
              <w:rPr>
                <w:rFonts w:ascii="Times New Roman" w:cs="Times New Roman" w:eastAsia="Times New Roman" w:hAnsi="Times New Roman"/>
                <w:sz w:val="22"/>
                <w:szCs w:val="22"/>
                <w:color w:val="0000FF"/>
              </w:rPr>
              <w:t>[Reserved]</w:t>
            </w:r>
          </w:p>
        </w:tc>
        <w:tc>
          <w:tcPr>
            <w:tcW w:w="360" w:type="dxa"/>
            <w:vAlign w:val="bottom"/>
            <w:gridSpan w:val="6"/>
          </w:tcPr>
          <w:p>
            <w:pPr>
              <w:jc w:val="right"/>
              <w:spacing w:after="0" w:line="229" w:lineRule="exact"/>
              <w:rPr>
                <w:sz w:val="20"/>
                <w:szCs w:val="20"/>
                <w:color w:val="auto"/>
              </w:rPr>
            </w:pPr>
            <w:r>
              <w:rPr>
                <w:rFonts w:ascii="Times New Roman" w:cs="Times New Roman" w:eastAsia="Times New Roman" w:hAnsi="Times New Roman"/>
                <w:sz w:val="22"/>
                <w:szCs w:val="22"/>
                <w:color w:val="auto"/>
              </w:rPr>
              <w:t>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ind w:left="660"/>
              <w:spacing w:after="0" w:line="216" w:lineRule="exact"/>
              <w:rPr>
                <w:sz w:val="20"/>
                <w:szCs w:val="20"/>
                <w:color w:val="auto"/>
              </w:rPr>
            </w:pPr>
            <w:r>
              <w:rPr>
                <w:rFonts w:ascii="Times New Roman" w:cs="Times New Roman" w:eastAsia="Times New Roman" w:hAnsi="Times New Roman"/>
                <w:sz w:val="22"/>
                <w:szCs w:val="22"/>
                <w:color w:val="auto"/>
              </w:rPr>
              <w:t>11.3</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15"/>
            <w:vMerge w:val="restart"/>
          </w:tcPr>
          <w:p>
            <w:pPr>
              <w:spacing w:after="0" w:line="216" w:lineRule="exact"/>
              <w:rPr>
                <w:sz w:val="20"/>
                <w:szCs w:val="20"/>
                <w:color w:val="auto"/>
              </w:rPr>
            </w:pPr>
            <w:r>
              <w:rPr>
                <w:rFonts w:ascii="Times New Roman" w:cs="Times New Roman" w:eastAsia="Times New Roman" w:hAnsi="Times New Roman"/>
                <w:sz w:val="22"/>
                <w:szCs w:val="22"/>
                <w:color w:val="FF0000"/>
                <w:strike w:val="1"/>
              </w:rPr>
              <w:t>Circumstances Affecting</w:t>
            </w: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15"/>
            <w:vMerge w:val="continue"/>
          </w:tcPr>
          <w:p>
            <w:pPr>
              <w:spacing w:after="0"/>
              <w:rPr>
                <w:sz w:val="17"/>
                <w:szCs w:val="17"/>
                <w:color w:val="auto"/>
              </w:rPr>
            </w:pPr>
          </w:p>
        </w:tc>
        <w:tc>
          <w:tcPr>
            <w:tcW w:w="560" w:type="dxa"/>
            <w:vAlign w:val="bottom"/>
            <w:gridSpan w:val="8"/>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81"/>
              </w:rPr>
              <w:t>LIBOR</w:t>
            </w:r>
          </w:p>
        </w:tc>
        <w:tc>
          <w:tcPr>
            <w:tcW w:w="1300" w:type="dxa"/>
            <w:vAlign w:val="bottom"/>
            <w:gridSpan w:val="18"/>
          </w:tcPr>
          <w:p>
            <w:pPr>
              <w:spacing w:after="0" w:line="196" w:lineRule="exact"/>
              <w:rPr>
                <w:sz w:val="20"/>
                <w:szCs w:val="20"/>
                <w:color w:val="auto"/>
              </w:rPr>
            </w:pPr>
            <w:r>
              <w:rPr>
                <w:rFonts w:ascii="Times New Roman" w:cs="Times New Roman" w:eastAsia="Times New Roman" w:hAnsi="Times New Roman"/>
                <w:sz w:val="22"/>
                <w:szCs w:val="22"/>
                <w:color w:val="0000FF"/>
              </w:rPr>
              <w:t xml:space="preserve">Alternate </w:t>
            </w:r>
            <w:r>
              <w:rPr>
                <w:rFonts w:ascii="Times New Roman" w:cs="Times New Roman" w:eastAsia="Times New Roman" w:hAnsi="Times New Roman"/>
                <w:sz w:val="22"/>
                <w:szCs w:val="22"/>
                <w:color w:val="000000"/>
              </w:rPr>
              <w:t>Rate</w:t>
            </w:r>
          </w:p>
        </w:tc>
        <w:tc>
          <w:tcPr>
            <w:tcW w:w="1040" w:type="dxa"/>
            <w:vAlign w:val="bottom"/>
            <w:gridSpan w:val="11"/>
          </w:tcPr>
          <w:p>
            <w:pPr>
              <w:spacing w:after="0" w:line="196" w:lineRule="exact"/>
              <w:rPr>
                <w:sz w:val="20"/>
                <w:szCs w:val="20"/>
                <w:color w:val="auto"/>
              </w:rPr>
            </w:pPr>
            <w:r>
              <w:rPr>
                <w:rFonts w:ascii="Times New Roman" w:cs="Times New Roman" w:eastAsia="Times New Roman" w:hAnsi="Times New Roman"/>
                <w:sz w:val="22"/>
                <w:szCs w:val="22"/>
                <w:color w:val="FF0000"/>
                <w:strike w:val="1"/>
                <w:w w:val="96"/>
              </w:rPr>
              <w:t>Availability</w:t>
            </w:r>
          </w:p>
        </w:tc>
        <w:tc>
          <w:tcPr>
            <w:tcW w:w="1300" w:type="dxa"/>
            <w:vAlign w:val="bottom"/>
            <w:gridSpan w:val="14"/>
          </w:tcPr>
          <w:p>
            <w:pPr>
              <w:spacing w:after="0" w:line="196" w:lineRule="exact"/>
              <w:rPr>
                <w:sz w:val="20"/>
                <w:szCs w:val="20"/>
                <w:color w:val="auto"/>
              </w:rPr>
            </w:pPr>
            <w:r>
              <w:rPr>
                <w:rFonts w:ascii="Times New Roman" w:cs="Times New Roman" w:eastAsia="Times New Roman" w:hAnsi="Times New Roman"/>
                <w:sz w:val="22"/>
                <w:szCs w:val="22"/>
                <w:color w:val="0000FF"/>
              </w:rPr>
              <w:t xml:space="preserve">of Interest  </w:t>
            </w:r>
            <w:r>
              <w:rPr>
                <w:rFonts w:ascii="Times New Roman" w:cs="Times New Roman" w:eastAsia="Times New Roman" w:hAnsi="Times New Roman"/>
                <w:sz w:val="22"/>
                <w:szCs w:val="22"/>
                <w:color w:val="000000"/>
              </w:rPr>
              <w:t>98</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ind w:left="660"/>
              <w:spacing w:after="0" w:line="216" w:lineRule="exact"/>
              <w:rPr>
                <w:sz w:val="20"/>
                <w:szCs w:val="20"/>
                <w:color w:val="auto"/>
              </w:rPr>
            </w:pPr>
            <w:r>
              <w:rPr>
                <w:rFonts w:ascii="Times New Roman" w:cs="Times New Roman" w:eastAsia="Times New Roman" w:hAnsi="Times New Roman"/>
                <w:sz w:val="22"/>
                <w:szCs w:val="22"/>
                <w:color w:val="auto"/>
              </w:rPr>
              <w:t>11.4</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gridSpan w:val="12"/>
            <w:vMerge w:val="restart"/>
          </w:tcPr>
          <w:p>
            <w:pPr>
              <w:spacing w:after="0" w:line="216" w:lineRule="exact"/>
              <w:rPr>
                <w:sz w:val="20"/>
                <w:szCs w:val="20"/>
                <w:color w:val="auto"/>
              </w:rPr>
            </w:pPr>
            <w:r>
              <w:rPr>
                <w:rFonts w:ascii="Times New Roman" w:cs="Times New Roman" w:eastAsia="Times New Roman" w:hAnsi="Times New Roman"/>
                <w:sz w:val="22"/>
                <w:szCs w:val="22"/>
                <w:color w:val="0000FF"/>
                <w:w w:val="86"/>
              </w:rPr>
              <w:t>[Reserved]</w:t>
            </w:r>
          </w:p>
        </w:tc>
        <w:tc>
          <w:tcPr>
            <w:tcW w:w="180" w:type="dxa"/>
            <w:vAlign w:val="bottom"/>
            <w:vMerge w:val="restart"/>
          </w:tcPr>
          <w:p>
            <w:pPr>
              <w:spacing w:after="0" w:line="20" w:lineRule="exact"/>
              <w:rPr>
                <w:sz w:val="1"/>
                <w:szCs w:val="1"/>
                <w:color w:val="auto"/>
              </w:rPr>
            </w:pPr>
          </w:p>
        </w:tc>
        <w:tc>
          <w:tcPr>
            <w:tcW w:w="360" w:type="dxa"/>
            <w:vAlign w:val="bottom"/>
            <w:gridSpan w:val="4"/>
            <w:vMerge w:val="restart"/>
          </w:tcPr>
          <w:p>
            <w:pPr>
              <w:jc w:val="right"/>
              <w:spacing w:after="0" w:line="216" w:lineRule="exact"/>
              <w:rPr>
                <w:sz w:val="20"/>
                <w:szCs w:val="20"/>
                <w:color w:val="auto"/>
              </w:rPr>
            </w:pPr>
            <w:r>
              <w:rPr>
                <w:rFonts w:ascii="Times New Roman" w:cs="Times New Roman" w:eastAsia="Times New Roman" w:hAnsi="Times New Roman"/>
                <w:sz w:val="22"/>
                <w:szCs w:val="22"/>
                <w:color w:val="auto"/>
              </w:rPr>
              <w:t>100</w:t>
            </w: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 w:type="dxa"/>
            <w:vAlign w:val="bottom"/>
            <w:shd w:val="clear" w:color="auto" w:fill="0000FF"/>
          </w:tcPr>
          <w:p>
            <w:pPr>
              <w:spacing w:after="0" w:line="20" w:lineRule="exact"/>
              <w:rPr>
                <w:sz w:val="1"/>
                <w:szCs w:val="1"/>
                <w:color w:val="auto"/>
              </w:rPr>
            </w:pPr>
          </w:p>
        </w:tc>
        <w:tc>
          <w:tcPr>
            <w:tcW w:w="5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 w:type="dxa"/>
            <w:vAlign w:val="bottom"/>
            <w:shd w:val="clear" w:color="auto" w:fill="0000FF"/>
          </w:tcPr>
          <w:p>
            <w:pPr>
              <w:spacing w:after="0" w:line="20" w:lineRule="exact"/>
              <w:rPr>
                <w:sz w:val="1"/>
                <w:szCs w:val="1"/>
                <w:color w:val="auto"/>
              </w:rPr>
            </w:pPr>
          </w:p>
        </w:tc>
        <w:tc>
          <w:tcPr>
            <w:tcW w:w="5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gridSpan w:val="32"/>
          </w:tcPr>
          <w:p>
            <w:pPr>
              <w:spacing w:after="0" w:line="196" w:lineRule="exact"/>
              <w:rPr>
                <w:sz w:val="20"/>
                <w:szCs w:val="20"/>
                <w:color w:val="auto"/>
              </w:rPr>
            </w:pPr>
            <w:r>
              <w:rPr>
                <w:rFonts w:ascii="Times New Roman" w:cs="Times New Roman" w:eastAsia="Times New Roman" w:hAnsi="Times New Roman"/>
                <w:sz w:val="22"/>
                <w:szCs w:val="22"/>
                <w:color w:val="FF0000"/>
                <w:strike w:val="1"/>
                <w:w w:val="96"/>
              </w:rPr>
              <w:t>Laws Affecting LIBOR Rate Availability</w:t>
            </w:r>
          </w:p>
        </w:tc>
        <w:tc>
          <w:tcPr>
            <w:tcW w:w="100" w:type="dxa"/>
            <w:vAlign w:val="bottom"/>
            <w:tcBorders>
              <w:bottom w:val="single" w:sz="8" w:color="0000FF"/>
            </w:tcBorders>
          </w:tcPr>
          <w:p>
            <w:pPr>
              <w:spacing w:after="0"/>
              <w:rPr>
                <w:sz w:val="17"/>
                <w:szCs w:val="17"/>
                <w:color w:val="auto"/>
              </w:rPr>
            </w:pPr>
          </w:p>
        </w:tc>
        <w:tc>
          <w:tcPr>
            <w:tcW w:w="860" w:type="dxa"/>
            <w:vAlign w:val="bottom"/>
            <w:tcBorders>
              <w:bottom w:val="single" w:sz="8" w:color="0000FF"/>
            </w:tcBorders>
            <w:gridSpan w:val="1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360" w:type="dxa"/>
            <w:vAlign w:val="bottom"/>
            <w:gridSpan w:val="4"/>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08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11.5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49"/>
          </w:tcPr>
          <w:p>
            <w:pPr>
              <w:spacing w:after="0"/>
              <w:rPr>
                <w:sz w:val="20"/>
                <w:szCs w:val="20"/>
                <w:color w:val="auto"/>
              </w:rPr>
            </w:pPr>
            <w:r>
              <w:rPr>
                <w:rFonts w:ascii="Times New Roman" w:cs="Times New Roman" w:eastAsia="Times New Roman" w:hAnsi="Times New Roman"/>
                <w:sz w:val="22"/>
                <w:szCs w:val="22"/>
                <w:color w:val="FF0000"/>
                <w:strike w:val="1"/>
              </w:rPr>
              <w:t>Increased Cost of Advances Carried at the LIBOR Rate</w:t>
            </w:r>
          </w:p>
        </w:tc>
        <w:tc>
          <w:tcPr>
            <w:tcW w:w="430" w:type="dxa"/>
            <w:vAlign w:val="bottom"/>
            <w:gridSpan w:val="5"/>
          </w:tcPr>
          <w:p>
            <w:pPr>
              <w:spacing w:after="0"/>
              <w:rPr>
                <w:sz w:val="20"/>
                <w:szCs w:val="20"/>
                <w:color w:val="auto"/>
              </w:rPr>
            </w:pPr>
            <w:r>
              <w:rPr>
                <w:rFonts w:ascii="Times New Roman" w:cs="Times New Roman" w:eastAsia="Times New Roman" w:hAnsi="Times New Roman"/>
                <w:sz w:val="22"/>
                <w:szCs w:val="22"/>
                <w:color w:val="FF0000"/>
                <w:strike w:val="1"/>
              </w:rPr>
              <w:t>101</w:t>
            </w:r>
          </w:p>
        </w:tc>
        <w:tc>
          <w:tcPr>
            <w:tcW w:w="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FF0000"/>
                <w:strike w:val="1"/>
              </w:rPr>
              <w:t>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19"/>
          </w:tcPr>
          <w:p>
            <w:pPr>
              <w:spacing w:after="0" w:line="229" w:lineRule="exact"/>
              <w:rPr>
                <w:sz w:val="20"/>
                <w:szCs w:val="20"/>
                <w:color w:val="auto"/>
              </w:rPr>
            </w:pPr>
            <w:r>
              <w:rPr>
                <w:rFonts w:ascii="Times New Roman" w:cs="Times New Roman" w:eastAsia="Times New Roman" w:hAnsi="Times New Roman"/>
                <w:sz w:val="22"/>
                <w:szCs w:val="22"/>
                <w:color w:val="FF0000"/>
                <w:strike w:val="1"/>
                <w:w w:val="99"/>
              </w:rPr>
              <w:t>Capital Adequacy and Other</w:t>
            </w:r>
          </w:p>
        </w:tc>
        <w:tc>
          <w:tcPr>
            <w:tcW w:w="1580" w:type="dxa"/>
            <w:vAlign w:val="bottom"/>
            <w:gridSpan w:val="21"/>
          </w:tcPr>
          <w:p>
            <w:pPr>
              <w:spacing w:after="0" w:line="229" w:lineRule="exact"/>
              <w:rPr>
                <w:sz w:val="20"/>
                <w:szCs w:val="20"/>
                <w:color w:val="auto"/>
              </w:rPr>
            </w:pPr>
            <w:r>
              <w:rPr>
                <w:rFonts w:ascii="Times New Roman" w:cs="Times New Roman" w:eastAsia="Times New Roman" w:hAnsi="Times New Roman"/>
                <w:sz w:val="22"/>
                <w:szCs w:val="22"/>
                <w:color w:val="auto"/>
              </w:rPr>
              <w:t>Increased Costs</w:t>
            </w:r>
          </w:p>
        </w:tc>
        <w:tc>
          <w:tcPr>
            <w:tcW w:w="32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2"/>
                <w:szCs w:val="22"/>
                <w:color w:val="FF0000"/>
                <w:strike w:val="1"/>
                <w:w w:val="90"/>
              </w:rPr>
              <w:t>102</w:t>
            </w:r>
          </w:p>
        </w:tc>
        <w:tc>
          <w:tcPr>
            <w:tcW w:w="320" w:type="dxa"/>
            <w:vAlign w:val="bottom"/>
            <w:tcBorders>
              <w:bottom w:val="single" w:sz="8" w:color="0000FF"/>
            </w:tcBorders>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0000FF"/>
                <w:w w:val="90"/>
              </w:rPr>
              <w:t>100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420" w:type="dxa"/>
            <w:vAlign w:val="bottom"/>
          </w:tcPr>
          <w:p>
            <w:pPr>
              <w:spacing w:after="0" w:line="183" w:lineRule="exact"/>
              <w:rPr>
                <w:sz w:val="20"/>
                <w:szCs w:val="20"/>
                <w:color w:val="auto"/>
              </w:rPr>
            </w:pPr>
            <w:r>
              <w:rPr>
                <w:rFonts w:ascii="Times New Roman" w:cs="Times New Roman" w:eastAsia="Times New Roman" w:hAnsi="Times New Roman"/>
                <w:sz w:val="21"/>
                <w:szCs w:val="21"/>
                <w:color w:val="FF0000"/>
                <w:strike w:val="1"/>
              </w:rPr>
              <w:t>11.7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gridSpan w:val="49"/>
          </w:tcPr>
          <w:p>
            <w:pPr>
              <w:spacing w:after="0" w:line="183" w:lineRule="exact"/>
              <w:rPr>
                <w:sz w:val="20"/>
                <w:szCs w:val="20"/>
                <w:color w:val="auto"/>
              </w:rPr>
            </w:pPr>
            <w:r>
              <w:rPr>
                <w:rFonts w:ascii="Times New Roman" w:cs="Times New Roman" w:eastAsia="Times New Roman" w:hAnsi="Times New Roman"/>
                <w:sz w:val="21"/>
                <w:szCs w:val="21"/>
                <w:color w:val="FF0000"/>
                <w:strike w:val="1"/>
              </w:rPr>
              <w:t>Right of Lenders to Fund through Branches and Affiliates</w:t>
            </w:r>
          </w:p>
        </w:tc>
        <w:tc>
          <w:tcPr>
            <w:tcW w:w="570" w:type="dxa"/>
            <w:vAlign w:val="bottom"/>
            <w:gridSpan w:val="8"/>
          </w:tcPr>
          <w:p>
            <w:pPr>
              <w:ind w:left="200"/>
              <w:spacing w:after="0" w:line="183" w:lineRule="exact"/>
              <w:rPr>
                <w:sz w:val="20"/>
                <w:szCs w:val="20"/>
                <w:color w:val="auto"/>
              </w:rPr>
            </w:pPr>
            <w:r>
              <w:rPr>
                <w:rFonts w:ascii="Times New Roman" w:cs="Times New Roman" w:eastAsia="Times New Roman" w:hAnsi="Times New Roman"/>
                <w:sz w:val="21"/>
                <w:szCs w:val="21"/>
                <w:color w:val="FF0000"/>
                <w:strike w:val="1"/>
              </w:rPr>
              <w:t>103</w:t>
            </w:r>
          </w:p>
        </w:tc>
        <w:tc>
          <w:tcPr>
            <w:tcW w:w="5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ind w:left="660"/>
              <w:spacing w:after="0" w:line="229" w:lineRule="exact"/>
              <w:rPr>
                <w:sz w:val="20"/>
                <w:szCs w:val="20"/>
                <w:color w:val="auto"/>
              </w:rPr>
            </w:pPr>
            <w:r>
              <w:rPr>
                <w:rFonts w:ascii="Times New Roman" w:cs="Times New Roman" w:eastAsia="Times New Roman" w:hAnsi="Times New Roman"/>
                <w:sz w:val="22"/>
                <w:szCs w:val="22"/>
                <w:color w:val="0000FF"/>
              </w:rPr>
              <w:t>11.</w:t>
            </w:r>
            <w:r>
              <w:rPr>
                <w:rFonts w:ascii="Times New Roman" w:cs="Times New Roman" w:eastAsia="Times New Roman" w:hAnsi="Times New Roman"/>
                <w:sz w:val="22"/>
                <w:szCs w:val="22"/>
                <w:u w:val="single" w:color="auto"/>
                <w:color w:val="0000FF"/>
              </w:rPr>
              <w:t>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0000FF"/>
              </w:rPr>
              <w:t>[Reserved]</w:t>
            </w:r>
          </w:p>
        </w:tc>
        <w:tc>
          <w:tcPr>
            <w:tcW w:w="44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0000FF"/>
              </w:rPr>
              <w:t>101</w:t>
            </w:r>
          </w:p>
        </w:tc>
        <w:tc>
          <w:tcPr>
            <w:tcW w:w="2200" w:type="dxa"/>
            <w:vAlign w:val="bottom"/>
            <w:gridSpan w:val="29"/>
            <w:vMerge w:val="restart"/>
          </w:tcPr>
          <w:p>
            <w:pPr>
              <w:spacing w:after="0"/>
              <w:rPr>
                <w:sz w:val="20"/>
                <w:szCs w:val="20"/>
                <w:color w:val="auto"/>
              </w:rPr>
            </w:pPr>
            <w:r>
              <w:rPr>
                <w:rFonts w:ascii="Times New Roman" w:cs="Times New Roman" w:eastAsia="Times New Roman" w:hAnsi="Times New Roman"/>
                <w:sz w:val="22"/>
                <w:szCs w:val="22"/>
                <w:color w:val="0000FF"/>
                <w:w w:val="98"/>
              </w:rPr>
              <w:t>Different Lending Office</w:t>
            </w:r>
          </w:p>
        </w:tc>
        <w:tc>
          <w:tcPr>
            <w:tcW w:w="420" w:type="dxa"/>
            <w:vAlign w:val="bottom"/>
            <w:gridSpan w:val="6"/>
            <w:vMerge w:val="restart"/>
          </w:tcPr>
          <w:p>
            <w:pPr>
              <w:jc w:val="right"/>
              <w:ind w:right="60"/>
              <w:spacing w:after="0"/>
              <w:rPr>
                <w:sz w:val="20"/>
                <w:szCs w:val="20"/>
                <w:color w:val="auto"/>
              </w:rPr>
            </w:pPr>
            <w:r>
              <w:rPr>
                <w:rFonts w:ascii="Times New Roman" w:cs="Times New Roman" w:eastAsia="Times New Roman" w:hAnsi="Times New Roman"/>
                <w:sz w:val="22"/>
                <w:szCs w:val="22"/>
                <w:color w:val="0000FF"/>
              </w:rPr>
              <w:t>102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2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22"/>
                <w:szCs w:val="22"/>
                <w:color w:val="0000FF"/>
              </w:rPr>
              <w:t>11.</w:t>
            </w:r>
            <w:r>
              <w:rPr>
                <w:rFonts w:ascii="Times New Roman" w:cs="Times New Roman" w:eastAsia="Times New Roman" w:hAnsi="Times New Roman"/>
                <w:sz w:val="22"/>
                <w:szCs w:val="22"/>
                <w:u w:val="single" w:color="auto"/>
                <w:color w:val="0000FF"/>
              </w:rPr>
              <w:t>7</w:t>
            </w: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22"/>
                <w:szCs w:val="22"/>
                <w:color w:val="0000FF"/>
              </w:rPr>
              <w:t>Designation of</w:t>
            </w:r>
          </w:p>
        </w:tc>
        <w:tc>
          <w:tcPr>
            <w:tcW w:w="2200" w:type="dxa"/>
            <w:vAlign w:val="bottom"/>
            <w:gridSpan w:val="29"/>
            <w:vMerge w:val="continue"/>
          </w:tcPr>
          <w:p>
            <w:pPr>
              <w:spacing w:after="0"/>
              <w:rPr>
                <w:sz w:val="17"/>
                <w:szCs w:val="17"/>
                <w:color w:val="auto"/>
              </w:rPr>
            </w:pPr>
          </w:p>
        </w:tc>
        <w:tc>
          <w:tcPr>
            <w:tcW w:w="42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8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22"/>
                <w:szCs w:val="22"/>
                <w:color w:val="auto"/>
              </w:rPr>
              <w:t>11.8</w:t>
            </w:r>
          </w:p>
        </w:tc>
        <w:tc>
          <w:tcPr>
            <w:tcW w:w="186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22"/>
                <w:szCs w:val="22"/>
                <w:color w:val="auto"/>
                <w:w w:val="98"/>
              </w:rPr>
              <w:t>Margin Adjustment</w:t>
            </w:r>
          </w:p>
        </w:tc>
        <w:tc>
          <w:tcPr>
            <w:tcW w:w="380" w:type="dxa"/>
            <w:vAlign w:val="bottom"/>
            <w:tcBorders>
              <w:top w:val="single" w:sz="8" w:color="0000FF"/>
            </w:tcBorders>
            <w:gridSpan w:val="5"/>
          </w:tcPr>
          <w:p>
            <w:pPr>
              <w:ind w:left="60"/>
              <w:spacing w:after="0" w:line="196" w:lineRule="exact"/>
              <w:rPr>
                <w:sz w:val="20"/>
                <w:szCs w:val="20"/>
                <w:color w:val="auto"/>
              </w:rPr>
            </w:pPr>
            <w:r>
              <w:rPr>
                <w:rFonts w:ascii="Times New Roman" w:cs="Times New Roman" w:eastAsia="Times New Roman" w:hAnsi="Times New Roman"/>
                <w:sz w:val="22"/>
                <w:szCs w:val="22"/>
                <w:color w:val="FF0000"/>
                <w:strike w:val="1"/>
                <w:w w:val="90"/>
              </w:rPr>
              <w:t>103</w:t>
            </w:r>
          </w:p>
        </w:tc>
        <w:tc>
          <w:tcPr>
            <w:tcW w:w="32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22"/>
                <w:szCs w:val="22"/>
                <w:color w:val="0000FF"/>
                <w:w w:val="90"/>
              </w:rPr>
              <w:t>102</w:t>
            </w:r>
          </w:p>
        </w:tc>
        <w:tc>
          <w:tcPr>
            <w:tcW w:w="1480" w:type="dxa"/>
            <w:vAlign w:val="bottom"/>
            <w:tcBorders>
              <w:top w:val="single" w:sz="8" w:color="0000FF"/>
            </w:tcBorders>
            <w:gridSpan w:val="19"/>
          </w:tcPr>
          <w:p>
            <w:pPr>
              <w:spacing w:after="0"/>
              <w:rPr>
                <w:sz w:val="17"/>
                <w:szCs w:val="17"/>
                <w:color w:val="auto"/>
              </w:rPr>
            </w:pPr>
          </w:p>
        </w:tc>
        <w:tc>
          <w:tcPr>
            <w:tcW w:w="442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11.9</w:t>
            </w:r>
          </w:p>
        </w:tc>
        <w:tc>
          <w:tcPr>
            <w:tcW w:w="880" w:type="dxa"/>
            <w:vAlign w:val="bottom"/>
            <w:gridSpan w:val="3"/>
          </w:tcPr>
          <w:p>
            <w:pPr>
              <w:ind w:left="160"/>
              <w:spacing w:after="0" w:line="196" w:lineRule="exact"/>
              <w:rPr>
                <w:sz w:val="20"/>
                <w:szCs w:val="20"/>
                <w:color w:val="auto"/>
              </w:rPr>
            </w:pPr>
            <w:r>
              <w:rPr>
                <w:rFonts w:ascii="Times New Roman" w:cs="Times New Roman" w:eastAsia="Times New Roman" w:hAnsi="Times New Roman"/>
                <w:sz w:val="22"/>
                <w:szCs w:val="22"/>
                <w:color w:val="auto"/>
              </w:rPr>
              <w:t>Taxes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103</w:t>
            </w:r>
          </w:p>
        </w:tc>
        <w:tc>
          <w:tcPr>
            <w:tcW w:w="7420" w:type="dxa"/>
            <w:vAlign w:val="bottom"/>
            <w:gridSpan w:val="69"/>
          </w:tcPr>
          <w:p>
            <w:pPr>
              <w:jc w:val="right"/>
              <w:ind w:right="6992"/>
              <w:spacing w:after="0" w:line="196" w:lineRule="exact"/>
              <w:rPr>
                <w:sz w:val="20"/>
                <w:szCs w:val="20"/>
                <w:color w:val="auto"/>
              </w:rPr>
            </w:pPr>
            <w:r>
              <w:rPr>
                <w:rFonts w:ascii="Times New Roman" w:cs="Times New Roman" w:eastAsia="Times New Roman" w:hAnsi="Times New Roman"/>
                <w:sz w:val="22"/>
                <w:szCs w:val="22"/>
                <w:color w:val="0000FF"/>
                <w:w w:val="90"/>
              </w:rPr>
              <w:t>102</w:t>
            </w:r>
          </w:p>
        </w:tc>
        <w:tc>
          <w:tcPr>
            <w:tcW w:w="0" w:type="dxa"/>
            <w:vAlign w:val="bottom"/>
          </w:tcPr>
          <w:p>
            <w:pPr>
              <w:spacing w:after="0"/>
              <w:rPr>
                <w:sz w:val="1"/>
                <w:szCs w:val="1"/>
                <w:color w:val="auto"/>
              </w:rPr>
            </w:pPr>
          </w:p>
        </w:tc>
      </w:tr>
      <w:tr>
        <w:trPr>
          <w:trHeight w:val="20"/>
        </w:trPr>
        <w:tc>
          <w:tcPr>
            <w:tcW w:w="9700" w:type="dxa"/>
            <w:vAlign w:val="bottom"/>
            <w:gridSpan w:val="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12.  AGENT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rPr>
              <w:t>107</w:t>
            </w:r>
          </w:p>
        </w:tc>
        <w:tc>
          <w:tcPr>
            <w:tcW w:w="7000" w:type="dxa"/>
            <w:vAlign w:val="bottom"/>
            <w:gridSpan w:val="67"/>
          </w:tcPr>
          <w:p>
            <w:pPr>
              <w:spacing w:after="0"/>
              <w:rPr>
                <w:sz w:val="20"/>
                <w:szCs w:val="20"/>
                <w:color w:val="auto"/>
              </w:rPr>
            </w:pPr>
            <w:r>
              <w:rPr>
                <w:rFonts w:ascii="Times New Roman" w:cs="Times New Roman" w:eastAsia="Times New Roman" w:hAnsi="Times New Roman"/>
                <w:sz w:val="22"/>
                <w:szCs w:val="22"/>
                <w:color w:val="0000FF"/>
              </w:rPr>
              <w:t>106</w:t>
            </w: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12.1</w:t>
            </w:r>
          </w:p>
        </w:tc>
        <w:tc>
          <w:tcPr>
            <w:tcW w:w="3420" w:type="dxa"/>
            <w:vAlign w:val="bottom"/>
            <w:gridSpan w:val="29"/>
          </w:tcPr>
          <w:p>
            <w:pPr>
              <w:ind w:left="100"/>
              <w:spacing w:after="0"/>
              <w:rPr>
                <w:sz w:val="20"/>
                <w:szCs w:val="20"/>
                <w:color w:val="auto"/>
              </w:rPr>
            </w:pPr>
            <w:r>
              <w:rPr>
                <w:rFonts w:ascii="Times New Roman" w:cs="Times New Roman" w:eastAsia="Times New Roman" w:hAnsi="Times New Roman"/>
                <w:sz w:val="22"/>
                <w:szCs w:val="22"/>
                <w:color w:val="auto"/>
                <w:w w:val="97"/>
              </w:rPr>
              <w:t>Appointment of Administrative Agent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FF0000"/>
                <w:strike w:val="1"/>
                <w:w w:val="90"/>
              </w:rPr>
              <w:t>107</w:t>
            </w:r>
          </w:p>
        </w:tc>
        <w:tc>
          <w:tcPr>
            <w:tcW w:w="480" w:type="dxa"/>
            <w:vAlign w:val="bottom"/>
            <w:gridSpan w:val="5"/>
          </w:tcPr>
          <w:p>
            <w:pPr>
              <w:jc w:val="right"/>
              <w:ind w:right="52"/>
              <w:spacing w:after="0"/>
              <w:rPr>
                <w:sz w:val="20"/>
                <w:szCs w:val="20"/>
                <w:color w:val="auto"/>
              </w:rPr>
            </w:pPr>
            <w:r>
              <w:rPr>
                <w:rFonts w:ascii="Times New Roman" w:cs="Times New Roman" w:eastAsia="Times New Roman" w:hAnsi="Times New Roman"/>
                <w:sz w:val="22"/>
                <w:szCs w:val="22"/>
                <w:color w:val="0000FF"/>
                <w:w w:val="90"/>
              </w:rPr>
              <w:t>106</w:t>
            </w:r>
          </w:p>
        </w:tc>
        <w:tc>
          <w:tcPr>
            <w:tcW w:w="5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rPr>
              <w:t>12.2</w:t>
            </w:r>
          </w:p>
        </w:tc>
        <w:tc>
          <w:tcPr>
            <w:tcW w:w="100" w:type="dxa"/>
            <w:vAlign w:val="bottom"/>
          </w:tcPr>
          <w:p>
            <w:pPr>
              <w:spacing w:after="0"/>
              <w:rPr>
                <w:sz w:val="17"/>
                <w:szCs w:val="17"/>
                <w:color w:val="auto"/>
              </w:rPr>
            </w:pPr>
          </w:p>
        </w:tc>
        <w:tc>
          <w:tcPr>
            <w:tcW w:w="3840" w:type="dxa"/>
            <w:vAlign w:val="bottom"/>
            <w:gridSpan w:val="37"/>
          </w:tcPr>
          <w:p>
            <w:pPr>
              <w:ind w:left="20"/>
              <w:spacing w:after="0" w:line="196" w:lineRule="exact"/>
              <w:rPr>
                <w:sz w:val="20"/>
                <w:szCs w:val="20"/>
                <w:color w:val="auto"/>
              </w:rPr>
            </w:pPr>
            <w:r>
              <w:rPr>
                <w:rFonts w:ascii="Times New Roman" w:cs="Times New Roman" w:eastAsia="Times New Roman" w:hAnsi="Times New Roman"/>
                <w:sz w:val="22"/>
                <w:szCs w:val="22"/>
                <w:color w:val="auto"/>
                <w:w w:val="97"/>
              </w:rPr>
              <w:t>Deposit Account with Administrative Agent</w:t>
            </w:r>
          </w:p>
        </w:tc>
        <w:tc>
          <w:tcPr>
            <w:tcW w:w="320" w:type="dxa"/>
            <w:vAlign w:val="bottom"/>
            <w:tcBorders>
              <w:top w:val="single" w:sz="8" w:color="0000FF"/>
            </w:tcBorders>
            <w:gridSpan w:val="4"/>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or</w:t>
            </w:r>
          </w:p>
        </w:tc>
        <w:tc>
          <w:tcPr>
            <w:tcW w:w="1160" w:type="dxa"/>
            <w:vAlign w:val="bottom"/>
            <w:gridSpan w:val="12"/>
          </w:tcPr>
          <w:p>
            <w:pPr>
              <w:spacing w:after="0" w:line="196" w:lineRule="exact"/>
              <w:rPr>
                <w:sz w:val="20"/>
                <w:szCs w:val="20"/>
                <w:color w:val="auto"/>
              </w:rPr>
            </w:pPr>
            <w:r>
              <w:rPr>
                <w:rFonts w:ascii="Times New Roman" w:cs="Times New Roman" w:eastAsia="Times New Roman" w:hAnsi="Times New Roman"/>
                <w:sz w:val="22"/>
                <w:szCs w:val="22"/>
                <w:color w:val="auto"/>
              </w:rPr>
              <w:t>any Lender</w:t>
            </w:r>
          </w:p>
        </w:tc>
        <w:tc>
          <w:tcPr>
            <w:tcW w:w="3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107</w:t>
            </w:r>
          </w:p>
        </w:tc>
        <w:tc>
          <w:tcPr>
            <w:tcW w:w="340" w:type="dxa"/>
            <w:vAlign w:val="bottom"/>
            <w:tcBorders>
              <w:bottom w:val="single" w:sz="8" w:color="0000FF"/>
            </w:tcBorders>
            <w:gridSpan w:val="5"/>
          </w:tcPr>
          <w:p>
            <w:pPr>
              <w:jc w:val="center"/>
              <w:spacing w:after="0" w:line="196" w:lineRule="exact"/>
              <w:rPr>
                <w:sz w:val="20"/>
                <w:szCs w:val="20"/>
                <w:color w:val="auto"/>
              </w:rPr>
            </w:pPr>
            <w:r>
              <w:rPr>
                <w:rFonts w:ascii="Times New Roman" w:cs="Times New Roman" w:eastAsia="Times New Roman" w:hAnsi="Times New Roman"/>
                <w:sz w:val="22"/>
                <w:szCs w:val="22"/>
                <w:color w:val="0000FF"/>
                <w:w w:val="96"/>
              </w:rPr>
              <w:t>106</w:t>
            </w:r>
          </w:p>
        </w:tc>
        <w:tc>
          <w:tcPr>
            <w:tcW w:w="3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rPr>
              <w:t>12.3</w:t>
            </w:r>
          </w:p>
        </w:tc>
        <w:tc>
          <w:tcPr>
            <w:tcW w:w="100" w:type="dxa"/>
            <w:vAlign w:val="bottom"/>
          </w:tcPr>
          <w:p>
            <w:pPr>
              <w:spacing w:after="0"/>
              <w:rPr>
                <w:sz w:val="17"/>
                <w:szCs w:val="17"/>
                <w:color w:val="auto"/>
              </w:rPr>
            </w:pPr>
          </w:p>
        </w:tc>
        <w:tc>
          <w:tcPr>
            <w:tcW w:w="3680" w:type="dxa"/>
            <w:vAlign w:val="bottom"/>
            <w:gridSpan w:val="34"/>
          </w:tcPr>
          <w:p>
            <w:pPr>
              <w:ind w:left="20"/>
              <w:spacing w:after="0" w:line="196" w:lineRule="exact"/>
              <w:rPr>
                <w:sz w:val="20"/>
                <w:szCs w:val="20"/>
                <w:color w:val="auto"/>
              </w:rPr>
            </w:pPr>
            <w:r>
              <w:rPr>
                <w:rFonts w:ascii="Times New Roman" w:cs="Times New Roman" w:eastAsia="Times New Roman" w:hAnsi="Times New Roman"/>
                <w:sz w:val="22"/>
                <w:szCs w:val="22"/>
                <w:color w:val="auto"/>
              </w:rPr>
              <w:t>Scope of Administrative Agent’s Duties</w:t>
            </w:r>
          </w:p>
        </w:tc>
        <w:tc>
          <w:tcPr>
            <w:tcW w:w="320" w:type="dxa"/>
            <w:vAlign w:val="bottom"/>
            <w:gridSpan w:val="4"/>
          </w:tcPr>
          <w:p>
            <w:pPr>
              <w:spacing w:after="0" w:line="196" w:lineRule="exact"/>
              <w:rPr>
                <w:sz w:val="20"/>
                <w:szCs w:val="20"/>
                <w:color w:val="auto"/>
              </w:rPr>
            </w:pPr>
            <w:r>
              <w:rPr>
                <w:rFonts w:ascii="Times New Roman" w:cs="Times New Roman" w:eastAsia="Times New Roman" w:hAnsi="Times New Roman"/>
                <w:sz w:val="22"/>
                <w:szCs w:val="22"/>
                <w:color w:val="FF0000"/>
                <w:strike w:val="1"/>
                <w:w w:val="90"/>
              </w:rPr>
              <w:t>107</w:t>
            </w:r>
          </w:p>
        </w:tc>
        <w:tc>
          <w:tcPr>
            <w:tcW w:w="370" w:type="dxa"/>
            <w:vAlign w:val="bottom"/>
            <w:gridSpan w:val="5"/>
          </w:tcPr>
          <w:p>
            <w:pPr>
              <w:jc w:val="right"/>
              <w:ind w:right="50"/>
              <w:spacing w:after="0" w:line="196" w:lineRule="exact"/>
              <w:rPr>
                <w:sz w:val="20"/>
                <w:szCs w:val="20"/>
                <w:color w:val="auto"/>
              </w:rPr>
            </w:pPr>
            <w:r>
              <w:rPr>
                <w:rFonts w:ascii="Times New Roman" w:cs="Times New Roman" w:eastAsia="Times New Roman" w:hAnsi="Times New Roman"/>
                <w:sz w:val="22"/>
                <w:szCs w:val="22"/>
                <w:color w:val="0000FF"/>
                <w:w w:val="90"/>
              </w:rPr>
              <w:t>106</w:t>
            </w:r>
          </w:p>
        </w:tc>
        <w:tc>
          <w:tcPr>
            <w:tcW w:w="5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rPr>
              <w:t>12.4</w:t>
            </w:r>
          </w:p>
        </w:tc>
        <w:tc>
          <w:tcPr>
            <w:tcW w:w="100" w:type="dxa"/>
            <w:vAlign w:val="bottom"/>
          </w:tcPr>
          <w:p>
            <w:pPr>
              <w:spacing w:after="0"/>
              <w:rPr>
                <w:sz w:val="17"/>
                <w:szCs w:val="17"/>
                <w:color w:val="auto"/>
              </w:rPr>
            </w:pPr>
          </w:p>
        </w:tc>
        <w:tc>
          <w:tcPr>
            <w:tcW w:w="302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22"/>
                <w:szCs w:val="22"/>
                <w:color w:val="auto"/>
              </w:rPr>
              <w:t>Successor Administrative Agent</w:t>
            </w:r>
          </w:p>
        </w:tc>
        <w:tc>
          <w:tcPr>
            <w:tcW w:w="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108</w:t>
            </w:r>
          </w:p>
        </w:tc>
        <w:tc>
          <w:tcPr>
            <w:tcW w:w="34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4"/>
          </w:tcPr>
          <w:p>
            <w:pPr>
              <w:ind w:left="660"/>
              <w:spacing w:after="0" w:line="196" w:lineRule="exact"/>
              <w:rPr>
                <w:sz w:val="20"/>
                <w:szCs w:val="20"/>
                <w:color w:val="auto"/>
              </w:rPr>
            </w:pPr>
            <w:r>
              <w:rPr>
                <w:rFonts w:ascii="Times New Roman" w:cs="Times New Roman" w:eastAsia="Times New Roman" w:hAnsi="Times New Roman"/>
                <w:sz w:val="22"/>
                <w:szCs w:val="22"/>
                <w:color w:val="auto"/>
              </w:rPr>
              <w:t>12.5</w:t>
            </w:r>
          </w:p>
        </w:tc>
        <w:tc>
          <w:tcPr>
            <w:tcW w:w="162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22"/>
                <w:szCs w:val="22"/>
                <w:color w:val="auto"/>
              </w:rPr>
              <w:t>Credit Decisions</w:t>
            </w:r>
          </w:p>
        </w:tc>
        <w:tc>
          <w:tcPr>
            <w:tcW w:w="38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22"/>
                <w:szCs w:val="22"/>
                <w:color w:val="FF0000"/>
                <w:strike w:val="1"/>
                <w:w w:val="96"/>
              </w:rPr>
              <w:t>109</w:t>
            </w:r>
          </w:p>
        </w:tc>
        <w:tc>
          <w:tcPr>
            <w:tcW w:w="3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22"/>
                <w:szCs w:val="22"/>
                <w:color w:val="0000FF"/>
                <w:w w:val="78"/>
              </w:rPr>
              <w:t>108</w:t>
            </w:r>
          </w:p>
        </w:tc>
        <w:tc>
          <w:tcPr>
            <w:tcW w:w="6160" w:type="dxa"/>
            <w:vAlign w:val="bottom"/>
            <w:gridSpan w:val="5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rPr>
              <w:t>12.6</w:t>
            </w:r>
          </w:p>
        </w:tc>
        <w:tc>
          <w:tcPr>
            <w:tcW w:w="2400" w:type="dxa"/>
            <w:vAlign w:val="bottom"/>
            <w:gridSpan w:val="16"/>
          </w:tcPr>
          <w:p>
            <w:pPr>
              <w:ind w:left="100"/>
              <w:spacing w:after="0" w:line="196" w:lineRule="exact"/>
              <w:rPr>
                <w:sz w:val="20"/>
                <w:szCs w:val="20"/>
                <w:color w:val="auto"/>
              </w:rPr>
            </w:pPr>
            <w:r>
              <w:rPr>
                <w:rFonts w:ascii="Times New Roman" w:cs="Times New Roman" w:eastAsia="Times New Roman" w:hAnsi="Times New Roman"/>
                <w:sz w:val="22"/>
                <w:szCs w:val="22"/>
                <w:color w:val="auto"/>
                <w:w w:val="91"/>
              </w:rPr>
              <w:t>Authority of Administrative</w:t>
            </w:r>
          </w:p>
        </w:tc>
        <w:tc>
          <w:tcPr>
            <w:tcW w:w="180" w:type="dxa"/>
            <w:vAlign w:val="bottom"/>
            <w:gridSpan w:val="2"/>
          </w:tcPr>
          <w:p>
            <w:pPr>
              <w:spacing w:after="0"/>
              <w:rPr>
                <w:sz w:val="17"/>
                <w:szCs w:val="17"/>
                <w:color w:val="auto"/>
              </w:rPr>
            </w:pPr>
          </w:p>
        </w:tc>
        <w:tc>
          <w:tcPr>
            <w:tcW w:w="2970" w:type="dxa"/>
            <w:vAlign w:val="bottom"/>
            <w:gridSpan w:val="37"/>
          </w:tcPr>
          <w:p>
            <w:pPr>
              <w:spacing w:after="0" w:line="196" w:lineRule="exact"/>
              <w:rPr>
                <w:sz w:val="20"/>
                <w:szCs w:val="20"/>
                <w:color w:val="auto"/>
              </w:rPr>
            </w:pPr>
            <w:r>
              <w:rPr>
                <w:rFonts w:ascii="Times New Roman" w:cs="Times New Roman" w:eastAsia="Times New Roman" w:hAnsi="Times New Roman"/>
                <w:sz w:val="22"/>
                <w:szCs w:val="22"/>
                <w:color w:val="auto"/>
                <w:w w:val="98"/>
              </w:rPr>
              <w:t>Agent to Enforce This Agreement</w:t>
            </w: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37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22"/>
                <w:szCs w:val="22"/>
                <w:color w:val="FF0000"/>
                <w:strike w:val="1"/>
                <w:w w:val="96"/>
              </w:rPr>
              <w:t>109</w:t>
            </w:r>
          </w:p>
        </w:tc>
        <w:tc>
          <w:tcPr>
            <w:tcW w:w="32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108</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rPr>
              <w:t>12.7</w:t>
            </w:r>
          </w:p>
        </w:tc>
        <w:tc>
          <w:tcPr>
            <w:tcW w:w="100" w:type="dxa"/>
            <w:vAlign w:val="bottom"/>
          </w:tcPr>
          <w:p>
            <w:pPr>
              <w:spacing w:after="0"/>
              <w:rPr>
                <w:sz w:val="17"/>
                <w:szCs w:val="17"/>
                <w:color w:val="auto"/>
              </w:rPr>
            </w:pPr>
          </w:p>
        </w:tc>
        <w:tc>
          <w:tcPr>
            <w:tcW w:w="3680" w:type="dxa"/>
            <w:vAlign w:val="bottom"/>
            <w:gridSpan w:val="34"/>
          </w:tcPr>
          <w:p>
            <w:pPr>
              <w:ind w:left="20"/>
              <w:spacing w:after="0" w:line="196" w:lineRule="exact"/>
              <w:rPr>
                <w:sz w:val="20"/>
                <w:szCs w:val="20"/>
                <w:color w:val="auto"/>
              </w:rPr>
            </w:pPr>
            <w:r>
              <w:rPr>
                <w:rFonts w:ascii="Times New Roman" w:cs="Times New Roman" w:eastAsia="Times New Roman" w:hAnsi="Times New Roman"/>
                <w:sz w:val="22"/>
                <w:szCs w:val="22"/>
                <w:color w:val="auto"/>
              </w:rPr>
              <w:t>Indemnification of Administrative Agent</w:t>
            </w:r>
          </w:p>
        </w:tc>
        <w:tc>
          <w:tcPr>
            <w:tcW w:w="100" w:type="dxa"/>
            <w:vAlign w:val="bottom"/>
            <w:gridSpan w:val="2"/>
          </w:tcPr>
          <w:p>
            <w:pPr>
              <w:spacing w:after="0"/>
              <w:rPr>
                <w:sz w:val="17"/>
                <w:szCs w:val="17"/>
                <w:color w:val="auto"/>
              </w:rPr>
            </w:pPr>
          </w:p>
        </w:tc>
        <w:tc>
          <w:tcPr>
            <w:tcW w:w="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109</w:t>
            </w:r>
          </w:p>
        </w:tc>
        <w:tc>
          <w:tcPr>
            <w:tcW w:w="32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rPr>
              <w:t>12.8</w:t>
            </w:r>
          </w:p>
        </w:tc>
        <w:tc>
          <w:tcPr>
            <w:tcW w:w="100" w:type="dxa"/>
            <w:vAlign w:val="bottom"/>
          </w:tcPr>
          <w:p>
            <w:pPr>
              <w:spacing w:after="0"/>
              <w:rPr>
                <w:sz w:val="17"/>
                <w:szCs w:val="17"/>
                <w:color w:val="auto"/>
              </w:rPr>
            </w:pPr>
          </w:p>
        </w:tc>
        <w:tc>
          <w:tcPr>
            <w:tcW w:w="20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22"/>
                <w:szCs w:val="22"/>
                <w:color w:val="auto"/>
                <w:w w:val="99"/>
              </w:rPr>
              <w:t>Knowledge of Default</w:t>
            </w:r>
          </w:p>
        </w:tc>
        <w:tc>
          <w:tcPr>
            <w:tcW w:w="160" w:type="dxa"/>
            <w:vAlign w:val="bottom"/>
          </w:tcPr>
          <w:p>
            <w:pPr>
              <w:spacing w:after="0"/>
              <w:rPr>
                <w:sz w:val="17"/>
                <w:szCs w:val="17"/>
                <w:color w:val="auto"/>
              </w:rPr>
            </w:pPr>
          </w:p>
        </w:tc>
        <w:tc>
          <w:tcPr>
            <w:tcW w:w="32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110</w:t>
            </w:r>
          </w:p>
        </w:tc>
        <w:tc>
          <w:tcPr>
            <w:tcW w:w="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22"/>
                <w:szCs w:val="22"/>
                <w:color w:val="0000FF"/>
                <w:w w:val="90"/>
              </w:rPr>
              <w:t>109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rPr>
              <w:t>12.9</w:t>
            </w:r>
          </w:p>
        </w:tc>
        <w:tc>
          <w:tcPr>
            <w:tcW w:w="5120" w:type="dxa"/>
            <w:vAlign w:val="bottom"/>
            <w:gridSpan w:val="50"/>
          </w:tcPr>
          <w:p>
            <w:pPr>
              <w:ind w:left="100"/>
              <w:spacing w:after="0" w:line="196" w:lineRule="exact"/>
              <w:rPr>
                <w:sz w:val="20"/>
                <w:szCs w:val="20"/>
                <w:color w:val="auto"/>
              </w:rPr>
            </w:pPr>
            <w:r>
              <w:rPr>
                <w:rFonts w:ascii="Times New Roman" w:cs="Times New Roman" w:eastAsia="Times New Roman" w:hAnsi="Times New Roman"/>
                <w:sz w:val="22"/>
                <w:szCs w:val="22"/>
                <w:color w:val="auto"/>
                <w:w w:val="97"/>
              </w:rPr>
              <w:t>Administrative Agent’s Authorization; Action by Lenders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22"/>
                <w:szCs w:val="22"/>
                <w:color w:val="FF0000"/>
                <w:strike w:val="1"/>
                <w:w w:val="84"/>
              </w:rPr>
              <w:t>110</w:t>
            </w:r>
          </w:p>
        </w:tc>
        <w:tc>
          <w:tcPr>
            <w:tcW w:w="34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0000FF"/>
                <w:w w:val="96"/>
              </w:rPr>
              <w:t>109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w w:val="92"/>
              </w:rPr>
              <w:t>12.10</w:t>
            </w:r>
          </w:p>
        </w:tc>
        <w:tc>
          <w:tcPr>
            <w:tcW w:w="100" w:type="dxa"/>
            <w:vAlign w:val="bottom"/>
          </w:tcPr>
          <w:p>
            <w:pPr>
              <w:spacing w:after="0"/>
              <w:rPr>
                <w:sz w:val="17"/>
                <w:szCs w:val="17"/>
                <w:color w:val="auto"/>
              </w:rPr>
            </w:pPr>
          </w:p>
        </w:tc>
        <w:tc>
          <w:tcPr>
            <w:tcW w:w="4370" w:type="dxa"/>
            <w:vAlign w:val="bottom"/>
            <w:gridSpan w:val="43"/>
          </w:tcPr>
          <w:p>
            <w:pPr>
              <w:ind w:left="120"/>
              <w:spacing w:after="0" w:line="196" w:lineRule="exact"/>
              <w:rPr>
                <w:sz w:val="20"/>
                <w:szCs w:val="20"/>
                <w:color w:val="auto"/>
              </w:rPr>
            </w:pPr>
            <w:r>
              <w:rPr>
                <w:rFonts w:ascii="Times New Roman" w:cs="Times New Roman" w:eastAsia="Times New Roman" w:hAnsi="Times New Roman"/>
                <w:sz w:val="22"/>
                <w:szCs w:val="22"/>
                <w:color w:val="auto"/>
              </w:rPr>
              <w:t>Enforcement Actions by Administrative Agent</w:t>
            </w:r>
          </w:p>
        </w:tc>
        <w:tc>
          <w:tcPr>
            <w:tcW w:w="33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110</w:t>
            </w:r>
          </w:p>
        </w:tc>
        <w:tc>
          <w:tcPr>
            <w:tcW w:w="32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109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4"/>
          </w:tcPr>
          <w:p>
            <w:pPr>
              <w:ind w:left="660"/>
              <w:spacing w:after="0" w:line="196" w:lineRule="exact"/>
              <w:rPr>
                <w:sz w:val="20"/>
                <w:szCs w:val="20"/>
                <w:color w:val="auto"/>
              </w:rPr>
            </w:pPr>
            <w:r>
              <w:rPr>
                <w:rFonts w:ascii="Times New Roman" w:cs="Times New Roman" w:eastAsia="Times New Roman" w:hAnsi="Times New Roman"/>
                <w:sz w:val="22"/>
                <w:szCs w:val="22"/>
                <w:color w:val="auto"/>
                <w:w w:val="92"/>
              </w:rPr>
              <w:t>12.11</w:t>
            </w:r>
          </w:p>
        </w:tc>
        <w:tc>
          <w:tcPr>
            <w:tcW w:w="1860" w:type="dxa"/>
            <w:vAlign w:val="bottom"/>
            <w:gridSpan w:val="9"/>
          </w:tcPr>
          <w:p>
            <w:pPr>
              <w:ind w:left="120"/>
              <w:spacing w:after="0" w:line="196" w:lineRule="exact"/>
              <w:rPr>
                <w:sz w:val="20"/>
                <w:szCs w:val="20"/>
                <w:color w:val="auto"/>
              </w:rPr>
            </w:pPr>
            <w:r>
              <w:rPr>
                <w:rFonts w:ascii="Times New Roman" w:cs="Times New Roman" w:eastAsia="Times New Roman" w:hAnsi="Times New Roman"/>
                <w:sz w:val="22"/>
                <w:szCs w:val="22"/>
                <w:color w:val="auto"/>
                <w:w w:val="99"/>
              </w:rPr>
              <w:t>Collateral Matters</w:t>
            </w:r>
          </w:p>
        </w:tc>
        <w:tc>
          <w:tcPr>
            <w:tcW w:w="34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22"/>
                <w:szCs w:val="22"/>
                <w:color w:val="FF0000"/>
                <w:strike w:val="1"/>
                <w:w w:val="84"/>
              </w:rPr>
              <w:t>111</w:t>
            </w:r>
          </w:p>
        </w:tc>
        <w:tc>
          <w:tcPr>
            <w:tcW w:w="32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110</w:t>
            </w:r>
          </w:p>
        </w:tc>
        <w:tc>
          <w:tcPr>
            <w:tcW w:w="5940" w:type="dxa"/>
            <w:vAlign w:val="bottom"/>
            <w:gridSpan w:val="5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w w:val="92"/>
              </w:rPr>
              <w:t>12.12</w:t>
            </w:r>
          </w:p>
        </w:tc>
        <w:tc>
          <w:tcPr>
            <w:tcW w:w="100" w:type="dxa"/>
            <w:vAlign w:val="bottom"/>
          </w:tcPr>
          <w:p>
            <w:pPr>
              <w:spacing w:after="0"/>
              <w:rPr>
                <w:sz w:val="17"/>
                <w:szCs w:val="17"/>
                <w:color w:val="auto"/>
              </w:rPr>
            </w:pPr>
          </w:p>
        </w:tc>
        <w:tc>
          <w:tcPr>
            <w:tcW w:w="2200" w:type="dxa"/>
            <w:vAlign w:val="bottom"/>
            <w:gridSpan w:val="13"/>
          </w:tcPr>
          <w:p>
            <w:pPr>
              <w:ind w:left="100"/>
              <w:spacing w:after="0" w:line="196" w:lineRule="exact"/>
              <w:rPr>
                <w:sz w:val="20"/>
                <w:szCs w:val="20"/>
                <w:color w:val="auto"/>
              </w:rPr>
            </w:pPr>
            <w:r>
              <w:rPr>
                <w:rFonts w:ascii="Times New Roman" w:cs="Times New Roman" w:eastAsia="Times New Roman" w:hAnsi="Times New Roman"/>
                <w:sz w:val="22"/>
                <w:szCs w:val="22"/>
                <w:color w:val="auto"/>
                <w:w w:val="97"/>
              </w:rPr>
              <w:t>Administrative Agent in</w:t>
            </w:r>
          </w:p>
        </w:tc>
        <w:tc>
          <w:tcPr>
            <w:tcW w:w="320" w:type="dxa"/>
            <w:vAlign w:val="bottom"/>
            <w:gridSpan w:val="6"/>
          </w:tcPr>
          <w:p>
            <w:pPr>
              <w:ind w:left="60"/>
              <w:spacing w:after="0" w:line="196" w:lineRule="exact"/>
              <w:rPr>
                <w:sz w:val="20"/>
                <w:szCs w:val="20"/>
                <w:color w:val="auto"/>
              </w:rPr>
            </w:pPr>
            <w:r>
              <w:rPr>
                <w:rFonts w:ascii="Times New Roman" w:cs="Times New Roman" w:eastAsia="Times New Roman" w:hAnsi="Times New Roman"/>
                <w:sz w:val="22"/>
                <w:szCs w:val="22"/>
                <w:color w:val="auto"/>
              </w:rPr>
              <w:t>its</w:t>
            </w:r>
          </w:p>
        </w:tc>
        <w:tc>
          <w:tcPr>
            <w:tcW w:w="1850" w:type="dxa"/>
            <w:vAlign w:val="bottom"/>
            <w:gridSpan w:val="24"/>
          </w:tcPr>
          <w:p>
            <w:pPr>
              <w:spacing w:after="0" w:line="196" w:lineRule="exact"/>
              <w:rPr>
                <w:sz w:val="20"/>
                <w:szCs w:val="20"/>
                <w:color w:val="auto"/>
              </w:rPr>
            </w:pPr>
            <w:r>
              <w:rPr>
                <w:rFonts w:ascii="Times New Roman" w:cs="Times New Roman" w:eastAsia="Times New Roman" w:hAnsi="Times New Roman"/>
                <w:sz w:val="22"/>
                <w:szCs w:val="22"/>
                <w:color w:val="auto"/>
              </w:rPr>
              <w:t>Individual Capacity</w:t>
            </w:r>
          </w:p>
        </w:tc>
        <w:tc>
          <w:tcPr>
            <w:tcW w:w="5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6"/>
              </w:rPr>
              <w:t>111</w:t>
            </w:r>
          </w:p>
        </w:tc>
        <w:tc>
          <w:tcPr>
            <w:tcW w:w="30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0000FF"/>
                <w:w w:val="84"/>
              </w:rPr>
              <w:t>110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w w:val="92"/>
              </w:rPr>
              <w:t>12.13</w:t>
            </w:r>
          </w:p>
        </w:tc>
        <w:tc>
          <w:tcPr>
            <w:tcW w:w="100" w:type="dxa"/>
            <w:vAlign w:val="bottom"/>
          </w:tcPr>
          <w:p>
            <w:pPr>
              <w:spacing w:after="0"/>
              <w:rPr>
                <w:sz w:val="17"/>
                <w:szCs w:val="17"/>
                <w:color w:val="auto"/>
              </w:rPr>
            </w:pPr>
          </w:p>
        </w:tc>
        <w:tc>
          <w:tcPr>
            <w:tcW w:w="2800" w:type="dxa"/>
            <w:vAlign w:val="bottom"/>
            <w:gridSpan w:val="22"/>
          </w:tcPr>
          <w:p>
            <w:pPr>
              <w:ind w:left="100"/>
              <w:spacing w:after="0" w:line="196" w:lineRule="exact"/>
              <w:rPr>
                <w:sz w:val="20"/>
                <w:szCs w:val="20"/>
                <w:color w:val="auto"/>
              </w:rPr>
            </w:pPr>
            <w:r>
              <w:rPr>
                <w:rFonts w:ascii="Times New Roman" w:cs="Times New Roman" w:eastAsia="Times New Roman" w:hAnsi="Times New Roman"/>
                <w:sz w:val="22"/>
                <w:szCs w:val="22"/>
                <w:color w:val="auto"/>
              </w:rPr>
              <w:t>Administrative Agent’s Fees</w:t>
            </w:r>
          </w:p>
        </w:tc>
        <w:tc>
          <w:tcPr>
            <w:tcW w:w="3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84"/>
              </w:rPr>
              <w:t>111</w:t>
            </w:r>
          </w:p>
        </w:tc>
        <w:tc>
          <w:tcPr>
            <w:tcW w:w="32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110</w:t>
            </w:r>
          </w:p>
        </w:tc>
        <w:tc>
          <w:tcPr>
            <w:tcW w:w="26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w w:val="92"/>
              </w:rPr>
              <w:t>12.14</w:t>
            </w:r>
          </w:p>
        </w:tc>
        <w:tc>
          <w:tcPr>
            <w:tcW w:w="100" w:type="dxa"/>
            <w:vAlign w:val="bottom"/>
          </w:tcPr>
          <w:p>
            <w:pPr>
              <w:spacing w:after="0"/>
              <w:rPr>
                <w:sz w:val="17"/>
                <w:szCs w:val="17"/>
                <w:color w:val="auto"/>
              </w:rPr>
            </w:pPr>
          </w:p>
        </w:tc>
        <w:tc>
          <w:tcPr>
            <w:tcW w:w="3420" w:type="dxa"/>
            <w:vAlign w:val="bottom"/>
            <w:gridSpan w:val="30"/>
          </w:tcPr>
          <w:p>
            <w:pPr>
              <w:ind w:left="120"/>
              <w:spacing w:after="0" w:line="196" w:lineRule="exact"/>
              <w:rPr>
                <w:sz w:val="20"/>
                <w:szCs w:val="20"/>
                <w:color w:val="auto"/>
              </w:rPr>
            </w:pPr>
            <w:r>
              <w:rPr>
                <w:rFonts w:ascii="Times New Roman" w:cs="Times New Roman" w:eastAsia="Times New Roman" w:hAnsi="Times New Roman"/>
                <w:sz w:val="22"/>
                <w:szCs w:val="22"/>
                <w:color w:val="auto"/>
                <w:w w:val="98"/>
              </w:rPr>
              <w:t>Documentation Administrative Agent</w:t>
            </w:r>
          </w:p>
        </w:tc>
        <w:tc>
          <w:tcPr>
            <w:tcW w:w="128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22"/>
                <w:szCs w:val="22"/>
                <w:color w:val="auto"/>
                <w:w w:val="99"/>
              </w:rPr>
              <w:t>or other Titles</w:t>
            </w:r>
          </w:p>
        </w:tc>
        <w:tc>
          <w:tcPr>
            <w:tcW w:w="60" w:type="dxa"/>
            <w:vAlign w:val="bottom"/>
            <w:gridSpan w:val="2"/>
          </w:tcPr>
          <w:p>
            <w:pPr>
              <w:spacing w:after="0"/>
              <w:rPr>
                <w:sz w:val="17"/>
                <w:szCs w:val="17"/>
                <w:color w:val="auto"/>
              </w:rPr>
            </w:pPr>
          </w:p>
        </w:tc>
        <w:tc>
          <w:tcPr>
            <w:tcW w:w="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111</w:t>
            </w:r>
          </w:p>
        </w:tc>
        <w:tc>
          <w:tcPr>
            <w:tcW w:w="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2"/>
                <w:szCs w:val="22"/>
                <w:color w:val="0000FF"/>
                <w:w w:val="90"/>
              </w:rPr>
              <w:t>110</w:t>
            </w: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22"/>
                <w:szCs w:val="22"/>
                <w:color w:val="auto"/>
                <w:w w:val="92"/>
              </w:rPr>
              <w:t>12.15</w:t>
            </w:r>
          </w:p>
        </w:tc>
        <w:tc>
          <w:tcPr>
            <w:tcW w:w="100" w:type="dxa"/>
            <w:vAlign w:val="bottom"/>
          </w:tcPr>
          <w:p>
            <w:pPr>
              <w:spacing w:after="0"/>
              <w:rPr>
                <w:sz w:val="17"/>
                <w:szCs w:val="17"/>
                <w:color w:val="auto"/>
              </w:rPr>
            </w:pPr>
          </w:p>
        </w:tc>
        <w:tc>
          <w:tcPr>
            <w:tcW w:w="5500" w:type="dxa"/>
            <w:vAlign w:val="bottom"/>
            <w:gridSpan w:val="55"/>
          </w:tcPr>
          <w:p>
            <w:pPr>
              <w:ind w:left="120"/>
              <w:spacing w:after="0" w:line="196" w:lineRule="exact"/>
              <w:rPr>
                <w:sz w:val="20"/>
                <w:szCs w:val="20"/>
                <w:color w:val="auto"/>
              </w:rPr>
            </w:pPr>
            <w:r>
              <w:rPr>
                <w:rFonts w:ascii="Times New Roman" w:cs="Times New Roman" w:eastAsia="Times New Roman" w:hAnsi="Times New Roman"/>
                <w:sz w:val="22"/>
                <w:szCs w:val="22"/>
                <w:color w:val="auto"/>
                <w:w w:val="94"/>
              </w:rPr>
              <w:t>No Reliance on Administrative Agent’s Customer Identification</w:t>
            </w:r>
          </w:p>
        </w:tc>
        <w:tc>
          <w:tcPr>
            <w:tcW w:w="1000" w:type="dxa"/>
            <w:vAlign w:val="bottom"/>
            <w:gridSpan w:val="11"/>
          </w:tcPr>
          <w:p>
            <w:pPr>
              <w:ind w:left="200"/>
              <w:spacing w:after="0" w:line="196" w:lineRule="exact"/>
              <w:rPr>
                <w:sz w:val="20"/>
                <w:szCs w:val="20"/>
                <w:color w:val="auto"/>
              </w:rPr>
            </w:pPr>
            <w:r>
              <w:rPr>
                <w:rFonts w:ascii="Times New Roman" w:cs="Times New Roman" w:eastAsia="Times New Roman" w:hAnsi="Times New Roman"/>
                <w:sz w:val="22"/>
                <w:szCs w:val="22"/>
                <w:color w:val="auto"/>
              </w:rPr>
              <w:t>Program</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111</w:t>
            </w:r>
          </w:p>
        </w:tc>
        <w:tc>
          <w:tcPr>
            <w:tcW w:w="30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22"/>
                <w:szCs w:val="22"/>
                <w:color w:val="0000FF"/>
                <w:w w:val="84"/>
              </w:rPr>
              <w:t>110</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4"/>
          </w:tcPr>
          <w:p>
            <w:pPr>
              <w:ind w:left="660"/>
              <w:spacing w:after="0" w:line="196" w:lineRule="exact"/>
              <w:rPr>
                <w:sz w:val="20"/>
                <w:szCs w:val="20"/>
                <w:color w:val="auto"/>
              </w:rPr>
            </w:pPr>
            <w:r>
              <w:rPr>
                <w:rFonts w:ascii="Times New Roman" w:cs="Times New Roman" w:eastAsia="Times New Roman" w:hAnsi="Times New Roman"/>
                <w:sz w:val="22"/>
                <w:szCs w:val="22"/>
                <w:color w:val="auto"/>
                <w:w w:val="92"/>
              </w:rPr>
              <w:t>12.16</w:t>
            </w:r>
          </w:p>
        </w:tc>
        <w:tc>
          <w:tcPr>
            <w:tcW w:w="1860" w:type="dxa"/>
            <w:vAlign w:val="bottom"/>
            <w:gridSpan w:val="9"/>
          </w:tcPr>
          <w:p>
            <w:pPr>
              <w:ind w:left="120"/>
              <w:spacing w:after="0" w:line="196" w:lineRule="exact"/>
              <w:rPr>
                <w:sz w:val="20"/>
                <w:szCs w:val="20"/>
                <w:color w:val="auto"/>
              </w:rPr>
            </w:pPr>
            <w:r>
              <w:rPr>
                <w:rFonts w:ascii="Times New Roman" w:cs="Times New Roman" w:eastAsia="Times New Roman" w:hAnsi="Times New Roman"/>
                <w:sz w:val="22"/>
                <w:szCs w:val="22"/>
                <w:color w:val="auto"/>
              </w:rPr>
              <w:t>Certain Payments</w:t>
            </w:r>
          </w:p>
        </w:tc>
        <w:tc>
          <w:tcPr>
            <w:tcW w:w="320" w:type="dxa"/>
            <w:vAlign w:val="bottom"/>
            <w:gridSpan w:val="3"/>
          </w:tcPr>
          <w:p>
            <w:pPr>
              <w:spacing w:after="0" w:line="196" w:lineRule="exact"/>
              <w:rPr>
                <w:sz w:val="20"/>
                <w:szCs w:val="20"/>
                <w:color w:val="auto"/>
              </w:rPr>
            </w:pPr>
            <w:r>
              <w:rPr>
                <w:rFonts w:ascii="Times New Roman" w:cs="Times New Roman" w:eastAsia="Times New Roman" w:hAnsi="Times New Roman"/>
                <w:sz w:val="22"/>
                <w:szCs w:val="22"/>
                <w:color w:val="FF0000"/>
                <w:strike w:val="1"/>
                <w:w w:val="90"/>
              </w:rPr>
              <w:t>112</w:t>
            </w:r>
          </w:p>
        </w:tc>
        <w:tc>
          <w:tcPr>
            <w:tcW w:w="32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0000FF"/>
                <w:w w:val="84"/>
              </w:rPr>
              <w:t>111</w:t>
            </w:r>
          </w:p>
        </w:tc>
        <w:tc>
          <w:tcPr>
            <w:tcW w:w="5960" w:type="dxa"/>
            <w:vAlign w:val="bottom"/>
            <w:gridSpan w:val="53"/>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56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39"/>
          </w:cols>
          <w:pgMar w:left="320" w:top="1372" w:right="1440" w:bottom="1440" w:gutter="0" w:footer="0" w:header="0"/>
        </w:sectPr>
      </w:pPr>
    </w:p>
    <w:bookmarkStart w:id="65" w:name="page66"/>
    <w:bookmarkEnd w:id="65"/>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6"/>
              </w:rPr>
              <w:t>ARTICLE 13.</w:t>
            </w:r>
          </w:p>
        </w:tc>
        <w:tc>
          <w:tcPr>
            <w:tcW w:w="2130" w:type="dxa"/>
            <w:vAlign w:val="bottom"/>
            <w:gridSpan w:val="17"/>
            <w:vMerge w:val="restart"/>
          </w:tcPr>
          <w:p>
            <w:pPr>
              <w:jc w:val="right"/>
              <w:ind w:right="22"/>
              <w:spacing w:after="0"/>
              <w:rPr>
                <w:sz w:val="20"/>
                <w:szCs w:val="20"/>
                <w:color w:val="auto"/>
              </w:rPr>
            </w:pPr>
            <w:r>
              <w:rPr>
                <w:rFonts w:ascii="Times New Roman" w:cs="Times New Roman" w:eastAsia="Times New Roman" w:hAnsi="Times New Roman"/>
                <w:sz w:val="22"/>
                <w:szCs w:val="22"/>
                <w:color w:val="auto"/>
              </w:rPr>
              <w:t>MISCELLANEOUS</w:t>
            </w:r>
          </w:p>
        </w:tc>
        <w:tc>
          <w:tcPr>
            <w:tcW w:w="70" w:type="dxa"/>
            <w:vAlign w:val="bottom"/>
            <w:vMerge w:val="restart"/>
          </w:tcPr>
          <w:p>
            <w:pPr>
              <w:spacing w:after="0"/>
              <w:rPr>
                <w:sz w:val="4"/>
                <w:szCs w:val="4"/>
                <w:color w:val="auto"/>
              </w:rPr>
            </w:pPr>
          </w:p>
        </w:tc>
        <w:tc>
          <w:tcPr>
            <w:tcW w:w="340" w:type="dxa"/>
            <w:vAlign w:val="bottom"/>
            <w:gridSpan w:val="5"/>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6"/>
              </w:rPr>
              <w:t>113</w:t>
            </w:r>
          </w:p>
        </w:tc>
        <w:tc>
          <w:tcPr>
            <w:tcW w:w="32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0000FF"/>
                <w:w w:val="90"/>
              </w:rPr>
              <w:t>112</w:t>
            </w:r>
          </w:p>
        </w:tc>
        <w:tc>
          <w:tcPr>
            <w:tcW w:w="1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240" w:type="dxa"/>
            <w:vAlign w:val="bottom"/>
            <w:gridSpan w:val="2"/>
            <w:vMerge w:val="continue"/>
          </w:tcPr>
          <w:p>
            <w:pPr>
              <w:spacing w:after="0"/>
              <w:rPr>
                <w:sz w:val="17"/>
                <w:szCs w:val="17"/>
                <w:color w:val="auto"/>
              </w:rPr>
            </w:pPr>
          </w:p>
        </w:tc>
        <w:tc>
          <w:tcPr>
            <w:tcW w:w="2130" w:type="dxa"/>
            <w:vAlign w:val="bottom"/>
            <w:gridSpan w:val="17"/>
            <w:vMerge w:val="continue"/>
          </w:tcPr>
          <w:p>
            <w:pPr>
              <w:spacing w:after="0"/>
              <w:rPr>
                <w:sz w:val="17"/>
                <w:szCs w:val="17"/>
                <w:color w:val="auto"/>
              </w:rPr>
            </w:pPr>
          </w:p>
        </w:tc>
        <w:tc>
          <w:tcPr>
            <w:tcW w:w="70" w:type="dxa"/>
            <w:vAlign w:val="bottom"/>
            <w:vMerge w:val="continue"/>
          </w:tcPr>
          <w:p>
            <w:pPr>
              <w:spacing w:after="0"/>
              <w:rPr>
                <w:sz w:val="17"/>
                <w:szCs w:val="17"/>
                <w:color w:val="auto"/>
              </w:rPr>
            </w:pPr>
          </w:p>
        </w:tc>
        <w:tc>
          <w:tcPr>
            <w:tcW w:w="340" w:type="dxa"/>
            <w:vAlign w:val="bottom"/>
            <w:gridSpan w:val="5"/>
            <w:vMerge w:val="continue"/>
          </w:tcPr>
          <w:p>
            <w:pPr>
              <w:spacing w:after="0"/>
              <w:rPr>
                <w:sz w:val="17"/>
                <w:szCs w:val="17"/>
                <w:color w:val="auto"/>
              </w:rPr>
            </w:pPr>
          </w:p>
        </w:tc>
        <w:tc>
          <w:tcPr>
            <w:tcW w:w="320" w:type="dxa"/>
            <w:vAlign w:val="bottom"/>
            <w:tcBorders>
              <w:bottom w:val="single" w:sz="8" w:color="0000FF"/>
            </w:tcBorders>
            <w:gridSpan w:val="5"/>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13.1</w:t>
            </w:r>
          </w:p>
        </w:tc>
        <w:tc>
          <w:tcPr>
            <w:tcW w:w="40" w:type="dxa"/>
            <w:vAlign w:val="bottom"/>
          </w:tcPr>
          <w:p>
            <w:pPr>
              <w:spacing w:after="0"/>
              <w:rPr>
                <w:sz w:val="24"/>
                <w:szCs w:val="24"/>
                <w:color w:val="auto"/>
              </w:rPr>
            </w:pPr>
          </w:p>
        </w:tc>
        <w:tc>
          <w:tcPr>
            <w:tcW w:w="2130" w:type="dxa"/>
            <w:vAlign w:val="bottom"/>
            <w:gridSpan w:val="17"/>
          </w:tcPr>
          <w:p>
            <w:pPr>
              <w:spacing w:after="0"/>
              <w:rPr>
                <w:sz w:val="20"/>
                <w:szCs w:val="20"/>
                <w:color w:val="auto"/>
              </w:rPr>
            </w:pPr>
            <w:r>
              <w:rPr>
                <w:rFonts w:ascii="Times New Roman" w:cs="Times New Roman" w:eastAsia="Times New Roman" w:hAnsi="Times New Roman"/>
                <w:sz w:val="22"/>
                <w:szCs w:val="22"/>
                <w:color w:val="auto"/>
              </w:rPr>
              <w:t>Accounting Principles</w:t>
            </w:r>
          </w:p>
        </w:tc>
        <w:tc>
          <w:tcPr>
            <w:tcW w:w="390" w:type="dxa"/>
            <w:vAlign w:val="bottom"/>
            <w:gridSpan w:val="5"/>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113</w:t>
            </w:r>
          </w:p>
        </w:tc>
        <w:tc>
          <w:tcPr>
            <w:tcW w:w="32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0000FF"/>
                <w:w w:val="72"/>
              </w:rPr>
              <w:t>112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13.2</w:t>
            </w:r>
          </w:p>
        </w:tc>
        <w:tc>
          <w:tcPr>
            <w:tcW w:w="40" w:type="dxa"/>
            <w:vAlign w:val="bottom"/>
          </w:tcPr>
          <w:p>
            <w:pPr>
              <w:spacing w:after="0"/>
              <w:rPr>
                <w:sz w:val="17"/>
                <w:szCs w:val="17"/>
                <w:color w:val="auto"/>
              </w:rPr>
            </w:pPr>
          </w:p>
        </w:tc>
        <w:tc>
          <w:tcPr>
            <w:tcW w:w="213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22"/>
                <w:szCs w:val="22"/>
                <w:color w:val="auto"/>
              </w:rPr>
              <w:t>Consent to Jurisdiction</w:t>
            </w:r>
          </w:p>
        </w:tc>
        <w:tc>
          <w:tcPr>
            <w:tcW w:w="70" w:type="dxa"/>
            <w:vAlign w:val="bottom"/>
          </w:tcPr>
          <w:p>
            <w:pPr>
              <w:spacing w:after="0"/>
              <w:rPr>
                <w:sz w:val="17"/>
                <w:szCs w:val="17"/>
                <w:color w:val="auto"/>
              </w:rPr>
            </w:pPr>
          </w:p>
        </w:tc>
        <w:tc>
          <w:tcPr>
            <w:tcW w:w="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72"/>
              </w:rPr>
              <w:t>113</w:t>
            </w: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9"/>
                <w:szCs w:val="19"/>
                <w:color w:val="0000FF"/>
                <w:w w:val="77"/>
              </w:rPr>
              <w:t>112</w:t>
            </w:r>
          </w:p>
        </w:tc>
        <w:tc>
          <w:tcPr>
            <w:tcW w:w="6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13.3</w:t>
            </w:r>
          </w:p>
        </w:tc>
        <w:tc>
          <w:tcPr>
            <w:tcW w:w="40" w:type="dxa"/>
            <w:vAlign w:val="bottom"/>
          </w:tcPr>
          <w:p>
            <w:pPr>
              <w:spacing w:after="0"/>
              <w:rPr>
                <w:sz w:val="17"/>
                <w:szCs w:val="17"/>
                <w:color w:val="auto"/>
              </w:rPr>
            </w:pPr>
          </w:p>
        </w:tc>
        <w:tc>
          <w:tcPr>
            <w:tcW w:w="11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22"/>
                <w:szCs w:val="22"/>
                <w:color w:val="auto"/>
                <w:w w:val="94"/>
              </w:rPr>
              <w:t>Law of Texas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113</w:t>
            </w:r>
          </w:p>
        </w:tc>
        <w:tc>
          <w:tcPr>
            <w:tcW w:w="340" w:type="dxa"/>
            <w:vAlign w:val="bottom"/>
            <w:gridSpan w:val="6"/>
          </w:tcPr>
          <w:p>
            <w:pPr>
              <w:jc w:val="right"/>
              <w:ind w:right="20"/>
              <w:spacing w:after="0" w:line="196" w:lineRule="exact"/>
              <w:rPr>
                <w:sz w:val="20"/>
                <w:szCs w:val="20"/>
                <w:color w:val="auto"/>
              </w:rPr>
            </w:pPr>
            <w:r>
              <w:rPr>
                <w:rFonts w:ascii="Times New Roman" w:cs="Times New Roman" w:eastAsia="Times New Roman" w:hAnsi="Times New Roman"/>
                <w:sz w:val="22"/>
                <w:szCs w:val="22"/>
                <w:color w:val="0000FF"/>
                <w:w w:val="90"/>
              </w:rPr>
              <w:t>112</w:t>
            </w: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13.4</w:t>
            </w:r>
          </w:p>
        </w:tc>
        <w:tc>
          <w:tcPr>
            <w:tcW w:w="9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line="196" w:lineRule="exact"/>
              <w:rPr>
                <w:sz w:val="20"/>
                <w:szCs w:val="20"/>
                <w:color w:val="auto"/>
              </w:rPr>
            </w:pPr>
            <w:r>
              <w:rPr>
                <w:rFonts w:ascii="Times New Roman" w:cs="Times New Roman" w:eastAsia="Times New Roman" w:hAnsi="Times New Roman"/>
                <w:sz w:val="22"/>
                <w:szCs w:val="22"/>
                <w:color w:val="FF0000"/>
                <w:strike w:val="1"/>
                <w:w w:val="84"/>
              </w:rPr>
              <w:t>114</w:t>
            </w:r>
          </w:p>
        </w:tc>
        <w:tc>
          <w:tcPr>
            <w:tcW w:w="540" w:type="dxa"/>
            <w:vAlign w:val="bottom"/>
            <w:gridSpan w:val="8"/>
          </w:tcPr>
          <w:p>
            <w:pPr>
              <w:jc w:val="right"/>
              <w:ind w:right="112"/>
              <w:spacing w:after="0" w:line="196" w:lineRule="exact"/>
              <w:rPr>
                <w:sz w:val="20"/>
                <w:szCs w:val="20"/>
                <w:color w:val="auto"/>
              </w:rPr>
            </w:pPr>
            <w:r>
              <w:rPr>
                <w:rFonts w:ascii="Times New Roman" w:cs="Times New Roman" w:eastAsia="Times New Roman" w:hAnsi="Times New Roman"/>
                <w:sz w:val="22"/>
                <w:szCs w:val="22"/>
                <w:color w:val="0000FF"/>
                <w:w w:val="90"/>
              </w:rPr>
              <w:t>113</w:t>
            </w:r>
          </w:p>
        </w:tc>
        <w:tc>
          <w:tcPr>
            <w:tcW w:w="320" w:type="dxa"/>
            <w:vAlign w:val="bottom"/>
            <w:tcBorders>
              <w:top w:val="single" w:sz="8" w:color="0000FF"/>
            </w:tcBorders>
            <w:gridSpan w:val="5"/>
          </w:tcPr>
          <w:p>
            <w:pPr>
              <w:spacing w:after="0"/>
              <w:rPr>
                <w:sz w:val="17"/>
                <w:szCs w:val="17"/>
                <w:color w:val="auto"/>
              </w:rPr>
            </w:pPr>
          </w:p>
        </w:tc>
        <w:tc>
          <w:tcPr>
            <w:tcW w:w="5400" w:type="dxa"/>
            <w:vAlign w:val="bottom"/>
            <w:gridSpan w:val="4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13.5</w:t>
            </w:r>
          </w:p>
        </w:tc>
        <w:tc>
          <w:tcPr>
            <w:tcW w:w="40" w:type="dxa"/>
            <w:vAlign w:val="bottom"/>
          </w:tcPr>
          <w:p>
            <w:pPr>
              <w:spacing w:after="0"/>
              <w:rPr>
                <w:sz w:val="17"/>
                <w:szCs w:val="17"/>
                <w:color w:val="auto"/>
              </w:rPr>
            </w:pPr>
          </w:p>
        </w:tc>
        <w:tc>
          <w:tcPr>
            <w:tcW w:w="11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22"/>
                <w:szCs w:val="22"/>
                <w:color w:val="auto"/>
                <w:w w:val="92"/>
              </w:rPr>
              <w:t>Closing Costs</w:t>
            </w: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w w:val="87"/>
              </w:rPr>
              <w:t>and</w:t>
            </w:r>
          </w:p>
        </w:tc>
        <w:tc>
          <w:tcPr>
            <w:tcW w:w="20" w:type="dxa"/>
            <w:vAlign w:val="bottom"/>
          </w:tcPr>
          <w:p>
            <w:pPr>
              <w:spacing w:after="0"/>
              <w:rPr>
                <w:sz w:val="17"/>
                <w:szCs w:val="17"/>
                <w:color w:val="auto"/>
              </w:rPr>
            </w:pPr>
          </w:p>
        </w:tc>
        <w:tc>
          <w:tcPr>
            <w:tcW w:w="2860" w:type="dxa"/>
            <w:vAlign w:val="bottom"/>
            <w:gridSpan w:val="37"/>
          </w:tcPr>
          <w:p>
            <w:pPr>
              <w:jc w:val="center"/>
              <w:ind w:right="100"/>
              <w:spacing w:after="0" w:line="196" w:lineRule="exact"/>
              <w:rPr>
                <w:sz w:val="20"/>
                <w:szCs w:val="20"/>
                <w:color w:val="auto"/>
              </w:rPr>
            </w:pPr>
            <w:r>
              <w:rPr>
                <w:rFonts w:ascii="Times New Roman" w:cs="Times New Roman" w:eastAsia="Times New Roman" w:hAnsi="Times New Roman"/>
                <w:sz w:val="22"/>
                <w:szCs w:val="22"/>
                <w:color w:val="auto"/>
                <w:w w:val="98"/>
              </w:rPr>
              <w:t>Other Costs; Indemnification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84"/>
              </w:rPr>
              <w:t>114</w:t>
            </w:r>
          </w:p>
        </w:tc>
        <w:tc>
          <w:tcPr>
            <w:tcW w:w="3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22"/>
                <w:szCs w:val="22"/>
                <w:color w:val="0000FF"/>
                <w:w w:val="90"/>
              </w:rPr>
              <w:t>113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13.6</w:t>
            </w:r>
          </w:p>
        </w:tc>
        <w:tc>
          <w:tcPr>
            <w:tcW w:w="9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22"/>
                <w:szCs w:val="22"/>
                <w:color w:val="auto"/>
              </w:rPr>
              <w:t>Notices</w:t>
            </w: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22"/>
                <w:szCs w:val="22"/>
                <w:color w:val="FF0000"/>
                <w:strike w:val="1"/>
                <w:w w:val="90"/>
              </w:rPr>
              <w:t>117</w:t>
            </w:r>
          </w:p>
        </w:tc>
        <w:tc>
          <w:tcPr>
            <w:tcW w:w="32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116</w:t>
            </w:r>
          </w:p>
        </w:tc>
        <w:tc>
          <w:tcPr>
            <w:tcW w:w="3160" w:type="dxa"/>
            <w:vAlign w:val="bottom"/>
            <w:gridSpan w:val="38"/>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13.7</w:t>
            </w:r>
          </w:p>
        </w:tc>
        <w:tc>
          <w:tcPr>
            <w:tcW w:w="40" w:type="dxa"/>
            <w:vAlign w:val="bottom"/>
          </w:tcPr>
          <w:p>
            <w:pPr>
              <w:spacing w:after="0"/>
              <w:rPr>
                <w:sz w:val="17"/>
                <w:szCs w:val="17"/>
                <w:color w:val="auto"/>
              </w:rPr>
            </w:pPr>
          </w:p>
        </w:tc>
        <w:tc>
          <w:tcPr>
            <w:tcW w:w="152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22"/>
                <w:szCs w:val="22"/>
                <w:color w:val="auto"/>
              </w:rPr>
              <w:t>Successors and</w:t>
            </w:r>
          </w:p>
        </w:tc>
        <w:tc>
          <w:tcPr>
            <w:tcW w:w="3160" w:type="dxa"/>
            <w:vAlign w:val="bottom"/>
            <w:gridSpan w:val="38"/>
          </w:tcPr>
          <w:p>
            <w:pPr>
              <w:jc w:val="right"/>
              <w:spacing w:after="0" w:line="196" w:lineRule="exact"/>
              <w:rPr>
                <w:sz w:val="20"/>
                <w:szCs w:val="20"/>
                <w:color w:val="auto"/>
              </w:rPr>
            </w:pPr>
            <w:r>
              <w:rPr>
                <w:rFonts w:ascii="Times New Roman" w:cs="Times New Roman" w:eastAsia="Times New Roman" w:hAnsi="Times New Roman"/>
                <w:sz w:val="22"/>
                <w:szCs w:val="22"/>
                <w:color w:val="auto"/>
                <w:w w:val="93"/>
              </w:rPr>
              <w:t>Assigns; Participations; Assignments</w:t>
            </w:r>
          </w:p>
        </w:tc>
        <w:tc>
          <w:tcPr>
            <w:tcW w:w="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118</w:t>
            </w:r>
          </w:p>
        </w:tc>
        <w:tc>
          <w:tcPr>
            <w:tcW w:w="32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13.8</w:t>
            </w:r>
          </w:p>
        </w:tc>
        <w:tc>
          <w:tcPr>
            <w:tcW w:w="1380" w:type="dxa"/>
            <w:vAlign w:val="bottom"/>
            <w:gridSpan w:val="5"/>
          </w:tcPr>
          <w:p>
            <w:pPr>
              <w:ind w:left="60"/>
              <w:spacing w:after="0" w:line="196" w:lineRule="exact"/>
              <w:rPr>
                <w:sz w:val="20"/>
                <w:szCs w:val="20"/>
                <w:color w:val="auto"/>
              </w:rPr>
            </w:pPr>
            <w:r>
              <w:rPr>
                <w:rFonts w:ascii="Times New Roman" w:cs="Times New Roman" w:eastAsia="Times New Roman" w:hAnsi="Times New Roman"/>
                <w:sz w:val="22"/>
                <w:szCs w:val="22"/>
                <w:color w:val="auto"/>
              </w:rPr>
              <w:t>Counterparts</w:t>
            </w:r>
          </w:p>
        </w:tc>
        <w:tc>
          <w:tcPr>
            <w:tcW w:w="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122</w:t>
            </w:r>
          </w:p>
        </w:tc>
        <w:tc>
          <w:tcPr>
            <w:tcW w:w="320" w:type="dxa"/>
            <w:vAlign w:val="bottom"/>
            <w:tcBorders>
              <w:bottom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121</w:t>
            </w:r>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13.9</w:t>
            </w:r>
          </w:p>
        </w:tc>
        <w:tc>
          <w:tcPr>
            <w:tcW w:w="40" w:type="dxa"/>
            <w:vAlign w:val="bottom"/>
          </w:tcPr>
          <w:p>
            <w:pPr>
              <w:spacing w:after="0"/>
              <w:rPr>
                <w:sz w:val="17"/>
                <w:szCs w:val="17"/>
                <w:color w:val="auto"/>
              </w:rPr>
            </w:pPr>
          </w:p>
        </w:tc>
        <w:tc>
          <w:tcPr>
            <w:tcW w:w="1980" w:type="dxa"/>
            <w:vAlign w:val="bottom"/>
            <w:gridSpan w:val="13"/>
          </w:tcPr>
          <w:p>
            <w:pPr>
              <w:spacing w:after="0" w:line="196" w:lineRule="exact"/>
              <w:rPr>
                <w:sz w:val="20"/>
                <w:szCs w:val="20"/>
                <w:color w:val="auto"/>
              </w:rPr>
            </w:pPr>
            <w:r>
              <w:rPr>
                <w:rFonts w:ascii="Times New Roman" w:cs="Times New Roman" w:eastAsia="Times New Roman" w:hAnsi="Times New Roman"/>
                <w:sz w:val="22"/>
                <w:szCs w:val="22"/>
                <w:color w:val="auto"/>
                <w:w w:val="90"/>
              </w:rPr>
              <w:t>Amendment and Waiver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123</w:t>
            </w:r>
          </w:p>
        </w:tc>
        <w:tc>
          <w:tcPr>
            <w:tcW w:w="340" w:type="dxa"/>
            <w:vAlign w:val="bottom"/>
            <w:gridSpan w:val="6"/>
          </w:tcPr>
          <w:p>
            <w:pPr>
              <w:jc w:val="right"/>
              <w:ind w:right="20"/>
              <w:spacing w:after="0" w:line="196" w:lineRule="exact"/>
              <w:rPr>
                <w:sz w:val="20"/>
                <w:szCs w:val="20"/>
                <w:color w:val="auto"/>
              </w:rPr>
            </w:pPr>
            <w:r>
              <w:rPr>
                <w:rFonts w:ascii="Times New Roman" w:cs="Times New Roman" w:eastAsia="Times New Roman" w:hAnsi="Times New Roman"/>
                <w:sz w:val="22"/>
                <w:szCs w:val="22"/>
                <w:color w:val="0000FF"/>
                <w:w w:val="90"/>
              </w:rPr>
              <w:t>122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13.10</w:t>
            </w:r>
          </w:p>
        </w:tc>
        <w:tc>
          <w:tcPr>
            <w:tcW w:w="1580" w:type="dxa"/>
            <w:vAlign w:val="bottom"/>
            <w:gridSpan w:val="7"/>
          </w:tcPr>
          <w:p>
            <w:pPr>
              <w:ind w:left="120"/>
              <w:spacing w:after="0" w:line="196" w:lineRule="exact"/>
              <w:rPr>
                <w:sz w:val="20"/>
                <w:szCs w:val="20"/>
                <w:color w:val="auto"/>
              </w:rPr>
            </w:pPr>
            <w:r>
              <w:rPr>
                <w:rFonts w:ascii="Times New Roman" w:cs="Times New Roman" w:eastAsia="Times New Roman" w:hAnsi="Times New Roman"/>
                <w:sz w:val="22"/>
                <w:szCs w:val="22"/>
                <w:color w:val="auto"/>
              </w:rPr>
              <w:t>Confidentiality</w:t>
            </w:r>
          </w:p>
        </w:tc>
        <w:tc>
          <w:tcPr>
            <w:tcW w:w="3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125</w:t>
            </w:r>
          </w:p>
        </w:tc>
        <w:tc>
          <w:tcPr>
            <w:tcW w:w="320" w:type="dxa"/>
            <w:vAlign w:val="bottom"/>
            <w:tcBorders>
              <w:bottom w:val="single" w:sz="8" w:color="0000FF"/>
            </w:tcBorders>
            <w:gridSpan w:val="7"/>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Pr>
          <w:p>
            <w:pPr>
              <w:ind w:left="660"/>
              <w:spacing w:after="0" w:line="196" w:lineRule="exact"/>
              <w:rPr>
                <w:sz w:val="20"/>
                <w:szCs w:val="20"/>
                <w:color w:val="auto"/>
              </w:rPr>
            </w:pPr>
            <w:r>
              <w:rPr>
                <w:rFonts w:ascii="Times New Roman" w:cs="Times New Roman" w:eastAsia="Times New Roman" w:hAnsi="Times New Roman"/>
                <w:sz w:val="22"/>
                <w:szCs w:val="22"/>
                <w:color w:val="auto"/>
              </w:rPr>
              <w:t>13.11</w:t>
            </w:r>
          </w:p>
        </w:tc>
        <w:tc>
          <w:tcPr>
            <w:tcW w:w="40" w:type="dxa"/>
            <w:vAlign w:val="bottom"/>
          </w:tcPr>
          <w:p>
            <w:pPr>
              <w:spacing w:after="0"/>
              <w:rPr>
                <w:sz w:val="17"/>
                <w:szCs w:val="17"/>
                <w:color w:val="auto"/>
              </w:rPr>
            </w:pPr>
          </w:p>
        </w:tc>
        <w:tc>
          <w:tcPr>
            <w:tcW w:w="2280" w:type="dxa"/>
            <w:vAlign w:val="bottom"/>
            <w:gridSpan w:val="19"/>
          </w:tcPr>
          <w:p>
            <w:pPr>
              <w:ind w:left="120"/>
              <w:spacing w:after="0" w:line="196" w:lineRule="exact"/>
              <w:rPr>
                <w:sz w:val="20"/>
                <w:szCs w:val="20"/>
                <w:color w:val="auto"/>
              </w:rPr>
            </w:pPr>
            <w:r>
              <w:rPr>
                <w:rFonts w:ascii="Times New Roman" w:cs="Times New Roman" w:eastAsia="Times New Roman" w:hAnsi="Times New Roman"/>
                <w:sz w:val="22"/>
                <w:szCs w:val="22"/>
                <w:color w:val="auto"/>
                <w:w w:val="99"/>
              </w:rPr>
              <w:t>Substitution or Removal</w:t>
            </w:r>
          </w:p>
        </w:tc>
        <w:tc>
          <w:tcPr>
            <w:tcW w:w="1140" w:type="dxa"/>
            <w:vAlign w:val="bottom"/>
            <w:gridSpan w:val="16"/>
          </w:tcPr>
          <w:p>
            <w:pPr>
              <w:jc w:val="right"/>
              <w:ind w:right="112"/>
              <w:spacing w:after="0" w:line="196" w:lineRule="exact"/>
              <w:rPr>
                <w:sz w:val="20"/>
                <w:szCs w:val="20"/>
                <w:color w:val="auto"/>
              </w:rPr>
            </w:pPr>
            <w:r>
              <w:rPr>
                <w:rFonts w:ascii="Times New Roman" w:cs="Times New Roman" w:eastAsia="Times New Roman" w:hAnsi="Times New Roman"/>
                <w:sz w:val="22"/>
                <w:szCs w:val="22"/>
                <w:color w:val="auto"/>
                <w:w w:val="94"/>
              </w:rPr>
              <w:t>of Lenders</w:t>
            </w:r>
          </w:p>
        </w:tc>
        <w:tc>
          <w:tcPr>
            <w:tcW w:w="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126</w:t>
            </w:r>
          </w:p>
        </w:tc>
        <w:tc>
          <w:tcPr>
            <w:tcW w:w="32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125</w:t>
            </w:r>
          </w:p>
        </w:tc>
        <w:tc>
          <w:tcPr>
            <w:tcW w:w="3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13.12</w:t>
            </w:r>
          </w:p>
        </w:tc>
        <w:tc>
          <w:tcPr>
            <w:tcW w:w="264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22"/>
                <w:szCs w:val="22"/>
                <w:color w:val="auto"/>
                <w:w w:val="99"/>
              </w:rPr>
              <w:t>WAIVER OF JURY TRIAL</w:t>
            </w:r>
          </w:p>
        </w:tc>
        <w:tc>
          <w:tcPr>
            <w:tcW w:w="80" w:type="dxa"/>
            <w:vAlign w:val="bottom"/>
          </w:tcPr>
          <w:p>
            <w:pPr>
              <w:spacing w:after="0"/>
              <w:rPr>
                <w:sz w:val="17"/>
                <w:szCs w:val="17"/>
                <w:color w:val="auto"/>
              </w:rPr>
            </w:pPr>
          </w:p>
        </w:tc>
        <w:tc>
          <w:tcPr>
            <w:tcW w:w="360" w:type="dxa"/>
            <w:vAlign w:val="bottom"/>
            <w:gridSpan w:val="7"/>
          </w:tcPr>
          <w:p>
            <w:pPr>
              <w:jc w:val="center"/>
              <w:spacing w:after="0" w:line="196" w:lineRule="exact"/>
              <w:rPr>
                <w:sz w:val="20"/>
                <w:szCs w:val="20"/>
                <w:color w:val="auto"/>
              </w:rPr>
            </w:pPr>
            <w:r>
              <w:rPr>
                <w:rFonts w:ascii="Times New Roman" w:cs="Times New Roman" w:eastAsia="Times New Roman" w:hAnsi="Times New Roman"/>
                <w:sz w:val="22"/>
                <w:szCs w:val="22"/>
                <w:color w:val="FF0000"/>
                <w:strike w:val="1"/>
                <w:w w:val="96"/>
              </w:rPr>
              <w:t>127</w:t>
            </w:r>
          </w:p>
        </w:tc>
        <w:tc>
          <w:tcPr>
            <w:tcW w:w="34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6"/>
              </w:rPr>
              <w:t>126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13.13</w:t>
            </w:r>
          </w:p>
        </w:tc>
        <w:tc>
          <w:tcPr>
            <w:tcW w:w="2320" w:type="dxa"/>
            <w:vAlign w:val="bottom"/>
            <w:gridSpan w:val="20"/>
          </w:tcPr>
          <w:p>
            <w:pPr>
              <w:ind w:left="120"/>
              <w:spacing w:after="0" w:line="196" w:lineRule="exact"/>
              <w:rPr>
                <w:sz w:val="20"/>
                <w:szCs w:val="20"/>
                <w:color w:val="auto"/>
              </w:rPr>
            </w:pPr>
            <w:r>
              <w:rPr>
                <w:rFonts w:ascii="Times New Roman" w:cs="Times New Roman" w:eastAsia="Times New Roman" w:hAnsi="Times New Roman"/>
                <w:sz w:val="22"/>
                <w:szCs w:val="22"/>
                <w:color w:val="auto"/>
              </w:rPr>
              <w:t>USA Patriot Act Notice</w:t>
            </w:r>
          </w:p>
        </w:tc>
        <w:tc>
          <w:tcPr>
            <w:tcW w:w="6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6"/>
              </w:rPr>
              <w:t>128</w:t>
            </w:r>
          </w:p>
        </w:tc>
        <w:tc>
          <w:tcPr>
            <w:tcW w:w="320" w:type="dxa"/>
            <w:vAlign w:val="bottom"/>
            <w:tcBorders>
              <w:bottom w:val="single" w:sz="8" w:color="0000FF"/>
            </w:tcBorders>
            <w:gridSpan w:val="6"/>
          </w:tcPr>
          <w:p>
            <w:pPr>
              <w:jc w:val="center"/>
              <w:spacing w:after="0" w:line="196" w:lineRule="exact"/>
              <w:rPr>
                <w:sz w:val="20"/>
                <w:szCs w:val="20"/>
                <w:color w:val="auto"/>
              </w:rPr>
            </w:pPr>
            <w:r>
              <w:rPr>
                <w:rFonts w:ascii="Times New Roman" w:cs="Times New Roman" w:eastAsia="Times New Roman" w:hAnsi="Times New Roman"/>
                <w:sz w:val="22"/>
                <w:szCs w:val="22"/>
                <w:color w:val="0000FF"/>
                <w:w w:val="96"/>
              </w:rPr>
              <w:t>127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13.14</w:t>
            </w:r>
          </w:p>
        </w:tc>
        <w:tc>
          <w:tcPr>
            <w:tcW w:w="2720" w:type="dxa"/>
            <w:vAlign w:val="bottom"/>
            <w:gridSpan w:val="25"/>
          </w:tcPr>
          <w:p>
            <w:pPr>
              <w:ind w:left="120"/>
              <w:spacing w:after="0" w:line="196" w:lineRule="exact"/>
              <w:rPr>
                <w:sz w:val="20"/>
                <w:szCs w:val="20"/>
                <w:color w:val="auto"/>
              </w:rPr>
            </w:pPr>
            <w:r>
              <w:rPr>
                <w:rFonts w:ascii="Times New Roman" w:cs="Times New Roman" w:eastAsia="Times New Roman" w:hAnsi="Times New Roman"/>
                <w:sz w:val="22"/>
                <w:szCs w:val="22"/>
                <w:color w:val="auto"/>
                <w:w w:val="91"/>
              </w:rPr>
              <w:t>Complete Agreement; Conflicts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6"/>
              </w:rPr>
              <w:t>128</w:t>
            </w:r>
          </w:p>
        </w:tc>
        <w:tc>
          <w:tcPr>
            <w:tcW w:w="320" w:type="dxa"/>
            <w:vAlign w:val="bottom"/>
            <w:tcBorders>
              <w:bottom w:val="single" w:sz="8" w:color="0000FF"/>
            </w:tcBorders>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13.15</w:t>
            </w:r>
          </w:p>
        </w:tc>
        <w:tc>
          <w:tcPr>
            <w:tcW w:w="11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22"/>
                <w:szCs w:val="22"/>
                <w:color w:val="auto"/>
                <w:w w:val="97"/>
              </w:rPr>
              <w:t>Severability</w:t>
            </w:r>
          </w:p>
        </w:tc>
        <w:tc>
          <w:tcPr>
            <w:tcW w:w="160" w:type="dxa"/>
            <w:vAlign w:val="bottom"/>
            <w:gridSpan w:val="2"/>
          </w:tcPr>
          <w:p>
            <w:pPr>
              <w:spacing w:after="0"/>
              <w:rPr>
                <w:sz w:val="17"/>
                <w:szCs w:val="17"/>
                <w:color w:val="auto"/>
              </w:rPr>
            </w:pPr>
          </w:p>
        </w:tc>
        <w:tc>
          <w:tcPr>
            <w:tcW w:w="3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128</w:t>
            </w:r>
          </w:p>
        </w:tc>
        <w:tc>
          <w:tcPr>
            <w:tcW w:w="340" w:type="dxa"/>
            <w:vAlign w:val="bottom"/>
            <w:gridSpan w:val="6"/>
          </w:tcPr>
          <w:p>
            <w:pPr>
              <w:jc w:val="right"/>
              <w:ind w:right="20"/>
              <w:spacing w:after="0" w:line="196" w:lineRule="exact"/>
              <w:rPr>
                <w:sz w:val="20"/>
                <w:szCs w:val="20"/>
                <w:color w:val="auto"/>
              </w:rPr>
            </w:pPr>
            <w:r>
              <w:rPr>
                <w:rFonts w:ascii="Times New Roman" w:cs="Times New Roman" w:eastAsia="Times New Roman" w:hAnsi="Times New Roman"/>
                <w:sz w:val="22"/>
                <w:szCs w:val="22"/>
                <w:color w:val="0000FF"/>
                <w:w w:val="90"/>
              </w:rPr>
              <w:t>127</w:t>
            </w:r>
          </w:p>
        </w:tc>
        <w:tc>
          <w:tcPr>
            <w:tcW w:w="2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13.16</w:t>
            </w:r>
          </w:p>
        </w:tc>
        <w:tc>
          <w:tcPr>
            <w:tcW w:w="1700" w:type="dxa"/>
            <w:vAlign w:val="bottom"/>
            <w:gridSpan w:val="9"/>
          </w:tcPr>
          <w:p>
            <w:pPr>
              <w:ind w:left="120"/>
              <w:spacing w:after="0" w:line="196" w:lineRule="exact"/>
              <w:rPr>
                <w:sz w:val="20"/>
                <w:szCs w:val="20"/>
                <w:color w:val="auto"/>
              </w:rPr>
            </w:pPr>
            <w:r>
              <w:rPr>
                <w:rFonts w:ascii="Times New Roman" w:cs="Times New Roman" w:eastAsia="Times New Roman" w:hAnsi="Times New Roman"/>
                <w:sz w:val="22"/>
                <w:szCs w:val="22"/>
                <w:color w:val="auto"/>
                <w:w w:val="98"/>
              </w:rPr>
              <w:t>Table of Contents</w:t>
            </w:r>
          </w:p>
        </w:tc>
        <w:tc>
          <w:tcPr>
            <w:tcW w:w="320" w:type="dxa"/>
            <w:vAlign w:val="bottom"/>
            <w:tcBorders>
              <w:top w:val="single" w:sz="8" w:color="0000FF"/>
            </w:tcBorders>
            <w:gridSpan w:val="5"/>
          </w:tcPr>
          <w:p>
            <w:pPr>
              <w:jc w:val="right"/>
              <w:spacing w:after="0" w:line="196" w:lineRule="exact"/>
              <w:rPr>
                <w:sz w:val="20"/>
                <w:szCs w:val="20"/>
                <w:color w:val="auto"/>
              </w:rPr>
            </w:pPr>
            <w:r>
              <w:rPr>
                <w:rFonts w:ascii="Times New Roman" w:cs="Times New Roman" w:eastAsia="Times New Roman" w:hAnsi="Times New Roman"/>
                <w:sz w:val="22"/>
                <w:szCs w:val="22"/>
                <w:color w:val="auto"/>
                <w:w w:val="94"/>
              </w:rPr>
              <w:t>and</w:t>
            </w:r>
          </w:p>
        </w:tc>
        <w:tc>
          <w:tcPr>
            <w:tcW w:w="40" w:type="dxa"/>
            <w:vAlign w:val="bottom"/>
            <w:gridSpan w:val="2"/>
          </w:tcPr>
          <w:p>
            <w:pPr>
              <w:spacing w:after="0"/>
              <w:rPr>
                <w:sz w:val="17"/>
                <w:szCs w:val="17"/>
                <w:color w:val="auto"/>
              </w:rPr>
            </w:pPr>
          </w:p>
        </w:tc>
        <w:tc>
          <w:tcPr>
            <w:tcW w:w="2620" w:type="dxa"/>
            <w:vAlign w:val="bottom"/>
            <w:gridSpan w:val="28"/>
          </w:tcPr>
          <w:p>
            <w:pPr>
              <w:spacing w:after="0" w:line="196" w:lineRule="exact"/>
              <w:rPr>
                <w:sz w:val="20"/>
                <w:szCs w:val="20"/>
                <w:color w:val="auto"/>
              </w:rPr>
            </w:pPr>
            <w:r>
              <w:rPr>
                <w:rFonts w:ascii="Times New Roman" w:cs="Times New Roman" w:eastAsia="Times New Roman" w:hAnsi="Times New Roman"/>
                <w:sz w:val="22"/>
                <w:szCs w:val="22"/>
                <w:color w:val="auto"/>
                <w:w w:val="98"/>
              </w:rPr>
              <w:t>Headings; Section References</w:t>
            </w:r>
          </w:p>
        </w:tc>
        <w:tc>
          <w:tcPr>
            <w:tcW w:w="5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128</w:t>
            </w:r>
          </w:p>
        </w:tc>
        <w:tc>
          <w:tcPr>
            <w:tcW w:w="560" w:type="dxa"/>
            <w:vAlign w:val="bottom"/>
            <w:gridSpan w:val="4"/>
          </w:tcPr>
          <w:p>
            <w:pPr>
              <w:jc w:val="right"/>
              <w:ind w:right="240"/>
              <w:spacing w:after="0" w:line="196" w:lineRule="exact"/>
              <w:rPr>
                <w:sz w:val="20"/>
                <w:szCs w:val="20"/>
                <w:color w:val="auto"/>
              </w:rPr>
            </w:pPr>
            <w:r>
              <w:rPr>
                <w:rFonts w:ascii="Times New Roman" w:cs="Times New Roman" w:eastAsia="Times New Roman" w:hAnsi="Times New Roman"/>
                <w:sz w:val="22"/>
                <w:szCs w:val="22"/>
                <w:color w:val="0000FF"/>
                <w:w w:val="90"/>
              </w:rPr>
              <w:t>127</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13.17</w:t>
            </w:r>
          </w:p>
        </w:tc>
        <w:tc>
          <w:tcPr>
            <w:tcW w:w="2320" w:type="dxa"/>
            <w:vAlign w:val="bottom"/>
            <w:gridSpan w:val="20"/>
          </w:tcPr>
          <w:p>
            <w:pPr>
              <w:ind w:left="120"/>
              <w:spacing w:after="0" w:line="196" w:lineRule="exact"/>
              <w:rPr>
                <w:sz w:val="20"/>
                <w:szCs w:val="20"/>
                <w:color w:val="auto"/>
              </w:rPr>
            </w:pPr>
            <w:r>
              <w:rPr>
                <w:rFonts w:ascii="Times New Roman" w:cs="Times New Roman" w:eastAsia="Times New Roman" w:hAnsi="Times New Roman"/>
                <w:sz w:val="22"/>
                <w:szCs w:val="22"/>
                <w:color w:val="auto"/>
                <w:w w:val="97"/>
              </w:rPr>
              <w:t>Electronic Transmissions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128</w:t>
            </w:r>
          </w:p>
        </w:tc>
        <w:tc>
          <w:tcPr>
            <w:tcW w:w="320" w:type="dxa"/>
            <w:vAlign w:val="bottom"/>
            <w:tcBorders>
              <w:bottom w:val="single" w:sz="8" w:color="0000FF"/>
            </w:tcBorders>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13.18</w:t>
            </w:r>
          </w:p>
        </w:tc>
        <w:tc>
          <w:tcPr>
            <w:tcW w:w="3720" w:type="dxa"/>
            <w:vAlign w:val="bottom"/>
            <w:gridSpan w:val="37"/>
          </w:tcPr>
          <w:p>
            <w:pPr>
              <w:ind w:left="120"/>
              <w:spacing w:after="0" w:line="196" w:lineRule="exact"/>
              <w:rPr>
                <w:sz w:val="20"/>
                <w:szCs w:val="20"/>
                <w:color w:val="auto"/>
              </w:rPr>
            </w:pPr>
            <w:r>
              <w:rPr>
                <w:rFonts w:ascii="Times New Roman" w:cs="Times New Roman" w:eastAsia="Times New Roman" w:hAnsi="Times New Roman"/>
                <w:sz w:val="22"/>
                <w:szCs w:val="22"/>
                <w:color w:val="auto"/>
              </w:rPr>
              <w:t>Reliance on and Survival of Provisions</w:t>
            </w:r>
          </w:p>
        </w:tc>
        <w:tc>
          <w:tcPr>
            <w:tcW w:w="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129</w:t>
            </w:r>
          </w:p>
        </w:tc>
        <w:tc>
          <w:tcPr>
            <w:tcW w:w="32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128</w:t>
            </w:r>
          </w:p>
        </w:tc>
        <w:tc>
          <w:tcPr>
            <w:tcW w:w="3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13.19</w:t>
            </w:r>
          </w:p>
        </w:tc>
        <w:tc>
          <w:tcPr>
            <w:tcW w:w="4040" w:type="dxa"/>
            <w:vAlign w:val="bottom"/>
            <w:gridSpan w:val="40"/>
          </w:tcPr>
          <w:p>
            <w:pPr>
              <w:ind w:left="120"/>
              <w:spacing w:after="0" w:line="196" w:lineRule="exact"/>
              <w:rPr>
                <w:sz w:val="20"/>
                <w:szCs w:val="20"/>
                <w:color w:val="auto"/>
              </w:rPr>
            </w:pPr>
            <w:r>
              <w:rPr>
                <w:rFonts w:ascii="Times New Roman" w:cs="Times New Roman" w:eastAsia="Times New Roman" w:hAnsi="Times New Roman"/>
                <w:sz w:val="22"/>
                <w:szCs w:val="22"/>
                <w:color w:val="auto"/>
                <w:w w:val="98"/>
              </w:rPr>
              <w:t>Concerning Lender Hedging Obligations and</w:t>
            </w:r>
          </w:p>
        </w:tc>
        <w:tc>
          <w:tcPr>
            <w:tcW w:w="2640" w:type="dxa"/>
            <w:vAlign w:val="bottom"/>
            <w:gridSpan w:val="15"/>
          </w:tcPr>
          <w:p>
            <w:pPr>
              <w:jc w:val="center"/>
              <w:ind w:right="160"/>
              <w:spacing w:after="0" w:line="196" w:lineRule="exact"/>
              <w:rPr>
                <w:sz w:val="20"/>
                <w:szCs w:val="20"/>
                <w:color w:val="auto"/>
              </w:rPr>
            </w:pPr>
            <w:r>
              <w:rPr>
                <w:rFonts w:ascii="Times New Roman" w:cs="Times New Roman" w:eastAsia="Times New Roman" w:hAnsi="Times New Roman"/>
                <w:sz w:val="22"/>
                <w:szCs w:val="22"/>
                <w:color w:val="auto"/>
                <w:w w:val="98"/>
              </w:rPr>
              <w:t>Lender Product Obligations</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6"/>
              </w:rPr>
              <w:t>129</w:t>
            </w:r>
          </w:p>
        </w:tc>
        <w:tc>
          <w:tcPr>
            <w:tcW w:w="42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22"/>
                <w:szCs w:val="22"/>
                <w:color w:val="0000FF"/>
                <w:w w:val="90"/>
              </w:rPr>
              <w:t>128</w:t>
            </w: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13.20</w:t>
            </w:r>
          </w:p>
        </w:tc>
        <w:tc>
          <w:tcPr>
            <w:tcW w:w="3080" w:type="dxa"/>
            <w:vAlign w:val="bottom"/>
            <w:gridSpan w:val="32"/>
          </w:tcPr>
          <w:p>
            <w:pPr>
              <w:ind w:left="120"/>
              <w:spacing w:after="0" w:line="196" w:lineRule="exact"/>
              <w:rPr>
                <w:sz w:val="20"/>
                <w:szCs w:val="20"/>
                <w:color w:val="auto"/>
              </w:rPr>
            </w:pPr>
            <w:r>
              <w:rPr>
                <w:rFonts w:ascii="Times New Roman" w:cs="Times New Roman" w:eastAsia="Times New Roman" w:hAnsi="Times New Roman"/>
                <w:sz w:val="22"/>
                <w:szCs w:val="22"/>
                <w:color w:val="auto"/>
              </w:rPr>
              <w:t>Release of Guarantees and Liens</w:t>
            </w:r>
          </w:p>
        </w:tc>
        <w:tc>
          <w:tcPr>
            <w:tcW w:w="80" w:type="dxa"/>
            <w:vAlign w:val="bottom"/>
          </w:tcPr>
          <w:p>
            <w:pPr>
              <w:spacing w:after="0"/>
              <w:rPr>
                <w:sz w:val="17"/>
                <w:szCs w:val="17"/>
                <w:color w:val="auto"/>
              </w:rPr>
            </w:pPr>
          </w:p>
        </w:tc>
        <w:tc>
          <w:tcPr>
            <w:tcW w:w="3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130</w:t>
            </w:r>
          </w:p>
        </w:tc>
        <w:tc>
          <w:tcPr>
            <w:tcW w:w="560" w:type="dxa"/>
            <w:vAlign w:val="bottom"/>
            <w:gridSpan w:val="4"/>
          </w:tcPr>
          <w:p>
            <w:pPr>
              <w:jc w:val="right"/>
              <w:ind w:right="220"/>
              <w:spacing w:after="0" w:line="196" w:lineRule="exact"/>
              <w:rPr>
                <w:sz w:val="20"/>
                <w:szCs w:val="20"/>
                <w:color w:val="auto"/>
              </w:rPr>
            </w:pPr>
            <w:r>
              <w:rPr>
                <w:rFonts w:ascii="Times New Roman" w:cs="Times New Roman" w:eastAsia="Times New Roman" w:hAnsi="Times New Roman"/>
                <w:sz w:val="22"/>
                <w:szCs w:val="22"/>
                <w:color w:val="0000FF"/>
                <w:w w:val="96"/>
              </w:rPr>
              <w:t>129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13.21</w:t>
            </w:r>
          </w:p>
        </w:tc>
        <w:tc>
          <w:tcPr>
            <w:tcW w:w="264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22"/>
                <w:szCs w:val="22"/>
                <w:color w:val="auto"/>
              </w:rPr>
              <w:t>Existing Credit Agreement</w:t>
            </w:r>
          </w:p>
        </w:tc>
        <w:tc>
          <w:tcPr>
            <w:tcW w:w="34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6"/>
              </w:rPr>
              <w:t>131</w:t>
            </w:r>
          </w:p>
        </w:tc>
        <w:tc>
          <w:tcPr>
            <w:tcW w:w="320" w:type="dxa"/>
            <w:vAlign w:val="bottom"/>
            <w:tcBorders>
              <w:bottom w:val="single" w:sz="8" w:color="0000FF"/>
            </w:tcBorders>
            <w:gridSpan w:val="4"/>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130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13.22</w:t>
            </w:r>
          </w:p>
        </w:tc>
        <w:tc>
          <w:tcPr>
            <w:tcW w:w="3300" w:type="dxa"/>
            <w:vAlign w:val="bottom"/>
            <w:gridSpan w:val="34"/>
          </w:tcPr>
          <w:p>
            <w:pPr>
              <w:ind w:left="120"/>
              <w:spacing w:after="0" w:line="196" w:lineRule="exact"/>
              <w:rPr>
                <w:sz w:val="20"/>
                <w:szCs w:val="20"/>
                <w:color w:val="auto"/>
              </w:rPr>
            </w:pPr>
            <w:r>
              <w:rPr>
                <w:rFonts w:ascii="Times New Roman" w:cs="Times New Roman" w:eastAsia="Times New Roman" w:hAnsi="Times New Roman"/>
                <w:sz w:val="22"/>
                <w:szCs w:val="22"/>
                <w:color w:val="auto"/>
              </w:rPr>
              <w:t>Reallocation of Commitments and</w:t>
            </w:r>
          </w:p>
        </w:tc>
        <w:tc>
          <w:tcPr>
            <w:tcW w:w="2460" w:type="dxa"/>
            <w:vAlign w:val="bottom"/>
            <w:gridSpan w:val="18"/>
          </w:tcPr>
          <w:p>
            <w:pPr>
              <w:jc w:val="right"/>
              <w:ind w:right="220"/>
              <w:spacing w:after="0" w:line="196" w:lineRule="exact"/>
              <w:rPr>
                <w:sz w:val="20"/>
                <w:szCs w:val="20"/>
                <w:color w:val="auto"/>
              </w:rPr>
            </w:pPr>
            <w:r>
              <w:rPr>
                <w:rFonts w:ascii="Times New Roman" w:cs="Times New Roman" w:eastAsia="Times New Roman" w:hAnsi="Times New Roman"/>
                <w:sz w:val="22"/>
                <w:szCs w:val="22"/>
                <w:color w:val="auto"/>
                <w:w w:val="90"/>
              </w:rPr>
              <w:t>Revolving Credit Advances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131</w:t>
            </w:r>
          </w:p>
        </w:tc>
        <w:tc>
          <w:tcPr>
            <w:tcW w:w="6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22"/>
                <w:szCs w:val="22"/>
                <w:color w:val="0000FF"/>
                <w:w w:val="90"/>
              </w:rPr>
              <w:t>130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13.23</w:t>
            </w:r>
          </w:p>
        </w:tc>
        <w:tc>
          <w:tcPr>
            <w:tcW w:w="1580" w:type="dxa"/>
            <w:vAlign w:val="bottom"/>
            <w:gridSpan w:val="7"/>
          </w:tcPr>
          <w:p>
            <w:pPr>
              <w:ind w:left="120"/>
              <w:spacing w:after="0" w:line="196" w:lineRule="exact"/>
              <w:rPr>
                <w:sz w:val="20"/>
                <w:szCs w:val="20"/>
                <w:color w:val="auto"/>
              </w:rPr>
            </w:pPr>
            <w:r>
              <w:rPr>
                <w:rFonts w:ascii="Times New Roman" w:cs="Times New Roman" w:eastAsia="Times New Roman" w:hAnsi="Times New Roman"/>
                <w:sz w:val="22"/>
                <w:szCs w:val="22"/>
                <w:color w:val="auto"/>
              </w:rPr>
              <w:t>Flood Insurance</w:t>
            </w:r>
          </w:p>
        </w:tc>
        <w:tc>
          <w:tcPr>
            <w:tcW w:w="140" w:type="dxa"/>
            <w:vAlign w:val="bottom"/>
            <w:gridSpan w:val="3"/>
          </w:tcPr>
          <w:p>
            <w:pPr>
              <w:spacing w:after="0"/>
              <w:rPr>
                <w:sz w:val="17"/>
                <w:szCs w:val="17"/>
                <w:color w:val="auto"/>
              </w:rPr>
            </w:pPr>
          </w:p>
        </w:tc>
        <w:tc>
          <w:tcPr>
            <w:tcW w:w="34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6"/>
              </w:rPr>
              <w:t>132</w:t>
            </w:r>
          </w:p>
        </w:tc>
        <w:tc>
          <w:tcPr>
            <w:tcW w:w="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22"/>
                <w:szCs w:val="22"/>
                <w:color w:val="0000FF"/>
                <w:w w:val="90"/>
              </w:rPr>
              <w:t>131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13.24</w:t>
            </w:r>
          </w:p>
        </w:tc>
        <w:tc>
          <w:tcPr>
            <w:tcW w:w="2060" w:type="dxa"/>
            <w:vAlign w:val="bottom"/>
            <w:gridSpan w:val="16"/>
          </w:tcPr>
          <w:p>
            <w:pPr>
              <w:ind w:left="100"/>
              <w:spacing w:after="0" w:line="196" w:lineRule="exact"/>
              <w:rPr>
                <w:sz w:val="20"/>
                <w:szCs w:val="20"/>
                <w:color w:val="auto"/>
              </w:rPr>
            </w:pPr>
            <w:r>
              <w:rPr>
                <w:rFonts w:ascii="Times New Roman" w:cs="Times New Roman" w:eastAsia="Times New Roman" w:hAnsi="Times New Roman"/>
                <w:sz w:val="22"/>
                <w:szCs w:val="22"/>
                <w:color w:val="auto"/>
              </w:rPr>
              <w:t>Acknowledgment and</w:t>
            </w:r>
          </w:p>
        </w:tc>
        <w:tc>
          <w:tcPr>
            <w:tcW w:w="4620" w:type="dxa"/>
            <w:vAlign w:val="bottom"/>
            <w:gridSpan w:val="39"/>
          </w:tcPr>
          <w:p>
            <w:pPr>
              <w:spacing w:after="0" w:line="196" w:lineRule="exact"/>
              <w:rPr>
                <w:sz w:val="20"/>
                <w:szCs w:val="20"/>
                <w:color w:val="auto"/>
              </w:rPr>
            </w:pPr>
            <w:r>
              <w:rPr>
                <w:rFonts w:ascii="Times New Roman" w:cs="Times New Roman" w:eastAsia="Times New Roman" w:hAnsi="Times New Roman"/>
                <w:sz w:val="22"/>
                <w:szCs w:val="22"/>
                <w:color w:val="auto"/>
                <w:w w:val="99"/>
              </w:rPr>
              <w:t>Consent to Bail-In of Affected Financial Institutions</w:t>
            </w: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132</w:t>
            </w:r>
          </w:p>
        </w:tc>
        <w:tc>
          <w:tcPr>
            <w:tcW w:w="32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0000FF"/>
                <w:w w:val="90"/>
              </w:rPr>
              <w:t>131</w:t>
            </w: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13.25</w:t>
            </w:r>
          </w:p>
        </w:tc>
        <w:tc>
          <w:tcPr>
            <w:tcW w:w="4680" w:type="dxa"/>
            <w:vAlign w:val="bottom"/>
            <w:gridSpan w:val="44"/>
          </w:tcPr>
          <w:p>
            <w:pPr>
              <w:ind w:left="100"/>
              <w:spacing w:after="0" w:line="196" w:lineRule="exact"/>
              <w:rPr>
                <w:sz w:val="20"/>
                <w:szCs w:val="20"/>
                <w:color w:val="auto"/>
              </w:rPr>
            </w:pPr>
            <w:r>
              <w:rPr>
                <w:rFonts w:ascii="Times New Roman" w:cs="Times New Roman" w:eastAsia="Times New Roman" w:hAnsi="Times New Roman"/>
                <w:sz w:val="22"/>
                <w:szCs w:val="22"/>
                <w:color w:val="auto"/>
              </w:rPr>
              <w:t>Acknowledgment Regarding Any Supported QFCs</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rPr>
              <w:t>133</w:t>
            </w:r>
          </w:p>
        </w:tc>
        <w:tc>
          <w:tcPr>
            <w:tcW w:w="380" w:type="dxa"/>
            <w:vAlign w:val="bottom"/>
            <w:gridSpan w:val="4"/>
          </w:tcPr>
          <w:p>
            <w:pPr>
              <w:jc w:val="right"/>
              <w:ind w:right="60"/>
              <w:spacing w:after="0" w:line="196" w:lineRule="exact"/>
              <w:rPr>
                <w:sz w:val="20"/>
                <w:szCs w:val="20"/>
                <w:color w:val="auto"/>
              </w:rPr>
            </w:pPr>
            <w:r>
              <w:rPr>
                <w:rFonts w:ascii="Times New Roman" w:cs="Times New Roman" w:eastAsia="Times New Roman" w:hAnsi="Times New Roman"/>
                <w:sz w:val="22"/>
                <w:szCs w:val="22"/>
                <w:color w:val="0000FF"/>
                <w:w w:val="90"/>
              </w:rPr>
              <w:t>132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Times New Roman" w:cs="Times New Roman" w:eastAsia="Times New Roman" w:hAnsi="Times New Roman"/>
                <w:sz w:val="22"/>
                <w:szCs w:val="22"/>
                <w:color w:val="auto"/>
              </w:rPr>
              <w:t>13.26</w:t>
            </w:r>
          </w:p>
        </w:tc>
        <w:tc>
          <w:tcPr>
            <w:tcW w:w="188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22"/>
                <w:szCs w:val="22"/>
                <w:color w:val="auto"/>
              </w:rPr>
              <w:t>Entire Agreement</w:t>
            </w:r>
          </w:p>
        </w:tc>
        <w:tc>
          <w:tcPr>
            <w:tcW w:w="320" w:type="dxa"/>
            <w:vAlign w:val="bottom"/>
            <w:gridSpan w:val="7"/>
          </w:tcPr>
          <w:p>
            <w:pPr>
              <w:jc w:val="right"/>
              <w:spacing w:after="0" w:line="196" w:lineRule="exact"/>
              <w:rPr>
                <w:sz w:val="20"/>
                <w:szCs w:val="20"/>
                <w:color w:val="auto"/>
              </w:rPr>
            </w:pPr>
            <w:r>
              <w:rPr>
                <w:rFonts w:ascii="Times New Roman" w:cs="Times New Roman" w:eastAsia="Times New Roman" w:hAnsi="Times New Roman"/>
                <w:sz w:val="22"/>
                <w:szCs w:val="22"/>
                <w:color w:val="FF0000"/>
                <w:strike w:val="1"/>
                <w:w w:val="90"/>
              </w:rPr>
              <w:t>134</w:t>
            </w:r>
          </w:p>
        </w:tc>
        <w:tc>
          <w:tcPr>
            <w:tcW w:w="440" w:type="dxa"/>
            <w:vAlign w:val="bottom"/>
            <w:gridSpan w:val="6"/>
          </w:tcPr>
          <w:p>
            <w:pPr>
              <w:jc w:val="right"/>
              <w:ind w:right="17"/>
              <w:spacing w:after="0" w:line="196" w:lineRule="exact"/>
              <w:rPr>
                <w:sz w:val="20"/>
                <w:szCs w:val="20"/>
                <w:color w:val="auto"/>
              </w:rPr>
            </w:pPr>
            <w:r>
              <w:rPr>
                <w:rFonts w:ascii="Times New Roman" w:cs="Times New Roman" w:eastAsia="Times New Roman" w:hAnsi="Times New Roman"/>
                <w:sz w:val="22"/>
                <w:szCs w:val="22"/>
                <w:color w:val="0000FF"/>
                <w:w w:val="90"/>
              </w:rPr>
              <w:t>133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Borders>
              <w:right w:val="single" w:sz="8" w:color="0000FF"/>
            </w:tcBorders>
            <w:gridSpan w:val="24"/>
          </w:tcPr>
          <w:p>
            <w:pPr>
              <w:spacing w:after="0" w:line="20" w:lineRule="exact"/>
              <w:rPr>
                <w:sz w:val="1"/>
                <w:szCs w:val="1"/>
                <w:color w:val="auto"/>
              </w:rPr>
            </w:pPr>
          </w:p>
        </w:tc>
        <w:tc>
          <w:tcPr>
            <w:tcW w:w="4920" w:type="dxa"/>
            <w:vAlign w:val="bottom"/>
            <w:gridSpan w:val="3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56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39"/>
          </w:cols>
          <w:pgMar w:left="320" w:top="1440"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EXHIBITS</w:t>
      </w:r>
    </w:p>
    <w:p>
      <w:pPr>
        <w:ind w:right="5639" w:firstLine="8"/>
        <w:spacing w:after="0" w:line="204" w:lineRule="auto"/>
        <w:tabs>
          <w:tab w:leader="none" w:pos="3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Request for Revolving Credit Advance B Form of Revolving Credit Note</w:t>
      </w:r>
    </w:p>
    <w:p>
      <w:pPr>
        <w:spacing w:after="0" w:line="1" w:lineRule="exact"/>
        <w:rPr>
          <w:rFonts w:ascii="Times New Roman" w:cs="Times New Roman" w:eastAsia="Times New Roman" w:hAnsi="Times New Roman"/>
          <w:sz w:val="22"/>
          <w:szCs w:val="22"/>
          <w:color w:val="auto"/>
        </w:rPr>
      </w:pPr>
    </w:p>
    <w:p>
      <w:pPr>
        <w:ind w:right="6519"/>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Form of Assignment and Assumption D Form of Guaranty</w:t>
      </w:r>
    </w:p>
    <w:p>
      <w:pPr>
        <w:spacing w:after="0" w:line="1" w:lineRule="exact"/>
        <w:rPr>
          <w:rFonts w:ascii="Times New Roman" w:cs="Times New Roman" w:eastAsia="Times New Roman" w:hAnsi="Times New Roman"/>
          <w:sz w:val="22"/>
          <w:szCs w:val="22"/>
          <w:color w:val="auto"/>
        </w:rPr>
      </w:pPr>
    </w:p>
    <w:p>
      <w:pPr>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  Form of Compliance Certificate</w:t>
      </w:r>
    </w:p>
    <w:p>
      <w:pPr>
        <w:ind w:right="5779"/>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 Form of Notice of Request for Letter of Credit G Form of Notice of Prepayment</w:t>
      </w:r>
    </w:p>
    <w:tbl>
      <w:tblPr>
        <w:tblLayout w:type="fixed"/>
        <w:tblInd w:w="0" w:type="dxa"/>
        <w:tblCellMar>
          <w:top w:w="0" w:type="dxa"/>
          <w:left w:w="0" w:type="dxa"/>
          <w:bottom w:w="0" w:type="dxa"/>
          <w:right w:w="0" w:type="dxa"/>
        </w:tblCellMar>
      </w:tblPr>
      <w:tr>
        <w:trPr>
          <w:trHeight w:val="194"/>
        </w:trPr>
        <w:tc>
          <w:tcPr>
            <w:tcW w:w="460" w:type="dxa"/>
            <w:vAlign w:val="bottom"/>
          </w:tcPr>
          <w:p>
            <w:pPr>
              <w:spacing w:after="0" w:line="194" w:lineRule="exact"/>
              <w:rPr>
                <w:sz w:val="20"/>
                <w:szCs w:val="20"/>
                <w:color w:val="auto"/>
              </w:rPr>
            </w:pPr>
            <w:r>
              <w:rPr>
                <w:rFonts w:ascii="Times New Roman" w:cs="Times New Roman" w:eastAsia="Times New Roman" w:hAnsi="Times New Roman"/>
                <w:sz w:val="22"/>
                <w:szCs w:val="22"/>
                <w:color w:val="auto"/>
              </w:rPr>
              <w:t>H-1</w:t>
            </w:r>
          </w:p>
        </w:tc>
        <w:tc>
          <w:tcPr>
            <w:tcW w:w="68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auto"/>
                <w:w w:val="99"/>
              </w:rPr>
              <w:t>Form of U.S. Tax Compliance Certificate (for Foreign Lenders That Are Not</w:t>
            </w:r>
          </w:p>
        </w:tc>
        <w:tc>
          <w:tcPr>
            <w:tcW w:w="1640" w:type="dxa"/>
            <w:vAlign w:val="bottom"/>
          </w:tcPr>
          <w:p>
            <w:pPr>
              <w:ind w:left="160"/>
              <w:spacing w:after="0" w:line="194" w:lineRule="exact"/>
              <w:rPr>
                <w:sz w:val="20"/>
                <w:szCs w:val="20"/>
                <w:color w:val="auto"/>
              </w:rPr>
            </w:pPr>
            <w:r>
              <w:rPr>
                <w:rFonts w:ascii="Times New Roman" w:cs="Times New Roman" w:eastAsia="Times New Roman" w:hAnsi="Times New Roman"/>
                <w:sz w:val="22"/>
                <w:szCs w:val="22"/>
                <w:color w:val="auto"/>
              </w:rPr>
              <w:t>Partnerships)</w:t>
            </w:r>
          </w:p>
        </w:tc>
      </w:tr>
      <w:tr>
        <w:trPr>
          <w:trHeight w:val="216"/>
        </w:trPr>
        <w:tc>
          <w:tcPr>
            <w:tcW w:w="4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H-2</w:t>
            </w:r>
          </w:p>
        </w:tc>
        <w:tc>
          <w:tcPr>
            <w:tcW w:w="84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22"/>
                <w:szCs w:val="22"/>
                <w:color w:val="auto"/>
                <w:w w:val="99"/>
              </w:rPr>
              <w:t>Form of U.S. Tax Compliance Certificate (for Foreign Participants That Are Not   Partnerships)</w:t>
            </w:r>
          </w:p>
        </w:tc>
      </w:tr>
      <w:tr>
        <w:trPr>
          <w:trHeight w:val="216"/>
        </w:trPr>
        <w:tc>
          <w:tcPr>
            <w:tcW w:w="4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H-3</w:t>
            </w:r>
          </w:p>
        </w:tc>
        <w:tc>
          <w:tcPr>
            <w:tcW w:w="6840" w:type="dxa"/>
            <w:vAlign w:val="bottom"/>
          </w:tcPr>
          <w:p>
            <w:pPr>
              <w:ind w:left="100"/>
              <w:spacing w:after="0" w:line="216" w:lineRule="exact"/>
              <w:rPr>
                <w:sz w:val="20"/>
                <w:szCs w:val="20"/>
                <w:color w:val="auto"/>
              </w:rPr>
            </w:pPr>
            <w:r>
              <w:rPr>
                <w:rFonts w:ascii="Times New Roman" w:cs="Times New Roman" w:eastAsia="Times New Roman" w:hAnsi="Times New Roman"/>
                <w:sz w:val="22"/>
                <w:szCs w:val="22"/>
                <w:color w:val="auto"/>
                <w:w w:val="99"/>
              </w:rPr>
              <w:t>Form of U.S. Tax Compliance Certificate (for Foreign Participants That Are</w:t>
            </w:r>
          </w:p>
        </w:tc>
        <w:tc>
          <w:tcPr>
            <w:tcW w:w="1640" w:type="dxa"/>
            <w:vAlign w:val="bottom"/>
          </w:tcPr>
          <w:p>
            <w:pPr>
              <w:ind w:left="120"/>
              <w:spacing w:after="0" w:line="216" w:lineRule="exact"/>
              <w:rPr>
                <w:sz w:val="20"/>
                <w:szCs w:val="20"/>
                <w:color w:val="auto"/>
              </w:rPr>
            </w:pPr>
            <w:r>
              <w:rPr>
                <w:rFonts w:ascii="Times New Roman" w:cs="Times New Roman" w:eastAsia="Times New Roman" w:hAnsi="Times New Roman"/>
                <w:sz w:val="22"/>
                <w:szCs w:val="22"/>
                <w:color w:val="auto"/>
              </w:rPr>
              <w:t>Partnerships)</w:t>
            </w:r>
          </w:p>
        </w:tc>
      </w:tr>
      <w:tr>
        <w:trPr>
          <w:trHeight w:val="240"/>
        </w:trPr>
        <w:tc>
          <w:tcPr>
            <w:tcW w:w="46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H-4</w:t>
            </w:r>
          </w:p>
        </w:tc>
        <w:tc>
          <w:tcPr>
            <w:tcW w:w="8480" w:type="dxa"/>
            <w:vAlign w:val="bottom"/>
            <w:gridSpan w:val="2"/>
          </w:tcPr>
          <w:p>
            <w:pPr>
              <w:ind w:left="100"/>
              <w:spacing w:after="0" w:line="240" w:lineRule="exact"/>
              <w:rPr>
                <w:sz w:val="20"/>
                <w:szCs w:val="20"/>
                <w:color w:val="auto"/>
              </w:rPr>
            </w:pPr>
            <w:r>
              <w:rPr>
                <w:rFonts w:ascii="Times New Roman" w:cs="Times New Roman" w:eastAsia="Times New Roman" w:hAnsi="Times New Roman"/>
                <w:sz w:val="22"/>
                <w:szCs w:val="22"/>
                <w:color w:val="auto"/>
              </w:rPr>
              <w:t>Form of U.S. Tax Compliance Certificate (for Foreign Lenders That Are   Partnerships)</w:t>
            </w:r>
          </w:p>
        </w:tc>
      </w:tr>
    </w:tbl>
    <w:p>
      <w:pPr>
        <w:ind w:left="300" w:hanging="292"/>
        <w:spacing w:after="0"/>
        <w:tabs>
          <w:tab w:leader="none" w:pos="3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Consolidated Cash Balance Certificate</w:t>
      </w:r>
    </w:p>
    <w:p>
      <w:pPr>
        <w:spacing w:after="0" w:line="18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Applicable Margin Grid</w:t>
            </w:r>
          </w:p>
        </w:tc>
      </w:tr>
      <w:tr>
        <w:trPr>
          <w:trHeight w:val="216"/>
        </w:trPr>
        <w:tc>
          <w:tcPr>
            <w:tcW w:w="4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1.2</w:t>
            </w:r>
          </w:p>
        </w:tc>
        <w:tc>
          <w:tcPr>
            <w:tcW w:w="328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Percentages and Allocations</w:t>
            </w:r>
          </w:p>
        </w:tc>
      </w:tr>
      <w:tr>
        <w:trPr>
          <w:trHeight w:val="216"/>
        </w:trPr>
        <w:tc>
          <w:tcPr>
            <w:tcW w:w="4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1.4</w:t>
            </w:r>
          </w:p>
        </w:tc>
        <w:tc>
          <w:tcPr>
            <w:tcW w:w="328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Existing Letters of Credit</w:t>
            </w:r>
          </w:p>
        </w:tc>
      </w:tr>
      <w:tr>
        <w:trPr>
          <w:trHeight w:val="216"/>
        </w:trPr>
        <w:tc>
          <w:tcPr>
            <w:tcW w:w="4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1.5</w:t>
            </w:r>
          </w:p>
        </w:tc>
        <w:tc>
          <w:tcPr>
            <w:tcW w:w="328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Existing Mortgages</w:t>
            </w:r>
          </w:p>
        </w:tc>
      </w:tr>
      <w:tr>
        <w:trPr>
          <w:trHeight w:val="216"/>
        </w:trPr>
        <w:tc>
          <w:tcPr>
            <w:tcW w:w="372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5.1(b)(iii)  Qualification Jurisdictions</w:t>
            </w:r>
          </w:p>
        </w:tc>
      </w:tr>
      <w:tr>
        <w:trPr>
          <w:trHeight w:val="216"/>
        </w:trPr>
        <w:tc>
          <w:tcPr>
            <w:tcW w:w="4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6.3</w:t>
            </w:r>
          </w:p>
        </w:tc>
        <w:tc>
          <w:tcPr>
            <w:tcW w:w="328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w w:val="97"/>
              </w:rPr>
              <w:t>Good Title; Leases; Assets; No Liens</w:t>
            </w:r>
          </w:p>
        </w:tc>
      </w:tr>
      <w:tr>
        <w:trPr>
          <w:trHeight w:val="216"/>
        </w:trPr>
        <w:tc>
          <w:tcPr>
            <w:tcW w:w="4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6.9</w:t>
            </w:r>
          </w:p>
        </w:tc>
        <w:tc>
          <w:tcPr>
            <w:tcW w:w="328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Litigation</w:t>
            </w:r>
          </w:p>
        </w:tc>
      </w:tr>
      <w:tr>
        <w:trPr>
          <w:trHeight w:val="216"/>
        </w:trPr>
        <w:tc>
          <w:tcPr>
            <w:tcW w:w="4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6.12</w:t>
            </w:r>
          </w:p>
        </w:tc>
        <w:tc>
          <w:tcPr>
            <w:tcW w:w="328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ERISA</w:t>
            </w:r>
          </w:p>
        </w:tc>
      </w:tr>
      <w:tr>
        <w:trPr>
          <w:trHeight w:val="216"/>
        </w:trPr>
        <w:tc>
          <w:tcPr>
            <w:tcW w:w="372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6.14  Environmental and Safety Matters</w:t>
            </w:r>
          </w:p>
        </w:tc>
      </w:tr>
      <w:tr>
        <w:trPr>
          <w:trHeight w:val="216"/>
        </w:trPr>
        <w:tc>
          <w:tcPr>
            <w:tcW w:w="44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6.15</w:t>
            </w:r>
          </w:p>
        </w:tc>
        <w:tc>
          <w:tcPr>
            <w:tcW w:w="328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Subsidiaries</w:t>
            </w:r>
          </w:p>
        </w:tc>
      </w:tr>
      <w:tr>
        <w:trPr>
          <w:trHeight w:val="240"/>
        </w:trPr>
        <w:tc>
          <w:tcPr>
            <w:tcW w:w="44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6.16</w:t>
            </w:r>
          </w:p>
        </w:tc>
        <w:tc>
          <w:tcPr>
            <w:tcW w:w="3280" w:type="dxa"/>
            <w:vAlign w:val="bottom"/>
          </w:tcPr>
          <w:p>
            <w:pPr>
              <w:ind w:left="160"/>
              <w:spacing w:after="0" w:line="240" w:lineRule="exact"/>
              <w:rPr>
                <w:sz w:val="20"/>
                <w:szCs w:val="20"/>
                <w:color w:val="auto"/>
              </w:rPr>
            </w:pPr>
            <w:r>
              <w:rPr>
                <w:rFonts w:ascii="Times New Roman" w:cs="Times New Roman" w:eastAsia="Times New Roman" w:hAnsi="Times New Roman"/>
                <w:sz w:val="22"/>
                <w:szCs w:val="22"/>
                <w:color w:val="auto"/>
              </w:rPr>
              <w:t>Capital Structure</w:t>
            </w:r>
          </w:p>
        </w:tc>
      </w:tr>
    </w:tbl>
    <w:p>
      <w:pPr>
        <w:spacing w:after="0" w:line="214" w:lineRule="auto"/>
        <w:tabs>
          <w:tab w:leader="none" w:pos="580" w:val="left"/>
        </w:tabs>
        <w:rPr>
          <w:sz w:val="20"/>
          <w:szCs w:val="20"/>
          <w:color w:val="auto"/>
        </w:rPr>
      </w:pPr>
      <w:r>
        <w:rPr>
          <w:rFonts w:ascii="Times New Roman" w:cs="Times New Roman" w:eastAsia="Times New Roman" w:hAnsi="Times New Roman"/>
          <w:sz w:val="22"/>
          <w:szCs w:val="22"/>
          <w:color w:val="auto"/>
        </w:rPr>
        <w:t>6.21</w:t>
      </w:r>
      <w:r>
        <w:rPr>
          <w:sz w:val="20"/>
          <w:szCs w:val="20"/>
          <w:color w:val="auto"/>
        </w:rPr>
        <w:tab/>
      </w:r>
      <w:r>
        <w:rPr>
          <w:rFonts w:ascii="Times New Roman" w:cs="Times New Roman" w:eastAsia="Times New Roman" w:hAnsi="Times New Roman"/>
          <w:sz w:val="21"/>
          <w:szCs w:val="21"/>
          <w:color w:val="auto"/>
        </w:rPr>
        <w:t>Gas Balancing Agreements and Advance Payment Contracts</w:t>
      </w:r>
    </w:p>
    <w:p>
      <w:pPr>
        <w:spacing w:after="0" w:line="215" w:lineRule="auto"/>
        <w:tabs>
          <w:tab w:leader="none" w:pos="820" w:val="left"/>
        </w:tabs>
        <w:rPr>
          <w:sz w:val="20"/>
          <w:szCs w:val="20"/>
          <w:color w:val="auto"/>
        </w:rPr>
      </w:pPr>
      <w:r>
        <w:rPr>
          <w:rFonts w:ascii="Times New Roman" w:cs="Times New Roman" w:eastAsia="Times New Roman" w:hAnsi="Times New Roman"/>
          <w:sz w:val="22"/>
          <w:szCs w:val="22"/>
          <w:color w:val="auto"/>
        </w:rPr>
        <w:t>6.22(a)</w:t>
      </w:r>
      <w:r>
        <w:rPr>
          <w:sz w:val="20"/>
          <w:szCs w:val="20"/>
          <w:color w:val="auto"/>
        </w:rPr>
        <w:tab/>
      </w:r>
      <w:r>
        <w:rPr>
          <w:rFonts w:ascii="Times New Roman" w:cs="Times New Roman" w:eastAsia="Times New Roman" w:hAnsi="Times New Roman"/>
          <w:sz w:val="21"/>
          <w:szCs w:val="21"/>
          <w:color w:val="auto"/>
        </w:rPr>
        <w:t>Commodity Hedging Agreements</w:t>
      </w:r>
    </w:p>
    <w:p>
      <w:pPr>
        <w:spacing w:after="0" w:line="215" w:lineRule="auto"/>
        <w:tabs>
          <w:tab w:leader="none" w:pos="840" w:val="left"/>
        </w:tabs>
        <w:rPr>
          <w:sz w:val="20"/>
          <w:szCs w:val="20"/>
          <w:color w:val="auto"/>
        </w:rPr>
      </w:pPr>
      <w:r>
        <w:rPr>
          <w:rFonts w:ascii="Times New Roman" w:cs="Times New Roman" w:eastAsia="Times New Roman" w:hAnsi="Times New Roman"/>
          <w:sz w:val="22"/>
          <w:szCs w:val="22"/>
          <w:color w:val="auto"/>
        </w:rPr>
        <w:t>6.22(b)</w:t>
      </w:r>
      <w:r>
        <w:rPr>
          <w:sz w:val="20"/>
          <w:szCs w:val="20"/>
          <w:color w:val="auto"/>
        </w:rPr>
        <w:tab/>
      </w:r>
      <w:r>
        <w:rPr>
          <w:rFonts w:ascii="Times New Roman" w:cs="Times New Roman" w:eastAsia="Times New Roman" w:hAnsi="Times New Roman"/>
          <w:sz w:val="21"/>
          <w:szCs w:val="21"/>
          <w:color w:val="auto"/>
        </w:rPr>
        <w:t>Withdrawing Lenders</w:t>
      </w:r>
    </w:p>
    <w:p>
      <w:pPr>
        <w:spacing w:after="0" w:line="214" w:lineRule="auto"/>
        <w:tabs>
          <w:tab w:leader="none" w:pos="820" w:val="left"/>
        </w:tabs>
        <w:rPr>
          <w:sz w:val="20"/>
          <w:szCs w:val="20"/>
          <w:color w:val="auto"/>
        </w:rPr>
      </w:pPr>
      <w:r>
        <w:rPr>
          <w:rFonts w:ascii="Times New Roman" w:cs="Times New Roman" w:eastAsia="Times New Roman" w:hAnsi="Times New Roman"/>
          <w:sz w:val="22"/>
          <w:szCs w:val="22"/>
          <w:color w:val="auto"/>
        </w:rPr>
        <w:t>6.22(c)</w:t>
      </w:r>
      <w:r>
        <w:rPr>
          <w:sz w:val="20"/>
          <w:szCs w:val="20"/>
          <w:color w:val="auto"/>
        </w:rPr>
        <w:tab/>
      </w:r>
      <w:r>
        <w:rPr>
          <w:rFonts w:ascii="Times New Roman" w:cs="Times New Roman" w:eastAsia="Times New Roman" w:hAnsi="Times New Roman"/>
          <w:sz w:val="21"/>
          <w:szCs w:val="21"/>
          <w:color w:val="auto"/>
        </w:rPr>
        <w:t>Withdrawing Lender Commodity Hedging Agreements</w:t>
      </w:r>
    </w:p>
    <w:p>
      <w:pPr>
        <w:spacing w:after="0" w:line="215" w:lineRule="auto"/>
        <w:tabs>
          <w:tab w:leader="none" w:pos="580" w:val="left"/>
        </w:tabs>
        <w:rPr>
          <w:sz w:val="20"/>
          <w:szCs w:val="20"/>
          <w:color w:val="auto"/>
        </w:rPr>
      </w:pPr>
      <w:r>
        <w:rPr>
          <w:rFonts w:ascii="Times New Roman" w:cs="Times New Roman" w:eastAsia="Times New Roman" w:hAnsi="Times New Roman"/>
          <w:sz w:val="22"/>
          <w:szCs w:val="22"/>
          <w:color w:val="auto"/>
        </w:rPr>
        <w:t>6.23</w:t>
      </w:r>
      <w:r>
        <w:rPr>
          <w:sz w:val="20"/>
          <w:szCs w:val="20"/>
          <w:color w:val="auto"/>
        </w:rPr>
        <w:tab/>
      </w:r>
      <w:r>
        <w:rPr>
          <w:rFonts w:ascii="Times New Roman" w:cs="Times New Roman" w:eastAsia="Times New Roman" w:hAnsi="Times New Roman"/>
          <w:sz w:val="21"/>
          <w:szCs w:val="21"/>
          <w:color w:val="auto"/>
        </w:rPr>
        <w:t>Compliance Information</w:t>
      </w:r>
    </w:p>
    <w:p>
      <w:pPr>
        <w:spacing w:after="0" w:line="215" w:lineRule="auto"/>
        <w:tabs>
          <w:tab w:leader="none" w:pos="4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Existing Debt</w:t>
      </w:r>
    </w:p>
    <w:p>
      <w:pPr>
        <w:spacing w:after="0" w:line="214" w:lineRule="auto"/>
        <w:tabs>
          <w:tab w:leader="none" w:pos="4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Existing Liens</w:t>
      </w:r>
    </w:p>
    <w:p>
      <w:pPr>
        <w:spacing w:after="0" w:line="215" w:lineRule="auto"/>
        <w:tabs>
          <w:tab w:leader="none" w:pos="48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color w:val="auto"/>
        </w:rPr>
        <w:t>Existing Investments</w:t>
      </w:r>
    </w:p>
    <w:p>
      <w:pPr>
        <w:spacing w:after="0" w:line="215" w:lineRule="auto"/>
        <w:tabs>
          <w:tab w:leader="none" w:pos="480" w:val="left"/>
        </w:tabs>
        <w:rPr>
          <w:sz w:val="20"/>
          <w:szCs w:val="20"/>
          <w:color w:val="auto"/>
        </w:rPr>
      </w:pPr>
      <w:r>
        <w:rPr>
          <w:rFonts w:ascii="Times New Roman" w:cs="Times New Roman" w:eastAsia="Times New Roman" w:hAnsi="Times New Roman"/>
          <w:sz w:val="22"/>
          <w:szCs w:val="22"/>
          <w:color w:val="auto"/>
        </w:rPr>
        <w:t>8.7</w:t>
      </w:r>
      <w:r>
        <w:rPr>
          <w:sz w:val="20"/>
          <w:szCs w:val="20"/>
          <w:color w:val="auto"/>
        </w:rPr>
        <w:tab/>
      </w:r>
      <w:r>
        <w:rPr>
          <w:rFonts w:ascii="Times New Roman" w:cs="Times New Roman" w:eastAsia="Times New Roman" w:hAnsi="Times New Roman"/>
          <w:sz w:val="21"/>
          <w:szCs w:val="21"/>
          <w:color w:val="auto"/>
        </w:rPr>
        <w:t>Transactions with Affiliates</w:t>
      </w: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580"/>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10139"/>
          </w:cols>
          <w:pgMar w:left="320" w:top="1382"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FOURTH AMENDED AND RESTATED CREDIT AGREEMENT</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This Fourth Amended and Restated Credit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November 18, 2021, by and among the lending entities from time to time party hereto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Royal Bank of Canada, as administrative agent for the Lenders (in such capacity,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MRC Energy Company, a Texas corporation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jc w:val="both"/>
        <w:ind w:firstLine="656"/>
        <w:spacing w:after="0" w:line="220" w:lineRule="auto"/>
        <w:tabs>
          <w:tab w:leader="none" w:pos="111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entered into that certain Third Amended and Restated Credit Agreement, dated as of September 28, 2012 (as amended, restated, amended and restated, extended, supplemented or otherwise modified in writing from time to time prior to the date hereof,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among Borrower, the lenders from time to time party thereto, and Administrative Agent.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07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has requested that Administrative Agent and the Lenders amend and restate the Existing Credit Agreement and provide certain loans to and extensions of credit on behalf of Borrower, and Administrative Agent and the Lenders have agreed to amend and restate the Existing Credit Agreement and make such loans and extensions of credit subject to the terms and conditions of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30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an amendment and restatement of, and is made in extension and renewal, and not in extinguishment or novation, of the outstanding indebtedness under the Existing Credit Agreement, it being acknowledged and agreed by Borrower that the Indebtedness under this Agreement constitutes an extension, renewal, increase and ratification of the outstanding indebtedness under the Existing Credit Agreement.</w:t>
      </w:r>
    </w:p>
    <w:p>
      <w:pPr>
        <w:spacing w:after="0" w:line="152" w:lineRule="exact"/>
        <w:rPr>
          <w:sz w:val="20"/>
          <w:szCs w:val="20"/>
          <w:color w:val="auto"/>
        </w:rPr>
      </w:pPr>
    </w:p>
    <w:p>
      <w:pPr>
        <w:jc w:val="both"/>
        <w:ind w:firstLine="246"/>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covenants contained herein, Borrower, Lenders, and Administrative Agent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 DEFINITIONS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Certain Defined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For the purposes of this Agreement, the following terms will have the following meanings: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“ABR”, when used in reference to any Advance or Borrowing, refers to whether such Advance, or the Advances comprising such Borrowing, are bearing interest at a rate determined by reference to the Alternate Base Rate.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“ABR Advances” means Advances the rate of interest applicable to which is based upon the Alternate Base Rate.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“ABR Term SOFR Determination Day” has the meaning assigned to it under the definition of Term SOFR.</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“Adjusted Daily Simple SOFR” means an interest rate per annum equal to (a) Daily Simple SOFR plus (b) 0.10%; provided that if the Adjusted Daily Simple SOFR as so determined would be less than the Floor, such rate shall be deemed to be equal to the Floor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sectPr>
          <w:pgSz w:w="11900" w:h="16838" w:orient="portrait"/>
          <w:cols w:equalWidth="0" w:num="1">
            <w:col w:w="11240"/>
          </w:cols>
          <w:pgMar w:left="320" w:top="1391" w:right="339" w:bottom="1440" w:gutter="0" w:footer="0" w:header="0"/>
        </w:sectPr>
      </w:pPr>
    </w:p>
    <w:bookmarkStart w:id="68" w:name="page69"/>
    <w:bookmarkEnd w:id="68"/>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“Adjusted Term SOFR Rate” means, for any Interest Period, an interest rate per annum equal to (a) Term SOFR for such Interest Period plus (b) 0.10%; provided that if the Adjusted Term SOFR Rate as so determined would be less than the Floor, such rate shall be deemed to be equal to the Floor for the purposes of this Agreement.</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has the meaning set forth in the preamble, and includes any Successor Administrative Agent appointed in accordance with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w:t>
      </w:r>
      <w:r>
        <w:rPr>
          <w:rFonts w:ascii="Times New Roman" w:cs="Times New Roman" w:eastAsia="Times New Roman" w:hAnsi="Times New Roman"/>
          <w:sz w:val="22"/>
          <w:szCs w:val="22"/>
          <w:color w:val="auto"/>
        </w:rPr>
        <w:t>” means a Revolving Credit Advance.</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Advance Payment Contract</w:t>
      </w:r>
      <w:r>
        <w:rPr>
          <w:rFonts w:ascii="Times New Roman" w:cs="Times New Roman" w:eastAsia="Times New Roman" w:hAnsi="Times New Roman"/>
          <w:sz w:val="21"/>
          <w:szCs w:val="21"/>
          <w:color w:val="auto"/>
        </w:rPr>
        <w:t>” means any contract whereby any Credit Party either (a) receives or becomes entitled to receive (either directly or indirectly) any payment (an “</w:t>
      </w:r>
      <w:r>
        <w:rPr>
          <w:rFonts w:ascii="Times New Roman" w:cs="Times New Roman" w:eastAsia="Times New Roman" w:hAnsi="Times New Roman"/>
          <w:sz w:val="21"/>
          <w:szCs w:val="21"/>
          <w:u w:val="single" w:color="auto"/>
          <w:color w:val="auto"/>
        </w:rPr>
        <w:t>Advance Payment</w:t>
      </w:r>
      <w:r>
        <w:rPr>
          <w:rFonts w:ascii="Times New Roman" w:cs="Times New Roman" w:eastAsia="Times New Roman" w:hAnsi="Times New Roman"/>
          <w:sz w:val="21"/>
          <w:szCs w:val="21"/>
          <w:color w:val="auto"/>
        </w:rPr>
        <w:t xml:space="preserve">”) to be applied toward payment of the purchase price of Hydrocarbons produced or to be produced from Oil and Gas Properties owned by any Credit Party and which Advance Payment is paid or to be paid in advance of actual delivery of such production to or for the account of the purchaser regardless of such production, or (b) grants an option or right of refusal to the purchaser to take delivery of such production in lieu of payment, and, in either of the foregoing instances, the Advance Payment is, or is to be, applied as payment in full for such production when sold and delivered or is, or is to be, applied as payment for a portion only of the purchase price thereof or of a percentage or share of such production;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inclusion of the standard “take or pay” provision in any gas sales or purchase contract or any other similar contract shall not, in and of itself, constitute such contract as an Advance Payment Contract for the purposes hereof.</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13.11(a)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as to any Person, any other Person which, directly or indirectly, is in control of, is controlled by, or is under common control with, such Person. For purposes of this definition, “control” of a Person means the power, directly or indirectly, either to (a) vote 30% or more of the securities having ordinary voting power for the election of directors of such Person or (b) direct or cause the direction of the management and policies of such Person, whether by contract or otherwise.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Credit Exposure</w:t>
      </w:r>
      <w:r>
        <w:rPr>
          <w:rFonts w:ascii="Times New Roman" w:cs="Times New Roman" w:eastAsia="Times New Roman" w:hAnsi="Times New Roman"/>
          <w:sz w:val="22"/>
          <w:szCs w:val="22"/>
          <w:color w:val="auto"/>
        </w:rPr>
        <w:t>” means, as of any date of determination, the sum of the Credit Exposure of all of the Lenders as of such date.</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u w:val="single" w:color="auto"/>
          <w:color w:val="0000FF"/>
        </w:rPr>
        <w:t>“Alternate Base Rate” means, for any day, a rate per annum equal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C000"/>
        </w:rPr>
        <w:t>the greatest of (a) the Prime Rate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in effect on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day, (b) the Federal Funds Effective Rate in effect on such day plus 0.50% and (c) the Adjusted Term SOFR Rate for a one month tenor in effect on such day plus 1.00%; provided that clause (c) shall not be applicable during any period in which the Adjusted Term SOFR Rate is unavailable or unascertainable. Any change in the Alternate Base Rate due to a change in the Prime Rate, the Federal Funds Effective Rate or the Adjusted Term SOFR Rate shall be effective from and including the effective date of such change in the Prime Rate, the Federal Funds Effective Rate or the Adjusted Term SOFR Rate, respectively. For the avoidance of doubt, if the Alternate Base Rate as determined pursuant to the foregoing would be less than the Floor, such rate shall be deemed to be the Floor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-988695</wp:posOffset>
            </wp:positionV>
            <wp:extent cx="19411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95" w:right="339" w:bottom="1440" w:gutter="0" w:footer="0" w:header="0"/>
        </w:sectPr>
      </w:pPr>
    </w:p>
    <w:bookmarkStart w:id="69" w:name="page70"/>
    <w:bookmarkEnd w:id="69"/>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“AML Laws” means all laws, rules, and regulations of any jurisdiction applicable to the Borrower, the Borrower’s Subsidiaries or any other Credit Party from time to time concerning or relating to anti-money laundering.</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“Anti-Corruption Laws” means all laws, rules, and regulations of any jurisdiction applicable to the Borrower, the Borrower’s Subsidiaries or any other Credit Party from time to time concerning or relating to bribery or corruption.</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Fee Percentage</w:t>
      </w:r>
      <w:r>
        <w:rPr>
          <w:rFonts w:ascii="Times New Roman" w:cs="Times New Roman" w:eastAsia="Times New Roman" w:hAnsi="Times New Roman"/>
          <w:sz w:val="22"/>
          <w:szCs w:val="22"/>
          <w:color w:val="auto"/>
        </w:rPr>
        <w:t xml:space="preserve">” means, as of any date of determination thereof, the applicable percentage used to calculate certain of the fees due and payable hereunder, determined by reference to the appropriate columns in the Applicable Margin Grid, such Applicable Fee Percentage to be adjusted solely as specified in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Interest Rate</w:t>
      </w:r>
      <w:r>
        <w:rPr>
          <w:rFonts w:ascii="Times New Roman" w:cs="Times New Roman" w:eastAsia="Times New Roman" w:hAnsi="Times New Roman"/>
          <w:sz w:val="22"/>
          <w:szCs w:val="22"/>
          <w:color w:val="auto"/>
        </w:rPr>
        <w:t xml:space="preserve">” means, with respect to each Revolving Credit Advance, the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Adjusted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Rate or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Alternate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Base Rate, as selected by Borrower from time to time subject to the terms and conditions of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Agreement</w:t>
      </w:r>
      <w:r>
        <w:rPr>
          <w:rFonts w:ascii="Times New Roman" w:cs="Times New Roman" w:eastAsia="Times New Roman" w:hAnsi="Times New Roman"/>
          <w:sz w:val="22"/>
          <w:szCs w:val="22"/>
          <w:u w:val="single" w:color="auto"/>
          <w:color w:val="0000FF"/>
        </w:rPr>
        <w:t>, plus, in each case, the Applicable Margin with respect thereto</w:t>
      </w:r>
      <w:r>
        <w:rPr>
          <w:rFonts w:ascii="Times New Roman" w:cs="Times New Roman" w:eastAsia="Times New Roman" w:hAnsi="Times New Roman"/>
          <w:sz w:val="22"/>
          <w:szCs w:val="22"/>
          <w:color w:val="000000"/>
        </w:rPr>
        <w: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xml:space="preserve">” means, as of any date of determination thereof, the applicable interest rate margin, determined by reference to the appropriate columns in the Applicable Margin Grid, such Applicable Margin to be adjusted solely as specified in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 Grid</w:t>
      </w:r>
      <w:r>
        <w:rPr>
          <w:rFonts w:ascii="Times New Roman" w:cs="Times New Roman" w:eastAsia="Times New Roman" w:hAnsi="Times New Roman"/>
          <w:sz w:val="22"/>
          <w:szCs w:val="22"/>
          <w:color w:val="auto"/>
        </w:rPr>
        <w:t xml:space="preserve">” means that certain pricing grid attached to this Agreement as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Counterparty</w:t>
      </w:r>
      <w:r>
        <w:rPr>
          <w:rFonts w:ascii="Times New Roman" w:cs="Times New Roman" w:eastAsia="Times New Roman" w:hAnsi="Times New Roman"/>
          <w:sz w:val="22"/>
          <w:szCs w:val="22"/>
          <w:color w:val="auto"/>
        </w:rPr>
        <w:t>” means, at any time and from time to time, (a) any Lender Counterparty or (b) any Person engaged in the business of writing Commodity Hedging Agreements or Interest Rate Agreements that has (or the credit support provider of such Person has), at the time Borrower or any Restricted Subsidiary enters into a Commodity Hedging Agreement or Interest Rate Agreement, as applicable, with such Person, a long term senior unsecured debt credit rating of BBB-/Baa3 by S&amp;P or Moody’s (or their equivalent) or higher.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ASC Topic 815</w:t>
      </w:r>
      <w:r>
        <w:rPr>
          <w:rFonts w:ascii="Times New Roman" w:cs="Times New Roman" w:eastAsia="Times New Roman" w:hAnsi="Times New Roman"/>
          <w:sz w:val="22"/>
          <w:szCs w:val="22"/>
          <w:color w:val="auto"/>
        </w:rPr>
        <w:t>” means the Accounting Standards Codification No. 815 (Derivatives and Hedging), as issued by the Financial Accounting Standards Board.</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13.7(b)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or any other form approved by the Administrative Agent.</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auto"/>
        </w:rPr>
        <w:t xml:space="preserve"> current Benchmark, as applicable,</w:t>
      </w:r>
    </w:p>
    <w:p>
      <w:pPr>
        <w:jc w:val="both"/>
        <w:ind w:firstLine="8"/>
        <w:spacing w:after="0" w:line="210" w:lineRule="auto"/>
        <w:tabs>
          <w:tab w:leader="none" w:pos="316" w:val="left"/>
        </w:tabs>
        <w:numPr>
          <w:ilvl w:val="0"/>
          <w:numId w:val="2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if such Benchmark is a term rate,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any tenor for such Benchmark</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C000"/>
          <w:strike w:val="1"/>
        </w:rPr>
        <w:t>payment period for interest calculated with reference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C000"/>
          <w:strike w:val="1"/>
        </w:rPr>
        <w:t>such Benchmark</w:t>
      </w:r>
      <w:r>
        <w:rPr>
          <w:rFonts w:ascii="Times New Roman" w:cs="Times New Roman" w:eastAsia="Times New Roman" w:hAnsi="Times New Roman"/>
          <w:sz w:val="22"/>
          <w:szCs w:val="22"/>
          <w:color w:val="FF0000"/>
          <w:strike w:val="1"/>
        </w:rPr>
        <w:t>, as applicable,</w:t>
      </w:r>
      <w:r>
        <w:rPr>
          <w:rFonts w:ascii="Times New Roman" w:cs="Times New Roman" w:eastAsia="Times New Roman" w:hAnsi="Times New Roman"/>
          <w:sz w:val="22"/>
          <w:szCs w:val="22"/>
          <w:u w:val="single" w:color="auto"/>
          <w:color w:val="0000FF"/>
        </w:rPr>
        <w:t>component thereof)</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000000"/>
        </w:rPr>
        <w:t>that is or may be used for determining the length of an Interest Period</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000000"/>
        </w:rPr>
        <w:t xml:space="preserve">pursuant to this Agreement </w:t>
      </w:r>
      <w:r>
        <w:rPr>
          <w:rFonts w:ascii="Times New Roman" w:cs="Times New Roman" w:eastAsia="Times New Roman" w:hAnsi="Times New Roman"/>
          <w:sz w:val="22"/>
          <w:szCs w:val="22"/>
          <w:u w:val="single" w:color="auto"/>
          <w:color w:val="0000FF"/>
        </w:rPr>
        <w:t>or (y) otherwise, any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C000"/>
        </w:rPr>
        <w:t>payment period for interest calculated with reference to such Benchmark</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0000FF"/>
        </w:rPr>
        <w:t>(or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component thereof) that is or may be used for determining any frequency of making payments of interest calculated with reference to such Benchmark, in each case,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as of such date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not including, for the avoidance of doubt, any tenor for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Benchmark that is then-removed from the definition of “</w:t>
      </w:r>
      <w:r>
        <w:rPr>
          <w:rFonts w:ascii="Times New Roman" w:cs="Times New Roman" w:eastAsia="Times New Roman" w:hAnsi="Times New Roman"/>
          <w:sz w:val="22"/>
          <w:szCs w:val="22"/>
          <w:color w:val="FF0000"/>
          <w:strike w:val="1"/>
        </w:rPr>
        <w:t>Interest Period” or “Eurodollar-</w:t>
      </w:r>
      <w:r>
        <w:rPr>
          <w:rFonts w:ascii="Times New Roman" w:cs="Times New Roman" w:eastAsia="Times New Roman" w:hAnsi="Times New Roman"/>
          <w:sz w:val="22"/>
          <w:szCs w:val="22"/>
          <w:color w:val="000000"/>
        </w:rPr>
        <w:t xml:space="preserve">Interest Period” pursuant to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11.3(</w:t>
      </w:r>
      <w:r>
        <w:rPr>
          <w:rFonts w:ascii="Times New Roman" w:cs="Times New Roman" w:eastAsia="Times New Roman" w:hAnsi="Times New Roman"/>
          <w:sz w:val="22"/>
          <w:szCs w:val="22"/>
          <w:u w:val="single" w:color="auto"/>
          <w:color w:val="FF0000"/>
          <w:strike w:val="1"/>
        </w:rPr>
        <w:t>d</w:t>
      </w:r>
      <w:r>
        <w:rPr>
          <w:rFonts w:ascii="Times New Roman" w:cs="Times New Roman" w:eastAsia="Times New Roman" w:hAnsi="Times New Roman"/>
          <w:sz w:val="22"/>
          <w:szCs w:val="22"/>
          <w:u w:val="single" w:color="auto"/>
          <w:color w:val="0000FF"/>
        </w:rPr>
        <w:t>b)(iv</w:t>
      </w:r>
      <w:r>
        <w:rPr>
          <w:rFonts w:ascii="Times New Roman" w:cs="Times New Roman" w:eastAsia="Times New Roman" w:hAnsi="Times New Roman"/>
          <w:sz w:val="22"/>
          <w:szCs w:val="22"/>
          <w:u w:val="single" w:color="auto"/>
          <w:color w:val="000000"/>
        </w:rPr>
        <w:t>)</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6923405</wp:posOffset>
            </wp:positionH>
            <wp:positionV relativeFrom="paragraph">
              <wp:posOffset>-578485</wp:posOffset>
            </wp:positionV>
            <wp:extent cx="2114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11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95" w:right="339" w:bottom="1440" w:gutter="0" w:footer="0" w:header="0"/>
        </w:sectPr>
      </w:pPr>
    </w:p>
    <w:bookmarkStart w:id="70" w:name="page71"/>
    <w:bookmarkEnd w:id="70"/>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and the rules promulgated thereunder.</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Base Rate</w:t>
      </w:r>
      <w:r>
        <w:rPr>
          <w:rFonts w:ascii="Times New Roman" w:cs="Times New Roman" w:eastAsia="Times New Roman" w:hAnsi="Times New Roman"/>
          <w:sz w:val="22"/>
          <w:szCs w:val="22"/>
          <w:color w:val="FF0000"/>
          <w:strike w:val="1"/>
        </w:rPr>
        <w:t>” means for any day, that rate of interest which is equal to the sum of the Applicable Margin plus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rPr>
        <w:t>the greatest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strike w:val="1"/>
        </w:rPr>
        <w:t xml:space="preserve">of (a) the Prime Rate </w:t>
      </w:r>
      <w:r>
        <w:rPr>
          <w:rFonts w:ascii="Times New Roman" w:cs="Times New Roman" w:eastAsia="Times New Roman" w:hAnsi="Times New Roman"/>
          <w:sz w:val="22"/>
          <w:szCs w:val="22"/>
          <w:color w:val="FF0000"/>
          <w:strike w:val="1"/>
        </w:rPr>
        <w:t>for such day, (b) the Federal Funds Effective Rate in effect on such day, plus ½ of one percent (0.5%)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6454775</wp:posOffset>
            </wp:positionH>
            <wp:positionV relativeFrom="paragraph">
              <wp:posOffset>-193675</wp:posOffset>
            </wp:positionV>
            <wp:extent cx="6800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80085" cy="8255"/>
                    </a:xfrm>
                    <a:prstGeom prst="rect">
                      <a:avLst/>
                    </a:prstGeom>
                    <a:noFill/>
                  </pic:spPr>
                </pic:pic>
              </a:graphicData>
            </a:graphic>
          </wp:anchor>
        </w:drawing>
      </w:r>
    </w:p>
    <w:p>
      <w:pPr>
        <w:jc w:val="both"/>
        <w:ind w:firstLine="8"/>
        <w:spacing w:after="0" w:line="214" w:lineRule="auto"/>
        <w:tabs>
          <w:tab w:leader="none" w:pos="319" w:val="left"/>
        </w:tabs>
        <w:numPr>
          <w:ilvl w:val="0"/>
          <w:numId w:val="21"/>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the Daily Adjusting LIBOR Rate plus one percent (1.0%);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strike w:val="1"/>
        </w:rPr>
        <w:t>however</w:t>
      </w:r>
      <w:r>
        <w:rPr>
          <w:rFonts w:ascii="Times New Roman" w:cs="Times New Roman" w:eastAsia="Times New Roman" w:hAnsi="Times New Roman"/>
          <w:sz w:val="22"/>
          <w:szCs w:val="22"/>
          <w:color w:val="FF0000"/>
          <w:strike w:val="1"/>
        </w:rPr>
        <w:t xml:space="preserve">, for purposes of determining the Base Rate during any period that the LIBOR Rate is unavailable as determined under </w:t>
      </w:r>
      <w:r>
        <w:rPr>
          <w:rFonts w:ascii="Times New Roman" w:cs="Times New Roman" w:eastAsia="Times New Roman" w:hAnsi="Times New Roman"/>
          <w:sz w:val="22"/>
          <w:szCs w:val="22"/>
          <w:u w:val="single" w:color="auto"/>
          <w:color w:val="FF0000"/>
          <w:strike w:val="1"/>
        </w:rPr>
        <w:t>Sections 11.3</w:t>
      </w:r>
      <w:r>
        <w:rPr>
          <w:rFonts w:ascii="Times New Roman" w:cs="Times New Roman" w:eastAsia="Times New Roman" w:hAnsi="Times New Roman"/>
          <w:sz w:val="22"/>
          <w:szCs w:val="22"/>
          <w:color w:val="FF0000"/>
          <w:strike w:val="1"/>
        </w:rPr>
        <w:t xml:space="preserve"> or </w:t>
      </w:r>
      <w:r>
        <w:rPr>
          <w:rFonts w:ascii="Times New Roman" w:cs="Times New Roman" w:eastAsia="Times New Roman" w:hAnsi="Times New Roman"/>
          <w:sz w:val="22"/>
          <w:szCs w:val="22"/>
          <w:u w:val="single" w:color="auto"/>
          <w:color w:val="FF0000"/>
          <w:strike w:val="1"/>
        </w:rPr>
        <w:t>11.4</w:t>
      </w:r>
      <w:r>
        <w:rPr>
          <w:rFonts w:ascii="Times New Roman" w:cs="Times New Roman" w:eastAsia="Times New Roman" w:hAnsi="Times New Roman"/>
          <w:sz w:val="22"/>
          <w:szCs w:val="22"/>
          <w:color w:val="FF0000"/>
          <w:strike w:val="1"/>
        </w:rPr>
        <w:t xml:space="preserve">, the Base Rate shall be determined using, for </w:t>
      </w:r>
      <w:r>
        <w:rPr>
          <w:rFonts w:ascii="Times New Roman" w:cs="Times New Roman" w:eastAsia="Times New Roman" w:hAnsi="Times New Roman"/>
          <w:sz w:val="22"/>
          <w:szCs w:val="22"/>
          <w:u w:val="single" w:color="auto"/>
          <w:color w:val="FF0000"/>
          <w:strike w:val="1"/>
        </w:rPr>
        <w:t>clause (c)</w:t>
      </w:r>
      <w:r>
        <w:rPr>
          <w:rFonts w:ascii="Times New Roman" w:cs="Times New Roman" w:eastAsia="Times New Roman" w:hAnsi="Times New Roman"/>
          <w:sz w:val="22"/>
          <w:szCs w:val="22"/>
          <w:color w:val="FF0000"/>
          <w:strike w:val="1"/>
        </w:rPr>
        <w:t xml:space="preserve"> hereof, the Daily Adjusting LIBOR Rate in effect on the Business Day immediately prior to the LIBOR Rate becoming unavailable pursuant to </w:t>
      </w:r>
      <w:r>
        <w:rPr>
          <w:rFonts w:ascii="Times New Roman" w:cs="Times New Roman" w:eastAsia="Times New Roman" w:hAnsi="Times New Roman"/>
          <w:sz w:val="22"/>
          <w:szCs w:val="22"/>
          <w:u w:val="single" w:color="auto"/>
          <w:color w:val="FF0000"/>
          <w:strike w:val="1"/>
        </w:rPr>
        <w:t>Sections 11.3</w:t>
      </w:r>
      <w:r>
        <w:rPr>
          <w:rFonts w:ascii="Times New Roman" w:cs="Times New Roman" w:eastAsia="Times New Roman" w:hAnsi="Times New Roman"/>
          <w:sz w:val="22"/>
          <w:szCs w:val="22"/>
          <w:color w:val="FF0000"/>
          <w:strike w:val="1"/>
        </w:rPr>
        <w:t xml:space="preserve"> or </w:t>
      </w:r>
      <w:r>
        <w:rPr>
          <w:rFonts w:ascii="Times New Roman" w:cs="Times New Roman" w:eastAsia="Times New Roman" w:hAnsi="Times New Roman"/>
          <w:sz w:val="22"/>
          <w:szCs w:val="22"/>
          <w:u w:val="single" w:color="auto"/>
          <w:color w:val="FF0000"/>
          <w:strike w:val="1"/>
        </w:rPr>
        <w:t>11.4</w:t>
      </w:r>
      <w:r>
        <w:rPr>
          <w:rFonts w:ascii="Times New Roman" w:cs="Times New Roman" w:eastAsia="Times New Roman" w:hAnsi="Times New Roman"/>
          <w:sz w:val="22"/>
          <w:szCs w:val="22"/>
          <w:color w:val="FF0000"/>
          <w:strike w:val="1"/>
        </w:rPr>
        <w: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Base Rate Advances</w:t>
      </w:r>
      <w:r>
        <w:rPr>
          <w:rFonts w:ascii="Times New Roman" w:cs="Times New Roman" w:eastAsia="Times New Roman" w:hAnsi="Times New Roman"/>
          <w:sz w:val="22"/>
          <w:szCs w:val="22"/>
          <w:color w:val="FF0000"/>
          <w:strike w:val="1"/>
        </w:rPr>
        <w:t>” means Advances the rate of interest applicable to which is based upon the Base Rate.</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t>
      </w:r>
      <w:r>
        <w:rPr>
          <w:rFonts w:ascii="Times New Roman" w:cs="Times New Roman" w:eastAsia="Times New Roman" w:hAnsi="Times New Roman"/>
          <w:sz w:val="22"/>
          <w:szCs w:val="22"/>
          <w:color w:val="FF0000"/>
          <w:strike w:val="1"/>
        </w:rPr>
        <w:t>USD LIBOR</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provided that if a Benchmark Transition Event </w:t>
      </w:r>
      <w:r>
        <w:rPr>
          <w:rFonts w:ascii="Times New Roman" w:cs="Times New Roman" w:eastAsia="Times New Roman" w:hAnsi="Times New Roman"/>
          <w:sz w:val="22"/>
          <w:szCs w:val="22"/>
          <w:color w:val="FF0000"/>
          <w:strike w:val="1"/>
        </w:rPr>
        <w:t>or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Early Opt-in Election or a Term SOFR Transition Event, as applicable, and its related Benchmark Replacement Date have</w:t>
      </w:r>
      <w:r>
        <w:rPr>
          <w:rFonts w:ascii="Times New Roman" w:cs="Times New Roman" w:eastAsia="Times New Roman" w:hAnsi="Times New Roman"/>
          <w:sz w:val="22"/>
          <w:szCs w:val="22"/>
          <w:u w:val="single" w:color="auto"/>
          <w:color w:val="0000FF"/>
          <w:strike w:val="1"/>
        </w:rPr>
        <w:t>has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occurred with respect to </w:t>
      </w:r>
      <w:r>
        <w:rPr>
          <w:rFonts w:ascii="Times New Roman" w:cs="Times New Roman" w:eastAsia="Times New Roman" w:hAnsi="Times New Roman"/>
          <w:sz w:val="22"/>
          <w:szCs w:val="22"/>
          <w:color w:val="FF0000"/>
          <w:strike w:val="1"/>
        </w:rPr>
        <w:t>USD LIBOR</w:t>
      </w:r>
      <w:r>
        <w:rPr>
          <w:rFonts w:ascii="Times New Roman" w:cs="Times New Roman" w:eastAsia="Times New Roman" w:hAnsi="Times New Roman"/>
          <w:sz w:val="22"/>
          <w:szCs w:val="22"/>
          <w:u w:val="single" w:color="auto"/>
          <w:color w:val="0000FF"/>
          <w:strike w:val="1"/>
        </w:rPr>
        <w:t>Adjusted Term SOFR</w:t>
      </w:r>
      <w:r>
        <w:rPr>
          <w:rFonts w:ascii="Times New Roman" w:cs="Times New Roman" w:eastAsia="Times New Roman" w:hAnsi="Times New Roman"/>
          <w:sz w:val="22"/>
          <w:szCs w:val="22"/>
          <w:color w:val="000000"/>
          <w:strike w:val="1"/>
        </w:rPr>
        <w:t xml:space="preserv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000000"/>
          <w:strike w:val="1"/>
        </w:rPr>
        <w:t>Section 11.3(</w:t>
      </w:r>
      <w:r>
        <w:rPr>
          <w:rFonts w:ascii="Times New Roman" w:cs="Times New Roman" w:eastAsia="Times New Roman" w:hAnsi="Times New Roman"/>
          <w:sz w:val="22"/>
          <w:szCs w:val="22"/>
          <w:u w:val="single" w:color="auto"/>
          <w:color w:val="FF0000"/>
          <w:strike w:val="1"/>
        </w:rPr>
        <w:t>a</w:t>
      </w:r>
      <w:r>
        <w:rPr>
          <w:rFonts w:ascii="Times New Roman" w:cs="Times New Roman" w:eastAsia="Times New Roman" w:hAnsi="Times New Roman"/>
          <w:sz w:val="22"/>
          <w:szCs w:val="22"/>
          <w:u w:val="single" w:color="auto"/>
          <w:color w:val="0000FF"/>
          <w:strike w:val="1"/>
        </w:rPr>
        <w:t>b)(i</w:t>
      </w:r>
      <w:r>
        <w:rPr>
          <w:rFonts w:ascii="Times New Roman" w:cs="Times New Roman" w:eastAsia="Times New Roman" w:hAnsi="Times New Roman"/>
          <w:sz w:val="22"/>
          <w:szCs w:val="22"/>
          <w:u w:val="single" w:color="auto"/>
          <w:color w:val="000000"/>
          <w:strike w:val="1"/>
        </w:rPr>
        <w:t>)</w:t>
      </w:r>
      <w:r>
        <w:rPr>
          <w:rFonts w:ascii="Times New Roman" w:cs="Times New Roman" w:eastAsia="Times New Roman" w:hAnsi="Times New Roman"/>
          <w:sz w:val="22"/>
          <w:szCs w:val="22"/>
          <w:color w:val="000000"/>
          <w:strike w:val="1"/>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color w:val="FF0000"/>
          <w:strike w:val="1"/>
        </w:rPr>
        <w:t>:</w:t>
      </w:r>
    </w:p>
    <w:p>
      <w:pPr>
        <w:spacing w:after="0" w:line="179" w:lineRule="exact"/>
        <w:rPr>
          <w:sz w:val="20"/>
          <w:szCs w:val="20"/>
          <w:color w:val="auto"/>
        </w:rPr>
      </w:pPr>
    </w:p>
    <w:p>
      <w:pPr>
        <w:jc w:val="both"/>
        <w:ind w:firstLine="656"/>
        <w:spacing w:after="0" w:line="225" w:lineRule="auto"/>
        <w:tabs>
          <w:tab w:leader="none" w:pos="1111" w:val="left"/>
        </w:tabs>
        <w:numPr>
          <w:ilvl w:val="0"/>
          <w:numId w:val="22"/>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 the case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with respect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any Benchmark Transition Event</w:t>
      </w:r>
      <w:r>
        <w:rPr>
          <w:rFonts w:ascii="Times New Roman" w:cs="Times New Roman" w:eastAsia="Times New Roman" w:hAnsi="Times New Roman"/>
          <w:sz w:val="22"/>
          <w:szCs w:val="22"/>
          <w:color w:val="FF0000"/>
        </w:rPr>
        <w:t xml:space="preserve"> or Early Opt-in Election</w:t>
      </w:r>
      <w:r>
        <w:rPr>
          <w:rFonts w:ascii="Times New Roman" w:cs="Times New Roman" w:eastAsia="Times New Roman" w:hAnsi="Times New Roman"/>
          <w:sz w:val="22"/>
          <w:szCs w:val="22"/>
          <w:color w:val="000000"/>
        </w:rPr>
        <w:t>, for any Available Tenor,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first alternative set forth in the order below that can be determined by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00"/>
        </w:rPr>
        <w:t xml:space="preserve"> Administrative Agent for the applicable Benchmark Replacement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4138295</wp:posOffset>
            </wp:positionH>
            <wp:positionV relativeFrom="paragraph">
              <wp:posOffset>-356870</wp:posOffset>
            </wp:positionV>
            <wp:extent cx="13722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37223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1)</w:t>
      </w:r>
      <w:r>
        <w:rPr>
          <w:sz w:val="20"/>
          <w:szCs w:val="20"/>
          <w:color w:val="auto"/>
        </w:rPr>
        <w:tab/>
      </w:r>
      <w:r>
        <w:rPr>
          <w:rFonts w:ascii="Times New Roman" w:cs="Times New Roman" w:eastAsia="Times New Roman" w:hAnsi="Times New Roman"/>
          <w:sz w:val="21"/>
          <w:szCs w:val="21"/>
          <w:color w:val="FF0000"/>
          <w:strike w:val="1"/>
        </w:rPr>
        <w:t>the sum of: (a) Term SOFR and (b) the related Benchmark Replacement Adjustment;</w:t>
      </w:r>
    </w:p>
    <w:p>
      <w:pPr>
        <w:spacing w:after="0" w:line="179" w:lineRule="exact"/>
        <w:rPr>
          <w:sz w:val="20"/>
          <w:szCs w:val="20"/>
          <w:color w:val="auto"/>
        </w:rPr>
      </w:pPr>
    </w:p>
    <w:p>
      <w:pPr>
        <w:ind w:left="1120" w:hanging="464"/>
        <w:spacing w:after="0"/>
        <w:tabs>
          <w:tab w:leader="none" w:pos="1120" w:val="left"/>
        </w:tabs>
        <w:numPr>
          <w:ilvl w:val="0"/>
          <w:numId w:val="23"/>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sum of: (a)</w:t>
      </w:r>
      <w:r>
        <w:rPr>
          <w:rFonts w:ascii="Times New Roman" w:cs="Times New Roman" w:eastAsia="Times New Roman" w:hAnsi="Times New Roman"/>
          <w:sz w:val="22"/>
          <w:szCs w:val="22"/>
          <w:u w:val="single" w:color="auto"/>
          <w:color w:val="0000FF"/>
        </w:rPr>
        <w:t>a)  Adjusted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Daily Simple SOFR</w:t>
      </w:r>
      <w:r>
        <w:rPr>
          <w:rFonts w:ascii="Times New Roman" w:cs="Times New Roman" w:eastAsia="Times New Roman" w:hAnsi="Times New Roman"/>
          <w:sz w:val="22"/>
          <w:szCs w:val="22"/>
          <w:color w:val="FF0000"/>
        </w:rPr>
        <w:t xml:space="preserve"> and </w:t>
      </w:r>
      <w:r>
        <w:rPr>
          <w:rFonts w:ascii="Times New Roman" w:cs="Times New Roman" w:eastAsia="Times New Roman" w:hAnsi="Times New Roman"/>
          <w:sz w:val="22"/>
          <w:szCs w:val="22"/>
          <w:u w:val="single" w:color="auto"/>
          <w:color w:val="0000FF"/>
        </w:rPr>
        <w:t>; or</w:t>
      </w:r>
    </w:p>
    <w:p>
      <w:pPr>
        <w:spacing w:after="0" w:line="179" w:lineRule="exact"/>
        <w:rPr>
          <w:rFonts w:ascii="Times New Roman" w:cs="Times New Roman" w:eastAsia="Times New Roman" w:hAnsi="Times New Roman"/>
          <w:sz w:val="22"/>
          <w:szCs w:val="22"/>
          <w:color w:val="FF0000"/>
          <w:strike w:val="1"/>
        </w:rPr>
      </w:pPr>
    </w:p>
    <w:p>
      <w:pPr>
        <w:ind w:left="660"/>
        <w:spacing w:after="0"/>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color w:val="FF0000"/>
        </w:rPr>
        <w:t>the related Benchmark Replacement Adjustment;</w:t>
      </w:r>
    </w:p>
    <w:p>
      <w:pPr>
        <w:spacing w:after="0" w:line="179" w:lineRule="exact"/>
        <w:rPr>
          <w:rFonts w:ascii="Times New Roman" w:cs="Times New Roman" w:eastAsia="Times New Roman" w:hAnsi="Times New Roman"/>
          <w:sz w:val="22"/>
          <w:szCs w:val="22"/>
          <w:color w:val="FF0000"/>
          <w:strike w:val="1"/>
        </w:rPr>
      </w:pPr>
    </w:p>
    <w:p>
      <w:pPr>
        <w:jc w:val="both"/>
        <w:ind w:firstLine="656"/>
        <w:spacing w:after="0" w:line="225" w:lineRule="auto"/>
        <w:tabs>
          <w:tab w:leader="none" w:pos="1116" w:val="left"/>
        </w:tabs>
        <w:numPr>
          <w:ilvl w:val="0"/>
          <w:numId w:val="23"/>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the sum of: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 xml:space="preserve">) the alternate benchmark rate that has been selected by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auto"/>
        </w:rPr>
        <w:t xml:space="preserve"> Administrative Agent and </w:t>
      </w:r>
      <w:r>
        <w:rPr>
          <w:rFonts w:ascii="Times New Roman" w:cs="Times New Roman" w:eastAsia="Times New Roman" w:hAnsi="Times New Roman"/>
          <w:sz w:val="22"/>
          <w:szCs w:val="22"/>
          <w:color w:val="0000FF"/>
        </w:rPr>
        <w:t>the</w:t>
      </w:r>
      <w:r>
        <w:rPr>
          <w:rFonts w:ascii="Times New Roman" w:cs="Times New Roman" w:eastAsia="Times New Roman" w:hAnsi="Times New Roman"/>
          <w:sz w:val="22"/>
          <w:szCs w:val="22"/>
          <w:color w:val="auto"/>
        </w:rPr>
        <w:t xml:space="preserve"> Borrower </w:t>
      </w:r>
      <w:r>
        <w:rPr>
          <w:rFonts w:ascii="Times New Roman" w:cs="Times New Roman" w:eastAsia="Times New Roman" w:hAnsi="Times New Roman"/>
          <w:sz w:val="22"/>
          <w:szCs w:val="22"/>
          <w:color w:val="FF0000"/>
          <w:strike w:val="1"/>
        </w:rPr>
        <w:t>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the replacement for the then-current Benchmark for the applicable Corresponding Tenor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giving due consideration to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000000"/>
        </w:rPr>
        <w:t>) 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selection or recommendation of a replacement benchmark rate or the mechanism for determining such a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-905510</wp:posOffset>
            </wp:positionV>
            <wp:extent cx="266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66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-631190</wp:posOffset>
            </wp:positionV>
            <wp:extent cx="27381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73812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-305435</wp:posOffset>
            </wp:positionV>
            <wp:extent cx="2019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395" w:right="339" w:bottom="1440" w:gutter="0" w:footer="0" w:header="0"/>
        </w:sectPr>
      </w:pPr>
    </w:p>
    <w:bookmarkStart w:id="71" w:name="page72"/>
    <w:bookmarkEnd w:id="71"/>
    <w:p>
      <w:pPr>
        <w:jc w:val="both"/>
        <w:spacing w:after="0" w:line="225" w:lineRule="auto"/>
        <w:rPr>
          <w:sz w:val="20"/>
          <w:szCs w:val="20"/>
          <w:color w:val="auto"/>
        </w:rPr>
      </w:pPr>
      <w:r>
        <w:rPr>
          <w:rFonts w:ascii="Times New Roman" w:cs="Times New Roman" w:eastAsia="Times New Roman" w:hAnsi="Times New Roman"/>
          <w:sz w:val="22"/>
          <w:szCs w:val="22"/>
          <w:color w:val="auto"/>
        </w:rPr>
        <w:t>by the Relevant Governmental Body or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auto"/>
        </w:rPr>
        <w:t xml:space="preserve">) any evolving or then-prevailing market convention for determining a benchmark rate as a replacement </w:t>
      </w:r>
      <w:r>
        <w:rPr>
          <w:rFonts w:ascii="Times New Roman" w:cs="Times New Roman" w:eastAsia="Times New Roman" w:hAnsi="Times New Roman"/>
          <w:sz w:val="22"/>
          <w:szCs w:val="22"/>
          <w:color w:val="FF0000"/>
          <w:strike w:val="1"/>
        </w:rPr>
        <w:t>for</w:t>
      </w:r>
      <w:r>
        <w:rPr>
          <w:rFonts w:ascii="Times New Roman" w:cs="Times New Roman" w:eastAsia="Times New Roman" w:hAnsi="Times New Roman"/>
          <w:sz w:val="22"/>
          <w:szCs w:val="22"/>
          <w:u w:val="single" w:color="auto"/>
          <w:color w:val="0000FF"/>
        </w:rPr>
        <w:t>to</w:t>
      </w:r>
      <w:r>
        <w:rPr>
          <w:rFonts w:ascii="Times New Roman" w:cs="Times New Roman" w:eastAsia="Times New Roman" w:hAnsi="Times New Roman"/>
          <w:sz w:val="22"/>
          <w:szCs w:val="22"/>
          <w:color w:val="auto"/>
        </w:rPr>
        <w:t xml:space="preserve"> the then-current Benchmark for </w:t>
      </w:r>
      <w:r>
        <w:rPr>
          <w:rFonts w:ascii="Times New Roman" w:cs="Times New Roman" w:eastAsia="Times New Roman" w:hAnsi="Times New Roman"/>
          <w:sz w:val="22"/>
          <w:szCs w:val="22"/>
          <w:color w:val="FF0000"/>
          <w:strike w:val="1"/>
        </w:rPr>
        <w:t>U.S. dollar</w:t>
      </w:r>
      <w:r>
        <w:rPr>
          <w:rFonts w:ascii="Times New Roman" w:cs="Times New Roman" w:eastAsia="Times New Roman" w:hAnsi="Times New Roman"/>
          <w:sz w:val="22"/>
          <w:szCs w:val="22"/>
          <w:u w:val="single" w:color="auto"/>
          <w:color w:val="0000FF"/>
        </w:rPr>
        <w:t>Dollar</w:t>
      </w:r>
      <w:r>
        <w:rPr>
          <w:rFonts w:ascii="Times New Roman" w:cs="Times New Roman" w:eastAsia="Times New Roman" w:hAnsi="Times New Roman"/>
          <w:sz w:val="22"/>
          <w:szCs w:val="22"/>
          <w:color w:val="auto"/>
        </w:rPr>
        <w:t>-denominated syndicated credit facilities at such time and (</w:t>
      </w:r>
      <w:r>
        <w:rPr>
          <w:rFonts w:ascii="Times New Roman" w:cs="Times New Roman" w:eastAsia="Times New Roman" w:hAnsi="Times New Roman"/>
          <w:sz w:val="22"/>
          <w:szCs w:val="22"/>
          <w:color w:val="FF0000"/>
          <w:strike w:val="1"/>
        </w:rPr>
        <w:t>b) the related Benchmark Replacement Adjustment;</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FF0000"/>
          <w:strike w:val="1"/>
        </w:rPr>
        <w:t xml:space="preserve">provided </w:t>
      </w:r>
      <w:r>
        <w:rPr>
          <w:rFonts w:ascii="Times New Roman" w:cs="Times New Roman" w:eastAsia="Times New Roman" w:hAnsi="Times New Roman"/>
          <w:sz w:val="22"/>
          <w:szCs w:val="22"/>
          <w:color w:val="FF0000"/>
          <w:strike w:val="1"/>
        </w:rPr>
        <w:t>that, in the case of clause (1), such Unadjusted Benchmark Replacement is displayed on a screen or other information</w:t>
      </w:r>
      <w:r>
        <w:rPr>
          <w:rFonts w:ascii="Times New Roman" w:cs="Times New Roman" w:eastAsia="Times New Roman" w:hAnsi="Times New Roman"/>
          <w:sz w:val="22"/>
          <w:szCs w:val="22"/>
          <w:u w:val="single" w:color="auto"/>
          <w:color w:val="FF0000"/>
          <w:strike w:val="1"/>
        </w:rPr>
        <w:t xml:space="preserve"> </w:t>
      </w:r>
      <w:r>
        <w:rPr>
          <w:rFonts w:ascii="Times New Roman" w:cs="Times New Roman" w:eastAsia="Times New Roman" w:hAnsi="Times New Roman"/>
          <w:sz w:val="22"/>
          <w:szCs w:val="22"/>
          <w:color w:val="FF0000"/>
          <w:strike w:val="1"/>
        </w:rPr>
        <w:t>service that publishes such rate from time to time as selected by Administrative Agent in its reasonable discretion or</w:t>
      </w:r>
    </w:p>
    <w:p>
      <w:pPr>
        <w:spacing w:after="0" w:line="150" w:lineRule="exact"/>
        <w:rPr>
          <w:sz w:val="20"/>
          <w:szCs w:val="20"/>
          <w:color w:val="auto"/>
        </w:rPr>
      </w:pPr>
    </w:p>
    <w:p>
      <w:pPr>
        <w:ind w:firstLine="656"/>
        <w:spacing w:after="0" w:line="236" w:lineRule="auto"/>
        <w:tabs>
          <w:tab w:leader="none" w:pos="1289" w:val="left"/>
        </w:tabs>
        <w:numPr>
          <w:ilvl w:val="0"/>
          <w:numId w:val="2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 the case of a Term SOFR Transition Event, the sum of (x) Term SOFR and (y</w:t>
      </w:r>
      <w:r>
        <w:rPr>
          <w:rFonts w:ascii="Times New Roman" w:cs="Times New Roman" w:eastAsia="Times New Roman" w:hAnsi="Times New Roman"/>
          <w:sz w:val="22"/>
          <w:szCs w:val="22"/>
          <w:u w:val="single" w:color="auto"/>
          <w:color w:val="0000FF"/>
        </w:rPr>
        <w:t>ii</w:t>
      </w:r>
      <w:r>
        <w:rPr>
          <w:rFonts w:ascii="Times New Roman" w:cs="Times New Roman" w:eastAsia="Times New Roman" w:hAnsi="Times New Roman"/>
          <w:sz w:val="22"/>
          <w:szCs w:val="22"/>
          <w:color w:val="000000"/>
        </w:rPr>
        <w:t>) the related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Replacement Adjustment.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If the Benchmark Replacement as determined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FF0000"/>
          <w:strike w:val="1"/>
        </w:rPr>
        <w:t>) (1), (2) or (3</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would be less than the Floor, the Benchmark Replacement will be deemed to be the Floor for the purposes of this Agreement and the other Loan Documents.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xml:space="preserve">” means, with respect to any replacement of the then- current Benchmark with an Unadjusted Benchmark Replacement </w:t>
      </w:r>
      <w:r>
        <w:rPr>
          <w:rFonts w:ascii="Times New Roman" w:cs="Times New Roman" w:eastAsia="Times New Roman" w:hAnsi="Times New Roman"/>
          <w:sz w:val="22"/>
          <w:szCs w:val="22"/>
          <w:color w:val="FF0000"/>
        </w:rPr>
        <w:t>for any applicable Interest Period and Available Tenor for any setting of such Unadjusted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2063750</wp:posOffset>
            </wp:positionH>
            <wp:positionV relativeFrom="paragraph">
              <wp:posOffset>-219710</wp:posOffset>
            </wp:positionV>
            <wp:extent cx="50698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069840" cy="8255"/>
                    </a:xfrm>
                    <a:prstGeom prst="rect">
                      <a:avLst/>
                    </a:prstGeom>
                    <a:noFill/>
                  </pic:spPr>
                </pic:pic>
              </a:graphicData>
            </a:graphic>
          </wp:anchor>
        </w:drawing>
      </w:r>
    </w:p>
    <w:p>
      <w:pPr>
        <w:spacing w:after="0" w:line="133" w:lineRule="exact"/>
        <w:rPr>
          <w:sz w:val="20"/>
          <w:szCs w:val="20"/>
          <w:color w:val="auto"/>
        </w:rPr>
      </w:pPr>
    </w:p>
    <w:p>
      <w:pPr>
        <w:ind w:firstLine="656"/>
        <w:spacing w:after="0" w:line="236" w:lineRule="auto"/>
        <w:tabs>
          <w:tab w:leader="none" w:pos="1246" w:val="left"/>
        </w:tabs>
        <w:numPr>
          <w:ilvl w:val="0"/>
          <w:numId w:val="25"/>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for purposes of clauses (a) (1) and (2) and clause (b) of the definition of “Benchmark Replacement,” the first alternative set forth in the order below that can be determined by Administrative Agent:</w:t>
      </w:r>
    </w:p>
    <w:p>
      <w:pPr>
        <w:spacing w:after="0" w:line="150" w:lineRule="exact"/>
        <w:rPr>
          <w:sz w:val="20"/>
          <w:szCs w:val="20"/>
          <w:color w:val="auto"/>
        </w:rPr>
      </w:pPr>
    </w:p>
    <w:p>
      <w:pPr>
        <w:jc w:val="both"/>
        <w:ind w:firstLine="656"/>
        <w:spacing w:after="0" w:line="220" w:lineRule="auto"/>
        <w:tabs>
          <w:tab w:leader="none" w:pos="942" w:val="left"/>
        </w:tabs>
        <w:numPr>
          <w:ilvl w:val="0"/>
          <w:numId w:val="2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spread adjustment, or method for calculating or determining such spread adjustment, (which may be a positive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negative value or zero) </w:t>
      </w:r>
      <w:r>
        <w:rPr>
          <w:rFonts w:ascii="Times New Roman" w:cs="Times New Roman" w:eastAsia="Times New Roman" w:hAnsi="Times New Roman"/>
          <w:sz w:val="22"/>
          <w:szCs w:val="22"/>
          <w:color w:val="FF0000"/>
          <w:strike w:val="1"/>
        </w:rPr>
        <w:t>as of the Reference Time such Benchmark Replacement is first set for such Interest Period</w:t>
      </w:r>
      <w:r>
        <w:rPr>
          <w:rFonts w:ascii="Times New Roman" w:cs="Times New Roman" w:eastAsia="Times New Roman" w:hAnsi="Times New Roman"/>
          <w:sz w:val="22"/>
          <w:szCs w:val="22"/>
          <w:color w:val="000000"/>
        </w:rPr>
        <w:t xml:space="preserve"> that has been selected </w:t>
      </w:r>
      <w:r>
        <w:rPr>
          <w:rFonts w:ascii="Times New Roman" w:cs="Times New Roman" w:eastAsia="Times New Roman" w:hAnsi="Times New Roman"/>
          <w:sz w:val="22"/>
          <w:szCs w:val="22"/>
          <w:color w:val="FF0000"/>
        </w:rPr>
        <w:t>or recommended</w:t>
      </w:r>
      <w:r>
        <w:rPr>
          <w:rFonts w:ascii="Times New Roman" w:cs="Times New Roman" w:eastAsia="Times New Roman" w:hAnsi="Times New Roman"/>
          <w:sz w:val="22"/>
          <w:szCs w:val="22"/>
          <w:color w:val="000000"/>
        </w:rPr>
        <w:t xml:space="preserve"> by the </w:t>
      </w:r>
      <w:r>
        <w:rPr>
          <w:rFonts w:ascii="Times New Roman" w:cs="Times New Roman" w:eastAsia="Times New Roman" w:hAnsi="Times New Roman"/>
          <w:sz w:val="22"/>
          <w:szCs w:val="22"/>
          <w:color w:val="FF0000"/>
          <w:strike w:val="1"/>
        </w:rPr>
        <w:t>Relevant Governmental Body for the replacement of such Benchmark with the applicable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Unadjusted Benchmark Replacement for the applicable Corresponding Tenor;</w:t>
      </w:r>
    </w:p>
    <w:p>
      <w:pPr>
        <w:spacing w:after="0" w:line="152" w:lineRule="exact"/>
        <w:rPr>
          <w:rFonts w:ascii="Times New Roman" w:cs="Times New Roman" w:eastAsia="Times New Roman" w:hAnsi="Times New Roman"/>
          <w:sz w:val="22"/>
          <w:szCs w:val="22"/>
          <w:color w:val="FF0000"/>
          <w:strike w:val="1"/>
        </w:rPr>
      </w:pPr>
    </w:p>
    <w:p>
      <w:pPr>
        <w:jc w:val="both"/>
        <w:ind w:firstLine="656"/>
        <w:spacing w:after="0" w:line="220" w:lineRule="auto"/>
        <w:tabs>
          <w:tab w:leader="none" w:pos="1118" w:val="left"/>
        </w:tabs>
        <w:numPr>
          <w:ilvl w:val="0"/>
          <w:numId w:val="2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-905510</wp:posOffset>
            </wp:positionV>
            <wp:extent cx="10026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32" w:lineRule="exact"/>
        <w:rPr>
          <w:sz w:val="20"/>
          <w:szCs w:val="20"/>
          <w:color w:val="auto"/>
        </w:rPr>
      </w:pPr>
    </w:p>
    <w:p>
      <w:pPr>
        <w:jc w:val="both"/>
        <w:ind w:firstLine="656"/>
        <w:spacing w:after="0" w:line="221" w:lineRule="auto"/>
        <w:tabs>
          <w:tab w:leader="none" w:pos="1157" w:val="left"/>
        </w:tabs>
        <w:numPr>
          <w:ilvl w:val="0"/>
          <w:numId w:val="27"/>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for purposes of clause (a) (3) of the definition of “Benchmark Replacement,” the spread adjustment, or method for calculating or determining such spread adjustment, (which may be a positive or negative value or zero) that has been selected by </w:t>
      </w:r>
      <w:r>
        <w:rPr>
          <w:rFonts w:ascii="Times New Roman" w:cs="Times New Roman" w:eastAsia="Times New Roman" w:hAnsi="Times New Roman"/>
          <w:sz w:val="21"/>
          <w:szCs w:val="21"/>
          <w:color w:val="000000"/>
          <w:strike w:val="1"/>
        </w:rPr>
        <w:t xml:space="preserve">Administrative Agent and </w:t>
      </w:r>
      <w:r>
        <w:rPr>
          <w:rFonts w:ascii="Times New Roman" w:cs="Times New Roman" w:eastAsia="Times New Roman" w:hAnsi="Times New Roman"/>
          <w:sz w:val="21"/>
          <w:szCs w:val="21"/>
          <w:color w:val="0000FF"/>
          <w:strike w:val="1"/>
        </w:rPr>
        <w:t>the</w:t>
      </w:r>
      <w:r>
        <w:rPr>
          <w:rFonts w:ascii="Times New Roman" w:cs="Times New Roman" w:eastAsia="Times New Roman" w:hAnsi="Times New Roman"/>
          <w:sz w:val="21"/>
          <w:szCs w:val="21"/>
          <w:color w:val="000000"/>
          <w:strike w:val="1"/>
        </w:rPr>
        <w:t xml:space="preserve"> Borrower for the applicable Corresponding Tenor giving due consideration to (</w:t>
      </w:r>
      <w:r>
        <w:rPr>
          <w:rFonts w:ascii="Times New Roman" w:cs="Times New Roman" w:eastAsia="Times New Roman" w:hAnsi="Times New Roman"/>
          <w:sz w:val="21"/>
          <w:szCs w:val="21"/>
          <w:color w:val="FF0000"/>
          <w:strike w:val="1"/>
        </w:rPr>
        <w:t>i</w:t>
      </w:r>
      <w:r>
        <w:rPr>
          <w:rFonts w:ascii="Times New Roman" w:cs="Times New Roman" w:eastAsia="Times New Roman" w:hAnsi="Times New Roman"/>
          <w:sz w:val="21"/>
          <w:szCs w:val="21"/>
          <w:u w:val="single" w:color="auto"/>
          <w:color w:val="0000FF"/>
          <w:strike w:val="1"/>
        </w:rPr>
        <w:t>a</w:t>
      </w:r>
      <w:r>
        <w:rPr>
          <w:rFonts w:ascii="Times New Roman" w:cs="Times New Roman" w:eastAsia="Times New Roman" w:hAnsi="Times New Roman"/>
          <w:sz w:val="21"/>
          <w:szCs w:val="21"/>
          <w:color w:val="000000"/>
          <w:strike w:val="1"/>
        </w:rPr>
        <w:t xml:space="preserve">) any selection or recommendation of a spread adjustment, or method for calculating or determining such spread adjustment, for the replacement of such Benchmark with the applicable Unadjusted Benchmark Replacement by the Relevant Governmental Body </w:t>
      </w:r>
      <w:r>
        <w:rPr>
          <w:rFonts w:ascii="Times New Roman" w:cs="Times New Roman" w:eastAsia="Times New Roman" w:hAnsi="Times New Roman"/>
          <w:sz w:val="21"/>
          <w:szCs w:val="21"/>
          <w:color w:val="FF0000"/>
          <w:strike w:val="1"/>
        </w:rPr>
        <w:t>on the applicable</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 xml:space="preserve">Benchmark Replacement Date </w:t>
      </w:r>
      <w:r>
        <w:rPr>
          <w:rFonts w:ascii="Times New Roman" w:cs="Times New Roman" w:eastAsia="Times New Roman" w:hAnsi="Times New Roman"/>
          <w:sz w:val="21"/>
          <w:szCs w:val="21"/>
          <w:u w:val="single" w:color="auto"/>
          <w:color w:val="0000FF"/>
          <w:strike w:val="1"/>
        </w:rPr>
        <w:t>and/</w:t>
      </w:r>
      <w:r>
        <w:rPr>
          <w:rFonts w:ascii="Times New Roman" w:cs="Times New Roman" w:eastAsia="Times New Roman" w:hAnsi="Times New Roman"/>
          <w:sz w:val="21"/>
          <w:szCs w:val="21"/>
          <w:color w:val="000000"/>
          <w:strike w:val="1"/>
        </w:rPr>
        <w:t>or (</w:t>
      </w:r>
      <w:r>
        <w:rPr>
          <w:rFonts w:ascii="Times New Roman" w:cs="Times New Roman" w:eastAsia="Times New Roman" w:hAnsi="Times New Roman"/>
          <w:sz w:val="21"/>
          <w:szCs w:val="21"/>
          <w:color w:val="FF0000"/>
          <w:strike w:val="1"/>
        </w:rPr>
        <w:t>ii</w:t>
      </w:r>
      <w:r>
        <w:rPr>
          <w:rFonts w:ascii="Times New Roman" w:cs="Times New Roman" w:eastAsia="Times New Roman" w:hAnsi="Times New Roman"/>
          <w:sz w:val="21"/>
          <w:szCs w:val="21"/>
          <w:u w:val="single" w:color="auto"/>
          <w:color w:val="0000FF"/>
          <w:strike w:val="1"/>
        </w:rPr>
        <w:t>b</w:t>
      </w:r>
      <w:r>
        <w:rPr>
          <w:rFonts w:ascii="Times New Roman" w:cs="Times New Roman" w:eastAsia="Times New Roman" w:hAnsi="Times New Roman"/>
          <w:sz w:val="21"/>
          <w:szCs w:val="21"/>
          <w:color w:val="000000"/>
          <w:strike w:val="1"/>
        </w:rPr>
        <w:t>) any evolving or then-prevailing market convention for determining a spread</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 xml:space="preserve">adjustment, or method for calculating or determining such spread adjustment, for the replacement of such Benchmark with the applicable Unadjusted Benchmark Replacement for </w:t>
      </w:r>
      <w:r>
        <w:rPr>
          <w:rFonts w:ascii="Times New Roman" w:cs="Times New Roman" w:eastAsia="Times New Roman" w:hAnsi="Times New Roman"/>
          <w:sz w:val="21"/>
          <w:szCs w:val="21"/>
          <w:color w:val="FF0000"/>
          <w:strike w:val="1"/>
        </w:rPr>
        <w:t>U.S. dollar</w:t>
      </w:r>
      <w:r>
        <w:rPr>
          <w:rFonts w:ascii="Times New Roman" w:cs="Times New Roman" w:eastAsia="Times New Roman" w:hAnsi="Times New Roman"/>
          <w:sz w:val="21"/>
          <w:szCs w:val="21"/>
          <w:u w:val="single" w:color="auto"/>
          <w:color w:val="0000FF"/>
          <w:strike w:val="1"/>
        </w:rPr>
        <w:t>Dollar</w:t>
      </w:r>
      <w:r>
        <w:rPr>
          <w:rFonts w:ascii="Times New Roman" w:cs="Times New Roman" w:eastAsia="Times New Roman" w:hAnsi="Times New Roman"/>
          <w:sz w:val="21"/>
          <w:szCs w:val="21"/>
          <w:color w:val="000000"/>
          <w:strike w:val="1"/>
        </w:rPr>
        <w:t>- denominated syndicated credit facilities</w:t>
      </w:r>
      <w:r>
        <w:rPr>
          <w:rFonts w:ascii="Times New Roman" w:cs="Times New Roman" w:eastAsia="Times New Roman" w:hAnsi="Times New Roman"/>
          <w:sz w:val="21"/>
          <w:szCs w:val="21"/>
          <w:color w:val="FF0000"/>
          <w:strike w:val="1"/>
        </w:rPr>
        <w:t>; provided that, in</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the case of clause (1) above, such adjustment is displayed on a screen or other information service that publishes such Benchmark Replacement Adjustment from time to time as selected by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-991235</wp:posOffset>
            </wp:positionV>
            <wp:extent cx="2019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13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Benchmark Replacement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C000"/>
        </w:rPr>
        <w:t>Conforming Changes</w:t>
      </w:r>
      <w:r>
        <w:rPr>
          <w:rFonts w:ascii="Times New Roman" w:cs="Times New Roman" w:eastAsia="Times New Roman" w:hAnsi="Times New Roman"/>
          <w:sz w:val="22"/>
          <w:szCs w:val="22"/>
          <w:color w:val="00C000"/>
        </w:rPr>
        <w:t>” means, with respect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any Benchmark Replacement, any technical,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 xml:space="preserve">administrative or operational changes (including changes to the definition of “ABR,” the definition of “Business Day,” the definition of “Interest Period,” </w:t>
      </w:r>
      <w:r>
        <w:rPr>
          <w:rFonts w:ascii="Times New Roman" w:cs="Times New Roman" w:eastAsia="Times New Roman" w:hAnsi="Times New Roman"/>
          <w:sz w:val="22"/>
          <w:szCs w:val="22"/>
          <w:color w:val="00C000"/>
          <w:strike w:val="1"/>
        </w:rPr>
        <w:t>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1936750</wp:posOffset>
            </wp:positionH>
            <wp:positionV relativeFrom="paragraph">
              <wp:posOffset>-356870</wp:posOffset>
            </wp:positionV>
            <wp:extent cx="26619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66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12" w:lineRule="auto"/>
        <w:rPr>
          <w:sz w:val="20"/>
          <w:szCs w:val="20"/>
          <w:color w:val="auto"/>
        </w:rPr>
      </w:pPr>
      <w:r>
        <w:rPr>
          <w:rFonts w:ascii="Times New Roman" w:cs="Times New Roman" w:eastAsia="Times New Roman" w:hAnsi="Times New Roman"/>
          <w:sz w:val="22"/>
          <w:szCs w:val="22"/>
          <w:color w:val="00C000"/>
          <w:strike w:val="1"/>
        </w:rPr>
        <w:t xml:space="preserve">and frequency of determining rates and making payments of interest, timing of borrowing requests or prepayment, conversion or continuation notices, length of lookback periods, the applicability of </w:t>
      </w:r>
      <w:r>
        <w:rPr>
          <w:rFonts w:ascii="Times New Roman" w:cs="Times New Roman" w:eastAsia="Times New Roman" w:hAnsi="Times New Roman"/>
          <w:sz w:val="22"/>
          <w:szCs w:val="22"/>
          <w:color w:val="FF0000"/>
          <w:strike w:val="1"/>
        </w:rPr>
        <w:t>breakage provisions, and other technical, administrative or</w:t>
      </w:r>
      <w:r>
        <w:rPr>
          <w:rFonts w:ascii="Times New Roman" w:cs="Times New Roman" w:eastAsia="Times New Roman" w:hAnsi="Times New Roman"/>
          <w:sz w:val="22"/>
          <w:szCs w:val="22"/>
          <w:color w:val="00C000"/>
          <w:strike w:val="1"/>
        </w:rPr>
        <w:t xml:space="preserve"> </w:t>
      </w:r>
      <w:r>
        <w:rPr>
          <w:rFonts w:ascii="Times New Roman" w:cs="Times New Roman" w:eastAsia="Times New Roman" w:hAnsi="Times New Roman"/>
          <w:sz w:val="22"/>
          <w:szCs w:val="22"/>
          <w:color w:val="FF0000"/>
          <w:strike w:val="1"/>
        </w:rPr>
        <w:t xml:space="preserve">operational matters) that </w:t>
      </w:r>
      <w:r>
        <w:rPr>
          <w:rFonts w:ascii="Times New Roman" w:cs="Times New Roman" w:eastAsia="Times New Roman" w:hAnsi="Times New Roman"/>
          <w:sz w:val="22"/>
          <w:szCs w:val="22"/>
          <w:color w:val="00C000"/>
          <w:strike w:val="1"/>
        </w:rPr>
        <w:t>Administrative Agent decides may be appropriate to reflect the adoption and implementation of</w:t>
      </w:r>
      <w:r>
        <w:rPr>
          <w:rFonts w:ascii="Times New Roman" w:cs="Times New Roman" w:eastAsia="Times New Roman" w:hAnsi="Times New Roman"/>
          <w:sz w:val="22"/>
          <w:szCs w:val="22"/>
          <w:color w:val="FF0000"/>
          <w:strike w:val="1"/>
        </w:rPr>
        <w:t xml:space="preserve"> such Benchmark Replacement and to permit the administration thereof by </w:t>
      </w:r>
      <w:r>
        <w:rPr>
          <w:rFonts w:ascii="Times New Roman" w:cs="Times New Roman" w:eastAsia="Times New Roman" w:hAnsi="Times New Roman"/>
          <w:sz w:val="22"/>
          <w:szCs w:val="22"/>
          <w:color w:val="00C000"/>
          <w:strike w:val="1"/>
        </w:rPr>
        <w:t>Administrative Agent in a manner substantially consistent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C000"/>
          <w:strike w:val="1"/>
        </w:rPr>
        <w:t xml:space="preserve">with market practice (or, if </w:t>
      </w:r>
      <w:r>
        <w:rPr>
          <w:rFonts w:ascii="Times New Roman" w:cs="Times New Roman" w:eastAsia="Times New Roman" w:hAnsi="Times New Roman"/>
          <w:sz w:val="22"/>
          <w:szCs w:val="22"/>
          <w:color w:val="FF0000"/>
          <w:strike w:val="1"/>
        </w:rPr>
        <w:t>Administrative Agent decides that adoption of any portion of such market practice is not</w:t>
      </w:r>
      <w:r>
        <w:rPr>
          <w:rFonts w:ascii="Times New Roman" w:cs="Times New Roman" w:eastAsia="Times New Roman" w:hAnsi="Times New Roman"/>
          <w:sz w:val="22"/>
          <w:szCs w:val="22"/>
          <w:color w:val="00C000"/>
          <w:strike w:val="1"/>
        </w:rPr>
        <w:t xml:space="preserve"> </w:t>
      </w:r>
      <w:r>
        <w:rPr>
          <w:rFonts w:ascii="Times New Roman" w:cs="Times New Roman" w:eastAsia="Times New Roman" w:hAnsi="Times New Roman"/>
          <w:sz w:val="22"/>
          <w:szCs w:val="22"/>
          <w:color w:val="FF0000"/>
          <w:strike w:val="1"/>
        </w:rPr>
        <w:t xml:space="preserve">administratively feasible or if Administrative Agent determines that no market practice for the administration of such Benchmark Replacement exists, in such other manner of administration as Administrative Agent decides is reasonably </w:t>
      </w:r>
      <w:r>
        <w:rPr>
          <w:rFonts w:ascii="Times New Roman" w:cs="Times New Roman" w:eastAsia="Times New Roman" w:hAnsi="Times New Roman"/>
          <w:sz w:val="22"/>
          <w:szCs w:val="22"/>
          <w:color w:val="00C000"/>
          <w:strike w:val="1"/>
        </w:rPr>
        <w:t>necessary in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C000"/>
          <w:strike w:val="1"/>
        </w:rPr>
        <w:t xml:space="preserve">connection with the administration of this Agreement and the other Loan Documents) </w:t>
      </w:r>
      <w:r>
        <w:rPr>
          <w:rFonts w:ascii="Times New Roman" w:cs="Times New Roman" w:eastAsia="Times New Roman" w:hAnsi="Times New Roman"/>
          <w:sz w:val="22"/>
          <w:szCs w:val="22"/>
          <w:color w:val="0000FF"/>
          <w:strike w:val="1"/>
        </w:rPr>
        <w:t>at such time</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-28575</wp:posOffset>
            </wp:positionV>
            <wp:extent cx="6972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7230" cy="8890"/>
                    </a:xfrm>
                    <a:prstGeom prst="rect">
                      <a:avLst/>
                    </a:prstGeom>
                    <a:noFill/>
                  </pic:spPr>
                </pic:pic>
              </a:graphicData>
            </a:graphic>
          </wp:anchor>
        </w:drawing>
      </w:r>
    </w:p>
    <w:p>
      <w:pPr>
        <w:spacing w:after="0" w:line="13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u w:val="single" w:color="auto"/>
          <w:color w:val="0000FF"/>
        </w:rPr>
        <w:t>, with respect to any Benchmark,</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FF0000"/>
          <w:strike w:val="1"/>
        </w:rPr>
        <w:t>earliest</w:t>
      </w:r>
      <w:r>
        <w:rPr>
          <w:rFonts w:ascii="Times New Roman" w:cs="Times New Roman" w:eastAsia="Times New Roman" w:hAnsi="Times New Roman"/>
          <w:sz w:val="22"/>
          <w:szCs w:val="22"/>
          <w:u w:val="single" w:color="auto"/>
          <w:color w:val="0000FF"/>
        </w:rPr>
        <w:t>earlier</w:t>
      </w:r>
      <w:r>
        <w:rPr>
          <w:rFonts w:ascii="Times New Roman" w:cs="Times New Roman" w:eastAsia="Times New Roman" w:hAnsi="Times New Roman"/>
          <w:sz w:val="22"/>
          <w:szCs w:val="22"/>
          <w:color w:val="auto"/>
        </w:rPr>
        <w:t xml:space="preserve"> to occur of the following events with respect to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auto"/>
        </w:rPr>
        <w:t xml:space="preserve"> then-current Benchmark:</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in the case of </w:t>
      </w:r>
      <w:r>
        <w:rPr>
          <w:rFonts w:ascii="Times New Roman" w:cs="Times New Roman" w:eastAsia="Times New Roman" w:hAnsi="Times New Roman"/>
          <w:sz w:val="22"/>
          <w:szCs w:val="22"/>
          <w:u w:val="single" w:color="auto"/>
          <w:color w:val="auto"/>
        </w:rPr>
        <w:t>clause (</w:t>
      </w: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of the definition of “Benchmark Transition Event,” the later of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 the date of the public statement or publication of information referenced therein and (</w:t>
      </w: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u w:val="single" w:color="auto"/>
          <w:color w:val="0000FF"/>
        </w:rPr>
        <w:t>ii</w:t>
      </w:r>
      <w:r>
        <w:rPr>
          <w:rFonts w:ascii="Times New Roman" w:cs="Times New Roman" w:eastAsia="Times New Roman" w:hAnsi="Times New Roman"/>
          <w:sz w:val="22"/>
          <w:szCs w:val="22"/>
          <w:color w:val="auto"/>
        </w:rPr>
        <w:t xml:space="preserve">)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22"/>
          <w:szCs w:val="22"/>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-31115</wp:posOffset>
            </wp:positionV>
            <wp:extent cx="1485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13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auto"/>
        </w:rPr>
        <w:t xml:space="preserve">) in the case of </w:t>
      </w:r>
      <w:r>
        <w:rPr>
          <w:rFonts w:ascii="Times New Roman" w:cs="Times New Roman" w:eastAsia="Times New Roman" w:hAnsi="Times New Roman"/>
          <w:sz w:val="22"/>
          <w:szCs w:val="22"/>
          <w:u w:val="single" w:color="auto"/>
          <w:color w:val="auto"/>
        </w:rPr>
        <w:t>clause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of the definition of “Benchmark Transition Event,” the </w:t>
      </w:r>
      <w:r>
        <w:rPr>
          <w:rFonts w:ascii="Times New Roman" w:cs="Times New Roman" w:eastAsia="Times New Roman" w:hAnsi="Times New Roman"/>
          <w:sz w:val="22"/>
          <w:szCs w:val="22"/>
          <w:u w:val="single" w:color="auto"/>
          <w:color w:val="0000FF"/>
        </w:rPr>
        <w:t>first</w:t>
      </w:r>
      <w:r>
        <w:rPr>
          <w:rFonts w:ascii="Times New Roman" w:cs="Times New Roman" w:eastAsia="Times New Roman" w:hAnsi="Times New Roman"/>
          <w:sz w:val="22"/>
          <w:szCs w:val="22"/>
          <w:color w:val="auto"/>
        </w:rPr>
        <w:t xml:space="preserve"> date </w:t>
      </w:r>
      <w:r>
        <w:rPr>
          <w:rFonts w:ascii="Times New Roman" w:cs="Times New Roman" w:eastAsia="Times New Roman" w:hAnsi="Times New Roman"/>
          <w:sz w:val="22"/>
          <w:szCs w:val="22"/>
          <w:color w:val="FF0000"/>
          <w:strike w:val="1"/>
        </w:rPr>
        <w:t>of the public</w:t>
      </w:r>
      <w:r>
        <w:rPr>
          <w:rFonts w:ascii="Times New Roman" w:cs="Times New Roman" w:eastAsia="Times New Roman" w:hAnsi="Times New Roman"/>
          <w:sz w:val="22"/>
          <w:szCs w:val="22"/>
          <w:u w:val="single" w:color="auto"/>
          <w:color w:val="0000FF"/>
        </w:rPr>
        <w:t>on which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 xml:space="preserve">such Benchmark (or the published component used in the calculation thereof) has been determined and announced by the regulatory </w:t>
      </w:r>
      <w:r>
        <w:rPr>
          <w:rFonts w:ascii="Times New Roman" w:cs="Times New Roman" w:eastAsia="Times New Roman" w:hAnsi="Times New Roman"/>
          <w:sz w:val="22"/>
          <w:szCs w:val="22"/>
          <w:u w:val="single" w:color="auto"/>
          <w:color w:val="00C000"/>
        </w:rPr>
        <w:t>supervisor for the administrator of</w:t>
      </w:r>
      <w:r>
        <w:rPr>
          <w:rFonts w:ascii="Times New Roman" w:cs="Times New Roman" w:eastAsia="Times New Roman" w:hAnsi="Times New Roman"/>
          <w:sz w:val="22"/>
          <w:szCs w:val="22"/>
          <w:u w:val="single" w:color="auto"/>
          <w:color w:val="0000FF"/>
        </w:rPr>
        <w:t xml:space="preserve"> such Benchmark (or such component thereof) to be no longer representative; provided, that such nonrepresentativeness will be determined by reference to the most recent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statement or publication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information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referenced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therein;</w:t>
      </w:r>
      <w:r>
        <w:rPr>
          <w:rFonts w:ascii="Times New Roman" w:cs="Times New Roman" w:eastAsia="Times New Roman" w:hAnsi="Times New Roman"/>
          <w:sz w:val="22"/>
          <w:szCs w:val="22"/>
          <w:u w:val="single" w:color="auto"/>
          <w:color w:val="0000FF"/>
        </w:rPr>
        <w:t>in such clause (c) and even if any Available Tenor of such Benchmark (or such component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thereof) continues to be provided on such date.</w:t>
      </w:r>
    </w:p>
    <w:p>
      <w:pPr>
        <w:spacing w:after="0" w:line="152" w:lineRule="exact"/>
        <w:rPr>
          <w:sz w:val="20"/>
          <w:szCs w:val="20"/>
          <w:color w:val="auto"/>
        </w:rPr>
      </w:pPr>
    </w:p>
    <w:p>
      <w:pPr>
        <w:ind w:right="20" w:firstLine="656"/>
        <w:spacing w:after="0" w:line="236" w:lineRule="auto"/>
        <w:tabs>
          <w:tab w:leader="none" w:pos="1129" w:val="left"/>
        </w:tabs>
        <w:numPr>
          <w:ilvl w:val="0"/>
          <w:numId w:val="28"/>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in the case of a Term SOFR Transition Event, the date that is ten (10) Business Days after Administrative Agent has provided the Term SOFR Notice to the Lenders and Borrower pursuant to </w:t>
      </w:r>
      <w:r>
        <w:rPr>
          <w:rFonts w:ascii="Times New Roman" w:cs="Times New Roman" w:eastAsia="Times New Roman" w:hAnsi="Times New Roman"/>
          <w:sz w:val="22"/>
          <w:szCs w:val="22"/>
          <w:u w:val="single" w:color="auto"/>
          <w:color w:val="FF0000"/>
          <w:strike w:val="1"/>
        </w:rPr>
        <w:t>Section 11.3(a)(ii)</w:t>
      </w:r>
      <w:r>
        <w:rPr>
          <w:rFonts w:ascii="Times New Roman" w:cs="Times New Roman" w:eastAsia="Times New Roman" w:hAnsi="Times New Roman"/>
          <w:sz w:val="22"/>
          <w:szCs w:val="22"/>
          <w:color w:val="FF0000"/>
          <w:strike w:val="1"/>
        </w:rPr>
        <w:t>; or</w:t>
      </w:r>
    </w:p>
    <w:p>
      <w:pPr>
        <w:spacing w:after="0" w:line="150" w:lineRule="exact"/>
        <w:rPr>
          <w:rFonts w:ascii="Times New Roman" w:cs="Times New Roman" w:eastAsia="Times New Roman" w:hAnsi="Times New Roman"/>
          <w:sz w:val="22"/>
          <w:szCs w:val="22"/>
          <w:color w:val="FF0000"/>
          <w:strike w:val="1"/>
        </w:rPr>
      </w:pPr>
    </w:p>
    <w:p>
      <w:pPr>
        <w:jc w:val="both"/>
        <w:ind w:firstLine="656"/>
        <w:spacing w:after="0" w:line="220" w:lineRule="auto"/>
        <w:tabs>
          <w:tab w:leader="none" w:pos="1224" w:val="left"/>
        </w:tabs>
        <w:numPr>
          <w:ilvl w:val="0"/>
          <w:numId w:val="28"/>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in the case of an Early Opt-in Election, the sixth (6th) Business Day after the date notice of such Early Opt-in Election is provided to the Lenders, so long as Administrative Agent has not received, by </w:t>
      </w:r>
      <w:r>
        <w:rPr>
          <w:rFonts w:ascii="Times New Roman" w:cs="Times New Roman" w:eastAsia="Times New Roman" w:hAnsi="Times New Roman"/>
          <w:sz w:val="22"/>
          <w:szCs w:val="22"/>
          <w:color w:val="00C000"/>
          <w:strike w:val="1"/>
        </w:rPr>
        <w:t>5:00 p.m. (New York City time) on</w:t>
      </w:r>
      <w:r>
        <w:rPr>
          <w:rFonts w:ascii="Times New Roman" w:cs="Times New Roman" w:eastAsia="Times New Roman" w:hAnsi="Times New Roman"/>
          <w:sz w:val="22"/>
          <w:szCs w:val="22"/>
          <w:color w:val="FF0000"/>
          <w:strike w:val="1"/>
        </w:rPr>
        <w:t xml:space="preserve"> the fifth (5th) Business Day after the date notice of such Early Opt-in Election is provided to the Lenders, written notice of objection to such Early Opt-in Election from Lenders comprising the Majority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4946650</wp:posOffset>
            </wp:positionH>
            <wp:positionV relativeFrom="paragraph">
              <wp:posOffset>-356870</wp:posOffset>
            </wp:positionV>
            <wp:extent cx="20231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3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For the avoidance of doubt, </w:t>
      </w:r>
      <w:r>
        <w:rPr>
          <w:rFonts w:ascii="Times New Roman" w:cs="Times New Roman" w:eastAsia="Times New Roman" w:hAnsi="Times New Roman"/>
          <w:sz w:val="22"/>
          <w:szCs w:val="22"/>
          <w:color w:val="FF0000"/>
          <w:strike w:val="1"/>
        </w:rPr>
        <w:t>(i) if the event giving rise to the Benchmark Replacement Date occurs on the same day as, but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earlier than, the Reference Time in respect of any determination, the Benchmark Replacement Date will be deemed to have occurred prior to the Reference Time for such determination and (ii) </w:t>
      </w:r>
      <w:r>
        <w:rPr>
          <w:rFonts w:ascii="Times New Roman" w:cs="Times New Roman" w:eastAsia="Times New Roman" w:hAnsi="Times New Roman"/>
          <w:sz w:val="22"/>
          <w:szCs w:val="22"/>
          <w:color w:val="000000"/>
          <w:strike w:val="1"/>
        </w:rPr>
        <w:t>the “Benchmark Replacement Date” will be deemed to have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occurred in the case of </w:t>
      </w:r>
      <w:r>
        <w:rPr>
          <w:rFonts w:ascii="Times New Roman" w:cs="Times New Roman" w:eastAsia="Times New Roman" w:hAnsi="Times New Roman"/>
          <w:sz w:val="22"/>
          <w:szCs w:val="22"/>
          <w:u w:val="single" w:color="auto"/>
          <w:color w:val="000000"/>
          <w:strike w:val="1"/>
        </w:rPr>
        <w:t>clause (</w:t>
      </w: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u w:val="single" w:color="auto"/>
          <w:color w:val="0000FF"/>
          <w:strike w:val="1"/>
        </w:rPr>
        <w:t>a</w:t>
      </w:r>
      <w:r>
        <w:rPr>
          <w:rFonts w:ascii="Times New Roman" w:cs="Times New Roman" w:eastAsia="Times New Roman" w:hAnsi="Times New Roman"/>
          <w:sz w:val="22"/>
          <w:szCs w:val="22"/>
          <w:u w:val="single" w:color="auto"/>
          <w:color w:val="000000"/>
          <w:strike w:val="1"/>
        </w:rPr>
        <w:t>)</w:t>
      </w:r>
      <w:r>
        <w:rPr>
          <w:rFonts w:ascii="Times New Roman" w:cs="Times New Roman" w:eastAsia="Times New Roman" w:hAnsi="Times New Roman"/>
          <w:sz w:val="22"/>
          <w:szCs w:val="22"/>
          <w:color w:val="000000"/>
          <w:strike w:val="1"/>
        </w:rPr>
        <w:t xml:space="preserve"> or </w:t>
      </w:r>
      <w:r>
        <w:rPr>
          <w:rFonts w:ascii="Times New Roman" w:cs="Times New Roman" w:eastAsia="Times New Roman" w:hAnsi="Times New Roman"/>
          <w:sz w:val="22"/>
          <w:szCs w:val="22"/>
          <w:u w:val="single" w:color="auto"/>
          <w:color w:val="000000"/>
          <w:strike w:val="1"/>
        </w:rPr>
        <w:t>(</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strike w:val="1"/>
        </w:rPr>
        <w:t>b</w:t>
      </w:r>
      <w:r>
        <w:rPr>
          <w:rFonts w:ascii="Times New Roman" w:cs="Times New Roman" w:eastAsia="Times New Roman" w:hAnsi="Times New Roman"/>
          <w:sz w:val="22"/>
          <w:szCs w:val="22"/>
          <w:u w:val="single" w:color="auto"/>
          <w:color w:val="000000"/>
          <w:strike w:val="1"/>
        </w:rPr>
        <w:t>)</w:t>
      </w:r>
      <w:r>
        <w:rPr>
          <w:rFonts w:ascii="Times New Roman" w:cs="Times New Roman" w:eastAsia="Times New Roman" w:hAnsi="Times New Roman"/>
          <w:sz w:val="22"/>
          <w:szCs w:val="22"/>
          <w:color w:val="000000"/>
          <w:strike w:val="1"/>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xml:space="preserve">” means the occurrence of one or more of the following events with respect to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auto"/>
        </w:rPr>
        <w:t xml:space="preserve"> then-current Benchmark:</w:t>
      </w:r>
    </w:p>
    <w:p>
      <w:pPr>
        <w:spacing w:after="0" w:line="150" w:lineRule="exact"/>
        <w:rPr>
          <w:sz w:val="20"/>
          <w:szCs w:val="20"/>
          <w:color w:val="auto"/>
        </w:rPr>
      </w:pPr>
    </w:p>
    <w:p>
      <w:pPr>
        <w:ind w:left="660" w:right="20" w:hanging="4"/>
        <w:spacing w:after="0" w:line="236" w:lineRule="auto"/>
        <w:tabs>
          <w:tab w:leader="none" w:pos="954" w:val="left"/>
        </w:tabs>
        <w:numPr>
          <w:ilvl w:val="0"/>
          <w:numId w:val="29"/>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 public statement or publication of information by or on behalf of the administrator of such Benchmark (or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published component used in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1395" w:right="339" w:bottom="1440" w:gutter="0" w:footer="0" w:header="0"/>
        </w:sectPr>
      </w:pPr>
    </w:p>
    <w:bookmarkStart w:id="73" w:name="page74"/>
    <w:bookmarkEnd w:id="73"/>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2" w:lineRule="exact"/>
        <w:rPr>
          <w:sz w:val="20"/>
          <w:szCs w:val="20"/>
          <w:color w:val="auto"/>
        </w:rPr>
      </w:pPr>
    </w:p>
    <w:p>
      <w:pPr>
        <w:jc w:val="both"/>
        <w:ind w:left="660" w:hanging="4"/>
        <w:spacing w:after="0" w:line="211" w:lineRule="auto"/>
        <w:tabs>
          <w:tab w:leader="none" w:pos="981" w:val="left"/>
        </w:tabs>
        <w:numPr>
          <w:ilvl w:val="0"/>
          <w:numId w:val="3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 public statement or publication of information by the regulatory supervisor for the administrator of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Benchmark (or the published component used in the calculation thereof), the Board </w:t>
      </w:r>
      <w:r>
        <w:rPr>
          <w:rFonts w:ascii="Times New Roman" w:cs="Times New Roman" w:eastAsia="Times New Roman" w:hAnsi="Times New Roman"/>
          <w:sz w:val="22"/>
          <w:szCs w:val="22"/>
          <w:color w:val="FF0000"/>
        </w:rPr>
        <w:t>of Governors of the Federal Reserve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System</w:t>
      </w:r>
      <w:r>
        <w:rPr>
          <w:rFonts w:ascii="Times New Roman" w:cs="Times New Roman" w:eastAsia="Times New Roman" w:hAnsi="Times New Roman"/>
          <w:sz w:val="22"/>
          <w:szCs w:val="22"/>
          <w:color w:val="000000"/>
        </w:rPr>
        <w:t>, the Federal Reserve Bank of New York,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the Term SOFR Administrator,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 insolvency official with jurisdiction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t>
      </w:r>
      <w:r>
        <w:rPr>
          <w:rFonts w:ascii="Times New Roman" w:cs="Times New Roman" w:eastAsia="Times New Roman" w:hAnsi="Times New Roman"/>
          <w:sz w:val="22"/>
          <w:szCs w:val="22"/>
          <w:u w:val="single" w:color="auto"/>
          <w:color w:val="0000FF"/>
        </w:rPr>
        <w:t>in each case,</w:t>
      </w:r>
      <w:r>
        <w:rPr>
          <w:rFonts w:ascii="Times New Roman" w:cs="Times New Roman" w:eastAsia="Times New Roman" w:hAnsi="Times New Roman"/>
          <w:sz w:val="22"/>
          <w:szCs w:val="22"/>
          <w:color w:val="000000"/>
        </w:rPr>
        <w:t xml:space="preserv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at the time of such statement or publication, there is no successor administrator that will continue to provide any Available Tenor of such Benchmark (or such component thereof); or</w:t>
      </w:r>
    </w:p>
    <w:p>
      <w:pPr>
        <w:spacing w:after="0" w:line="151" w:lineRule="exact"/>
        <w:rPr>
          <w:rFonts w:ascii="Times New Roman" w:cs="Times New Roman" w:eastAsia="Times New Roman" w:hAnsi="Times New Roman"/>
          <w:sz w:val="20"/>
          <w:szCs w:val="20"/>
          <w:color w:val="FF0000"/>
          <w:strike w:val="1"/>
        </w:rPr>
      </w:pPr>
    </w:p>
    <w:p>
      <w:pPr>
        <w:jc w:val="both"/>
        <w:ind w:left="660" w:right="20" w:hanging="4"/>
        <w:spacing w:after="0" w:line="225" w:lineRule="auto"/>
        <w:tabs>
          <w:tab w:leader="none" w:pos="981" w:val="left"/>
        </w:tabs>
        <w:numPr>
          <w:ilvl w:val="0"/>
          <w:numId w:val="3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 public statement or publication of information by the regulatory supervisor for the administrator of 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Benchmark (or the published component used in the calculation thereof) announcing that all Available Tenors of such Benchmark (or such component thereof) are no longer</w:t>
      </w:r>
      <w:r>
        <w:rPr>
          <w:rFonts w:ascii="Times New Roman" w:cs="Times New Roman" w:eastAsia="Times New Roman" w:hAnsi="Times New Roman"/>
          <w:sz w:val="22"/>
          <w:szCs w:val="22"/>
          <w:u w:val="single" w:color="auto"/>
          <w:color w:val="0000FF"/>
        </w:rPr>
        <w:t>, or as of a specified future date will no longer be,</w:t>
      </w:r>
      <w:r>
        <w:rPr>
          <w:rFonts w:ascii="Times New Roman" w:cs="Times New Roman" w:eastAsia="Times New Roman" w:hAnsi="Times New Roman"/>
          <w:sz w:val="22"/>
          <w:szCs w:val="22"/>
          <w:color w:val="000000"/>
        </w:rPr>
        <w:t xml:space="preserv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5063490</wp:posOffset>
            </wp:positionH>
            <wp:positionV relativeFrom="paragraph">
              <wp:posOffset>-1728470</wp:posOffset>
            </wp:positionV>
            <wp:extent cx="20681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068195" cy="8255"/>
                    </a:xfrm>
                    <a:prstGeom prst="rect">
                      <a:avLst/>
                    </a:prstGeom>
                    <a:noFill/>
                  </pic:spPr>
                </pic:pic>
              </a:graphicData>
            </a:graphic>
          </wp:anchor>
        </w:drawing>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204" w:lineRule="auto"/>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u w:val="single" w:color="auto"/>
          <w:color w:val="0000FF"/>
        </w:rPr>
        <w:t>, with respect to any Benchmark,</w:t>
      </w:r>
      <w:r>
        <w:rPr>
          <w:rFonts w:ascii="Times New Roman" w:cs="Times New Roman" w:eastAsia="Times New Roman" w:hAnsi="Times New Roman"/>
          <w:sz w:val="22"/>
          <w:szCs w:val="22"/>
          <w:color w:val="auto"/>
        </w:rPr>
        <w:t xml:space="preserve"> the period (if any) (</w:t>
      </w:r>
      <w:r>
        <w:rPr>
          <w:rFonts w:ascii="Times New Roman" w:cs="Times New Roman" w:eastAsia="Times New Roman" w:hAnsi="Times New Roman"/>
          <w:sz w:val="22"/>
          <w:szCs w:val="22"/>
          <w:color w:val="FF0000"/>
          <w:strike w:val="1"/>
        </w:rPr>
        <w:t>x</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beginning at the time that a Benchmark Replacement Date </w:t>
      </w:r>
      <w:r>
        <w:rPr>
          <w:rFonts w:ascii="Times New Roman" w:cs="Times New Roman" w:eastAsia="Times New Roman" w:hAnsi="Times New Roman"/>
          <w:sz w:val="22"/>
          <w:szCs w:val="22"/>
          <w:color w:val="FF0000"/>
          <w:strike w:val="1"/>
        </w:rPr>
        <w:t>pursuant to clauses (1) or (2) of that definition</w:t>
      </w:r>
      <w:r>
        <w:rPr>
          <w:rFonts w:ascii="Times New Roman" w:cs="Times New Roman" w:eastAsia="Times New Roman" w:hAnsi="Times New Roman"/>
          <w:sz w:val="22"/>
          <w:szCs w:val="22"/>
          <w:color w:val="auto"/>
        </w:rPr>
        <w:t xml:space="preserve"> has occurred if, at such time, no Benchmark Replacement has replaced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auto"/>
        </w:rPr>
        <w:t xml:space="preserve"> then</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color w:val="FF0000"/>
          <w:strike w:val="1"/>
        </w:rPr>
        <w:t>y</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auto"/>
        </w:rPr>
        <w:t xml:space="preserve">) ending at the time that a Benchmark Replacement has replaced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such</w:t>
      </w:r>
      <w:r>
        <w:rPr>
          <w:rFonts w:ascii="Times New Roman" w:cs="Times New Roman" w:eastAsia="Times New Roman" w:hAnsi="Times New Roman"/>
          <w:sz w:val="22"/>
          <w:szCs w:val="22"/>
          <w:color w:val="auto"/>
        </w:rPr>
        <w:t xml:space="preserve"> then</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13.25(b)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(or any successor).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has the meaning set forth in the last paragraph of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“Borrowing” means Advances of the same Type, made, converted or continued on the same date and, in the case of SOFR Advances, as to which a single Interest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20" w:top="1395"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Deficiency</w:t>
      </w:r>
      <w:r>
        <w:rPr>
          <w:rFonts w:ascii="Times New Roman" w:cs="Times New Roman" w:eastAsia="Times New Roman" w:hAnsi="Times New Roman"/>
          <w:sz w:val="22"/>
          <w:szCs w:val="22"/>
          <w:color w:val="auto"/>
        </w:rPr>
        <w:t xml:space="preserve">” means, as of any date, the amount, if any, by which the Aggregate Credit Exposure on such date exceeds the Borrowing Base in effect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determining the existence and amount of any Borrowing Base Deficiency, Letter of Credit Obligations will not be deemed to be outstanding to the extent such obligations are secured by cash in the manner contemplated by this Agreement or any other Loan Document.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Properties</w:t>
      </w:r>
      <w:r>
        <w:rPr>
          <w:rFonts w:ascii="Times New Roman" w:cs="Times New Roman" w:eastAsia="Times New Roman" w:hAnsi="Times New Roman"/>
          <w:sz w:val="22"/>
          <w:szCs w:val="22"/>
          <w:color w:val="auto"/>
        </w:rPr>
        <w:t>” means, at any time, all Oil and Gas Properties of Borrower and the Restricted Subsidiaries in the most recent Reserve Report evaluated by the Lenders for purposes of establishing the Borrowing Base. Borrowing Base Properties do not include any Oil and Gas Properties owned by a Foreign Subsidiary.</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Utilization</w:t>
      </w:r>
      <w:r>
        <w:rPr>
          <w:rFonts w:ascii="Times New Roman" w:cs="Times New Roman" w:eastAsia="Times New Roman" w:hAnsi="Times New Roman"/>
          <w:sz w:val="22"/>
          <w:szCs w:val="22"/>
          <w:color w:val="auto"/>
        </w:rPr>
        <w:t>” means, as of any date of determination, the quotient, expressed as a percentage, of (a) the Aggregate Credit Exposure as of such date, divided by (b) the Borrowing Base as of such date.</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other than a Saturday or a Sunday or other day on which commercial banks in Houston, Texas or New York, New York are authorized or required by law to close,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color w:val="FF0000"/>
        </w:rPr>
        <w:t>with respect to notices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determinations</w:t>
      </w:r>
      <w:r>
        <w:rPr>
          <w:rFonts w:ascii="Times New Roman" w:cs="Times New Roman" w:eastAsia="Times New Roman" w:hAnsi="Times New Roman"/>
          <w:sz w:val="22"/>
          <w:szCs w:val="22"/>
          <w:u w:val="single" w:color="auto"/>
          <w:color w:val="0000FF"/>
        </w:rPr>
        <w:t>, when used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in connection with</w:t>
      </w:r>
      <w:r>
        <w:rPr>
          <w:rFonts w:ascii="Times New Roman" w:cs="Times New Roman" w:eastAsia="Times New Roman" w:hAnsi="Times New Roman"/>
          <w:sz w:val="22"/>
          <w:szCs w:val="22"/>
          <w:color w:val="FF0000"/>
          <w:strike w:val="1"/>
        </w:rPr>
        <w:t>, and payments of principal and interest on, Eurodollar-based Advances,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FF"/>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SOFR Advance, or any other calculation or determination involving SOFR, the term “Business Day” means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day</w:t>
      </w:r>
      <w:r>
        <w:rPr>
          <w:rFonts w:ascii="Times New Roman" w:cs="Times New Roman" w:eastAsia="Times New Roman" w:hAnsi="Times New Roman"/>
          <w:sz w:val="22"/>
          <w:szCs w:val="22"/>
          <w:color w:val="0000FF"/>
        </w:rPr>
        <w:t xml:space="preserve"> that </w:t>
      </w:r>
      <w:r>
        <w:rPr>
          <w:rFonts w:ascii="Times New Roman" w:cs="Times New Roman" w:eastAsia="Times New Roman" w:hAnsi="Times New Roman"/>
          <w:sz w:val="22"/>
          <w:szCs w:val="22"/>
          <w:color w:val="000000"/>
        </w:rPr>
        <w:t>is also 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day for trading by and between banks in Dollar deposits in the Interbank Eurodollar Market</w:t>
      </w:r>
      <w:r>
        <w:rPr>
          <w:rFonts w:ascii="Times New Roman" w:cs="Times New Roman" w:eastAsia="Times New Roman" w:hAnsi="Times New Roman"/>
          <w:sz w:val="22"/>
          <w:szCs w:val="22"/>
          <w:u w:val="single" w:color="auto"/>
          <w:color w:val="0000FF"/>
          <w:strike w:val="1"/>
        </w:rPr>
        <w:t>U.S. Government Securities Business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Day</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5434330</wp:posOffset>
            </wp:positionH>
            <wp:positionV relativeFrom="paragraph">
              <wp:posOffset>-631190</wp:posOffset>
            </wp:positionV>
            <wp:extent cx="1702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702435" cy="8255"/>
                    </a:xfrm>
                    <a:prstGeom prst="rect">
                      <a:avLst/>
                    </a:prstGeom>
                    <a:noFill/>
                  </pic:spPr>
                </pic:pic>
              </a:graphicData>
            </a:graphic>
          </wp:anchor>
        </w:drawing>
        <w:drawing>
          <wp:anchor simplePos="0" relativeHeight="251657728" behindDoc="1" locked="0" layoutInCell="0" allowOverlap="1">
            <wp:simplePos x="0" y="0"/>
            <wp:positionH relativeFrom="column">
              <wp:posOffset>7019290</wp:posOffset>
            </wp:positionH>
            <wp:positionV relativeFrom="paragraph">
              <wp:posOffset>-442595</wp:posOffset>
            </wp:positionV>
            <wp:extent cx="1123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6414135</wp:posOffset>
            </wp:positionH>
            <wp:positionV relativeFrom="paragraph">
              <wp:posOffset>-305435</wp:posOffset>
            </wp:positionV>
            <wp:extent cx="2400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3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w:t>
      </w:r>
      <w:r>
        <w:rPr>
          <w:rFonts w:ascii="Times New Roman" w:cs="Times New Roman" w:eastAsia="Times New Roman" w:hAnsi="Times New Roman"/>
          <w:sz w:val="22"/>
          <w:szCs w:val="22"/>
          <w:color w:val="auto"/>
        </w:rPr>
        <w:t>” means,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xml:space="preserve">” means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w:t>
      </w:r>
      <w:r>
        <w:rPr>
          <w:rFonts w:ascii="Times New Roman" w:cs="Times New Roman" w:eastAsia="Times New Roman" w:hAnsi="Times New Roman"/>
          <w:sz w:val="21"/>
          <w:szCs w:val="21"/>
          <w:color w:val="FF0000"/>
          <w:strike w:val="1"/>
        </w:rPr>
        <w:t>Eurodollar</w:t>
      </w:r>
      <w:r>
        <w:rPr>
          <w:rFonts w:ascii="Times New Roman" w:cs="Times New Roman" w:eastAsia="Times New Roman" w:hAnsi="Times New Roman"/>
          <w:sz w:val="21"/>
          <w:szCs w:val="21"/>
          <w:u w:val="single" w:color="auto"/>
          <w:color w:val="0000FF"/>
        </w:rPr>
        <w:t>eurodollar</w:t>
      </w:r>
      <w:r>
        <w:rPr>
          <w:rFonts w:ascii="Times New Roman" w:cs="Times New Roman" w:eastAsia="Times New Roman" w:hAnsi="Times New Roman"/>
          <w:sz w:val="21"/>
          <w:szCs w:val="21"/>
          <w:color w:val="auto"/>
        </w:rPr>
        <w:t xml:space="preserve">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(c) commercial paper of an issuer rated at least A 1 by S&amp;P or P 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40"/>
          </w:cols>
          <w:pgMar w:left="320" w:top="1395" w:right="339" w:bottom="1440" w:gutter="0" w:footer="0" w:header="0"/>
        </w:sectPr>
      </w:pPr>
    </w:p>
    <w:bookmarkStart w:id="75" w:name="page76"/>
    <w:bookmarkEnd w:id="75"/>
    <w:p>
      <w:pPr>
        <w:jc w:val="both"/>
        <w:spacing w:after="0" w:line="236" w:lineRule="auto"/>
        <w:rPr>
          <w:sz w:val="20"/>
          <w:szCs w:val="20"/>
          <w:color w:val="auto"/>
        </w:rPr>
      </w:pPr>
      <w:r>
        <w:rPr>
          <w:rFonts w:ascii="Times New Roman" w:cs="Times New Roman" w:eastAsia="Times New Roman" w:hAnsi="Times New Roman"/>
          <w:sz w:val="22"/>
          <w:szCs w:val="22"/>
          <w:color w:val="auto"/>
        </w:rPr>
        <w:t>under the Investment Company Act of 1940, as amended, (ii) are rated AAA by S&amp;P and Aaa by Moody’s and (iii) have portfolio assets of at least $5,000,000,000.</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 event or series of events whereby any of the following occurs:</w:t>
      </w:r>
    </w:p>
    <w:p>
      <w:pPr>
        <w:spacing w:after="0" w:line="179" w:lineRule="exact"/>
        <w:rPr>
          <w:sz w:val="20"/>
          <w:szCs w:val="20"/>
          <w:color w:val="auto"/>
        </w:rPr>
      </w:pPr>
    </w:p>
    <w:p>
      <w:pPr>
        <w:ind w:left="660" w:firstLine="644"/>
        <w:spacing w:after="0" w:line="236" w:lineRule="auto"/>
        <w:tabs>
          <w:tab w:leader="none" w:pos="195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Parent controls, directly or indirectly, less than 100% on a fully diluted basis of the aggregate issued and outstanding voting stock (or comparable voting interests) of Borrower;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195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event or series of events by which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 3 and 13d 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a majority or more of each class of the equity securities of the Parent entitled to vote for members of the board of directors or equivalent governing body of the Parent on a fully-diluted basis (and taking into account all such securities that such person or group has the right to acquire pursuant to any option right);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such “group” shall not consist of any existing “group” of shareholders (or the members thereof) that may be deemed to beneficially own more than a majority of any class of voting equity securities of the Parent pursuant to existing voting agreements or otherwise;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 “Change of Control” (or any other defined term having a similar purpose) as defined in</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Indenture.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CIP Regulations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means all property of the Credit Parties, now owned or hereafter acquired, upon which a Lien is created by any Collateral Document to secure the Indebtedness, including, without limitation, (a) all Mortgaged Properties, (b) 100% of the Equity Interests of each Restricted Subsidiary that is a Domestic Subsidiary, (c) 65% of the Equity Interests of each Restricted Subsidiary that is a Foreign Subsidiary, and (d) all other tangible and intangible personal property now owned or hereafter acquired by the Credit Parties that is located on, or relates to, any of the Mortgaged Properties including accounts, notes, contract receivables, inventory, machinery, equipment and general intangibles,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notwithstanding the foregoing, the Collateral shall not include any Excluded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40"/>
          </w:cols>
          <w:pgMar w:left="320" w:top="1395" w:right="339" w:bottom="1440" w:gutter="0" w:footer="0" w:header="0"/>
        </w:sectPr>
      </w:pPr>
    </w:p>
    <w:bookmarkStart w:id="76" w:name="page77"/>
    <w:bookmarkEnd w:id="76"/>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means the Pledge Agreement, the Mortgages and all other security documents and pledge documents (and any joinders thereto) executed by any Credit Party in favor of Administrative Agent for the benefit of the Secured Parties.</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means the fee payable to Administrative Agent for distribution to the Revolving Credit Lenders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the Revolving Credit Aggregate Commitment.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means the Commodity Exchange Act (7 U.S.C. § 1 et seq.), as amended from time to time, and any successor statute.</w:t>
      </w:r>
    </w:p>
    <w:p>
      <w:pPr>
        <w:spacing w:after="0" w:line="15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Commodity Hedging Agreement</w:t>
      </w:r>
      <w:r>
        <w:rPr>
          <w:rFonts w:ascii="Times New Roman" w:cs="Times New Roman" w:eastAsia="Times New Roman" w:hAnsi="Times New Roman"/>
          <w:sz w:val="21"/>
          <w:szCs w:val="21"/>
          <w:color w:val="auto"/>
        </w:rPr>
        <w:t>” means any commodity hedging or purchase agreement or similar arrangement entered into with the intent of protecting against fluctuations in commodity prices or the exchange of notional commodity obligations, either generally or under specific contingencies, including, without limitation, commodity price swap agreements, forward agreements or contracts of sale which provide for prepayment for deferred shipment or delivery of oil, gas or other commodities.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or in such other form acceptable to the Administrative Agent.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u w:val="single" w:color="auto"/>
          <w:color w:val="00C000"/>
        </w:rPr>
        <w:t>Conforming Changes” means, with respect to</w:t>
      </w:r>
      <w:r>
        <w:rPr>
          <w:rFonts w:ascii="Times New Roman" w:cs="Times New Roman" w:eastAsia="Times New Roman" w:hAnsi="Times New Roman"/>
          <w:sz w:val="21"/>
          <w:szCs w:val="21"/>
          <w:u w:val="single" w:color="auto"/>
          <w:color w:val="0000FF"/>
        </w:rPr>
        <w:t xml:space="preserve">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w:t>
      </w:r>
      <w:r>
        <w:rPr>
          <w:rFonts w:ascii="Times New Roman" w:cs="Times New Roman" w:eastAsia="Times New Roman" w:hAnsi="Times New Roman"/>
          <w:sz w:val="21"/>
          <w:szCs w:val="21"/>
          <w:u w:val="single" w:color="auto"/>
          <w:color w:val="00C000"/>
        </w:rPr>
        <w:t>timing and frequency of determining rates and making payments of interest, timing of borrowing requests or</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u w:val="single" w:color="auto"/>
          <w:color w:val="00C000"/>
        </w:rPr>
        <w:t xml:space="preserve">prepayment, conversion or continuation notices, </w:t>
      </w:r>
      <w:r>
        <w:rPr>
          <w:rFonts w:ascii="Times New Roman" w:cs="Times New Roman" w:eastAsia="Times New Roman" w:hAnsi="Times New Roman"/>
          <w:sz w:val="21"/>
          <w:szCs w:val="21"/>
          <w:u w:val="single" w:color="auto"/>
          <w:color w:val="0000FF"/>
        </w:rPr>
        <w:t>the applicability and</w:t>
      </w:r>
      <w:r>
        <w:rPr>
          <w:rFonts w:ascii="Times New Roman" w:cs="Times New Roman" w:eastAsia="Times New Roman" w:hAnsi="Times New Roman"/>
          <w:sz w:val="21"/>
          <w:szCs w:val="21"/>
          <w:u w:val="single" w:color="auto"/>
          <w:color w:val="00C000"/>
        </w:rPr>
        <w:t xml:space="preserve"> length of lookback periods, the applicability of </w:t>
      </w:r>
      <w:r>
        <w:rPr>
          <w:rFonts w:ascii="Times New Roman" w:cs="Times New Roman" w:eastAsia="Times New Roman" w:hAnsi="Times New Roman"/>
          <w:sz w:val="21"/>
          <w:szCs w:val="21"/>
          <w:u w:val="single" w:color="auto"/>
          <w:color w:val="0000FF"/>
        </w:rPr>
        <w:t>Section 11.3</w:t>
      </w:r>
      <w:r>
        <w:rPr>
          <w:rFonts w:ascii="Times New Roman" w:cs="Times New Roman" w:eastAsia="Times New Roman" w:hAnsi="Times New Roman"/>
          <w:sz w:val="21"/>
          <w:szCs w:val="21"/>
          <w:u w:val="single" w:color="auto"/>
          <w:color w:val="00C000"/>
        </w:rPr>
        <w:t xml:space="preserve"> </w:t>
      </w:r>
      <w:r>
        <w:rPr>
          <w:rFonts w:ascii="Times New Roman" w:cs="Times New Roman" w:eastAsia="Times New Roman" w:hAnsi="Times New Roman"/>
          <w:sz w:val="21"/>
          <w:szCs w:val="21"/>
          <w:u w:val="single" w:color="auto"/>
          <w:color w:val="0000FF"/>
        </w:rPr>
        <w:t xml:space="preserve">and other technical, administrative or operational matters) that the </w:t>
      </w:r>
      <w:r>
        <w:rPr>
          <w:rFonts w:ascii="Times New Roman" w:cs="Times New Roman" w:eastAsia="Times New Roman" w:hAnsi="Times New Roman"/>
          <w:sz w:val="21"/>
          <w:szCs w:val="21"/>
          <w:u w:val="single" w:color="auto"/>
          <w:color w:val="00C000"/>
        </w:rPr>
        <w:t>Administrative Agent decides may be appropriate to reflect the</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u w:val="single" w:color="auto"/>
          <w:color w:val="00C000"/>
        </w:rPr>
        <w:t xml:space="preserve">adoption and implementation of </w:t>
      </w:r>
      <w:r>
        <w:rPr>
          <w:rFonts w:ascii="Times New Roman" w:cs="Times New Roman" w:eastAsia="Times New Roman" w:hAnsi="Times New Roman"/>
          <w:sz w:val="21"/>
          <w:szCs w:val="21"/>
          <w:u w:val="single" w:color="auto"/>
          <w:color w:val="0000FF"/>
        </w:rPr>
        <w:t>any such rate or to permit the use and administration thereof by the</w:t>
      </w:r>
      <w:r>
        <w:rPr>
          <w:rFonts w:ascii="Times New Roman" w:cs="Times New Roman" w:eastAsia="Times New Roman" w:hAnsi="Times New Roman"/>
          <w:sz w:val="21"/>
          <w:szCs w:val="21"/>
          <w:u w:val="single" w:color="auto"/>
          <w:color w:val="00C000"/>
        </w:rPr>
        <w:t xml:space="preserve"> Administrative Agent in a manner substantially consistent with market practice (or, if </w:t>
      </w:r>
      <w:r>
        <w:rPr>
          <w:rFonts w:ascii="Times New Roman" w:cs="Times New Roman" w:eastAsia="Times New Roman" w:hAnsi="Times New Roman"/>
          <w:sz w:val="21"/>
          <w:szCs w:val="21"/>
          <w:u w:val="single" w:color="auto"/>
          <w:color w:val="0000FF"/>
        </w:rPr>
        <w:t>the Administrative Agent decides that adoption of any portion of such</w:t>
      </w:r>
      <w:r>
        <w:rPr>
          <w:rFonts w:ascii="Times New Roman" w:cs="Times New Roman" w:eastAsia="Times New Roman" w:hAnsi="Times New Roman"/>
          <w:sz w:val="21"/>
          <w:szCs w:val="21"/>
          <w:u w:val="single" w:color="auto"/>
          <w:color w:val="00C000"/>
        </w:rPr>
        <w:t xml:space="preserve"> </w:t>
      </w:r>
      <w:r>
        <w:rPr>
          <w:rFonts w:ascii="Times New Roman" w:cs="Times New Roman" w:eastAsia="Times New Roman" w:hAnsi="Times New Roman"/>
          <w:sz w:val="21"/>
          <w:szCs w:val="21"/>
          <w:u w:val="single" w:color="auto"/>
          <w:color w:val="0000FF"/>
        </w:rPr>
        <w:t xml:space="preserve">market practice is not administratively feasible or if the Administrative Agent determines that no market practice for the administration of any such rate exists, in such other manner of administration as the Administrative Agent decides is </w:t>
      </w:r>
      <w:r>
        <w:rPr>
          <w:rFonts w:ascii="Times New Roman" w:cs="Times New Roman" w:eastAsia="Times New Roman" w:hAnsi="Times New Roman"/>
          <w:sz w:val="21"/>
          <w:szCs w:val="21"/>
          <w:u w:val="single" w:color="auto"/>
          <w:color w:val="00C000"/>
        </w:rPr>
        <w:t>necessary in</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u w:val="single" w:color="auto"/>
          <w:color w:val="00C000"/>
        </w:rPr>
        <w:t>connection with the administration of this Agreement and the other Loan Documents)</w:t>
      </w:r>
      <w:r>
        <w:rPr>
          <w:rFonts w:ascii="Times New Roman" w:cs="Times New Roman" w:eastAsia="Times New Roman" w:hAnsi="Times New Roman"/>
          <w:sz w:val="21"/>
          <w:szCs w:val="21"/>
          <w:u w:val="single" w:color="auto"/>
          <w:color w:val="0000FF"/>
        </w:rPr>
        <w: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consolidated</w:t>
      </w:r>
      <w:r>
        <w:rPr>
          <w:rFonts w:ascii="Times New Roman" w:cs="Times New Roman" w:eastAsia="Times New Roman" w:hAnsi="Times New Roman"/>
          <w:sz w:val="22"/>
          <w:szCs w:val="22"/>
          <w:color w:val="auto"/>
        </w:rPr>
        <w:t>”) means, when used with reference to any financial term in this Agreement, the aggregate for two or more Persons of the amounts signified by such term for all such Persons determined on a consolidated basis in accordance with GAAP, applied on a consistent basis.</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Cash Balance</w:t>
      </w:r>
      <w:r>
        <w:rPr>
          <w:rFonts w:ascii="Times New Roman" w:cs="Times New Roman" w:eastAsia="Times New Roman" w:hAnsi="Times New Roman"/>
          <w:sz w:val="22"/>
          <w:szCs w:val="22"/>
          <w:color w:val="auto"/>
        </w:rPr>
        <w:t>” means, at any time, the aggregate amount of cash and Cash Equivalents, in each case, held or owned by (whether directly or indirectly), credited to the account of, or otherwise reflected as an asset on the balance sheet of, the Borrower and its Subsidiaries, other than Unrestricted Subsidiaries (other than (i) any cash or Cash Equivalents (including proceeds of Advances) set aside to pay, whether in the ordinary course of business or otherwise, but in any event, as permitted under this Agreement, amounts of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20" w:top="1395" w:right="339" w:bottom="1440" w:gutter="0" w:footer="0" w:header="0"/>
        </w:sectPr>
      </w:pPr>
    </w:p>
    <w:bookmarkStart w:id="77" w:name="page78"/>
    <w:bookmarkEnd w:id="77"/>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Subsidiaries (other than Unrestricted Subsidiaries) then due and owing to third parties (including, for the avoidance of doubt, to pay royalty obligations, working interest obligations, production payments and severance taxes) and for which the Borrower or such Subsidiary, as applicable, has issued checks or has initiated wires or ACH transfers in order to pay (or will issue, or reasonably anticipates in good faith that it will issue, checks or initiate wires or ACH transfers in order to pay) such amounts within five (5) Business Days), (ii) any amounts held as cash collateral as required pursuant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(iii) cash or Cash Equivalents that are held in a deposit account that is used by the Borrower or any Subsidiary (other than an Unrestricted Subsidiary) exclusively for trust, payroll, payroll taxes, and other employee wage and benefit payments, (iv) cash or Cash Equivalents of the Borrower or any Subsidiary (other than an Unrestricted Subsidiary) to be used by the Borrower or any such Subsidiary within five (5) Business Days (or such longer period as reasonably agreed in writing by the Administrative Agent) to pay the purchase price for any acquisition of any assets or property permitted hereunder by the Borrower or any Subsidiary (other than Unrestricted Subsidiaries) pursuant to (x) a binding and enforceable purchase and sale agreement with a third party containing customary provisions regarding the payment and refunding of such purchase price, (y) a signed and binding letter of intent with a third party, or (z) any unsigned “purchase agreement” or similar documentation which is subject to a binding letter of intent and then being negotiated and will be executed prior to or simultaneously with the closing of such acquisition, (v) any cash or Cash Equivalents of the Borrower or any Subsidiary (other than an Unrestricted Subsidiary) that will be distributed in connection with one or more Restricted Payments permitted under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within fifteen (15) Business Days (or such longer period as reasonably agreed in writing by the Administrative Agent) from the date in question, (vi) net cash proceeds contributed to the Borrower as a capital contribution or from the sale or issuance of Equity Interests (other than Disqualified Equity Interests) of the Borrower within sixty (60) days (or such longer period as reasonably agreed in writing by the Administrative Agent) immediately preceding the date in question, (vii) cash or Cash Equivalents constituting purchase price deposits held in escrow for the benefit of the Borrower or any Subsidiary (other than an Unrestricted Subsidiary) pursuant to a binding and enforceable purchase and sale agreement with a third party containing customary provisions regarding the payment and refunding of such purchase price and (viii) the amount of royalty obligations, working interest obligations, production payments and severance and ad valorem taxes of the Borrower or any Subsidiary (other than an Unrestricted Subsidiary) which are accrued or are due and owing to third parties and any other similar amounts owing to third parties held in suspense by the Borrower or any such Subsidiary as operator.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Cash Balance Threshold</w:t>
      </w:r>
      <w:r>
        <w:rPr>
          <w:rFonts w:ascii="Times New Roman" w:cs="Times New Roman" w:eastAsia="Times New Roman" w:hAnsi="Times New Roman"/>
          <w:sz w:val="22"/>
          <w:szCs w:val="22"/>
          <w:color w:val="auto"/>
        </w:rPr>
        <w:t>” means, at any time, $75,000,000.</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Current Assets</w:t>
      </w:r>
      <w:r>
        <w:rPr>
          <w:rFonts w:ascii="Times New Roman" w:cs="Times New Roman" w:eastAsia="Times New Roman" w:hAnsi="Times New Roman"/>
          <w:sz w:val="22"/>
          <w:szCs w:val="22"/>
          <w:color w:val="auto"/>
        </w:rPr>
        <w:t>” means, as of any date of determination, the total consolidated current assets of Parent and its Subsidiaries (other than Unrestricted Subsidiaries) determined in accordance with GAAP (except as provided herein with respect to ASC Topic 815) as of such date, plus the Unused Revolving Credit Availability on such date after giving effect to all borrowings and repayments on such date. For purposes of this definition, “</w:t>
      </w:r>
      <w:r>
        <w:rPr>
          <w:rFonts w:ascii="Times New Roman" w:cs="Times New Roman" w:eastAsia="Times New Roman" w:hAnsi="Times New Roman"/>
          <w:sz w:val="22"/>
          <w:szCs w:val="22"/>
          <w:u w:val="single" w:color="auto"/>
          <w:color w:val="auto"/>
        </w:rPr>
        <w:t>Consolidated Current Assets</w:t>
      </w:r>
      <w:r>
        <w:rPr>
          <w:rFonts w:ascii="Times New Roman" w:cs="Times New Roman" w:eastAsia="Times New Roman" w:hAnsi="Times New Roman"/>
          <w:sz w:val="22"/>
          <w:szCs w:val="22"/>
          <w:color w:val="auto"/>
        </w:rPr>
        <w:t>” shall not include any non-cash items resulting from the application of ASC Topic 815 or the fair value of any Commodity Hedging Agreement or any non-hedge derivative contract (whether deemed effective or non-effective).</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Current Liabilities</w:t>
      </w:r>
      <w:r>
        <w:rPr>
          <w:rFonts w:ascii="Times New Roman" w:cs="Times New Roman" w:eastAsia="Times New Roman" w:hAnsi="Times New Roman"/>
          <w:sz w:val="22"/>
          <w:szCs w:val="22"/>
          <w:color w:val="auto"/>
        </w:rPr>
        <w:t>” means, as of any date of determination, the total consolidated current liabilities of Parent and its Subsidiaries (other than Unrestricted Subsidiaries) determined in accordance with GAAP (except as provided herein with respect to ASC Topic 815) as of such date, less current maturities under this Agreement or other Debt on such date. For purposes of this definition, “</w:t>
      </w:r>
      <w:r>
        <w:rPr>
          <w:rFonts w:ascii="Times New Roman" w:cs="Times New Roman" w:eastAsia="Times New Roman" w:hAnsi="Times New Roman"/>
          <w:sz w:val="22"/>
          <w:szCs w:val="22"/>
          <w:u w:val="single" w:color="auto"/>
          <w:color w:val="auto"/>
        </w:rPr>
        <w:t>Consolidated Current Liabilities</w:t>
      </w:r>
      <w:r>
        <w:rPr>
          <w:rFonts w:ascii="Times New Roman" w:cs="Times New Roman" w:eastAsia="Times New Roman" w:hAnsi="Times New Roman"/>
          <w:sz w:val="22"/>
          <w:szCs w:val="22"/>
          <w:color w:val="auto"/>
        </w:rPr>
        <w:t>” shall not include any non-cash items resulting from the requirements of ASC Topic 815 or the fair value of any Commodity Hedging Agreement or any non-hedge derivative contract (whether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20" w:top="139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effective or non-effective), or any liability resulting from the accounting for stock option expense.</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means for any Test Period, the sum of Consolidated Net Income for such period plus without duplication the following expenses or charges to the extent deducted from Consolidated Net Income in such period: interest, taxes, depreciation, depletion, amortization, and accretion of asset retirement obligations. The term “Consolidated EBITDA” shall exclude (a) any non-cash revenue or expense associated with hedging contracts resulting from ASC Topic 815, (b) any non-cash income, gain, loss or expense arising from the issuance of stock options or restricted stock, to the extent such items are included in Consolidated Net Income and (c) any other non-cash charges (excluding accruals for cash expenses made in the ordinary course of business) or non-cash gains.</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xml:space="preserve">” means with respect to Parent and its Subsidiaries, for any period, the consolidated net income (or loss) of Parent and its Subsidiaries, determined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be excluded from such net income (to the extent otherwise included therein) the following: (a) the net income of (i) any Unrestricted Subsidiary and (ii) any Person in which Parent or any of its Subsidiaries has an interest which interest does not cause the net income of such other Person to be consolidated with the net income of Parent and its Subsidiaries in accordance with GAAP, in each case, except to the extent of the amount of dividends or distributions actually paid in cash in such period by such Unrestricted Subsidiary or such other Person to Parent or to any of its Subsidiaries (other than an Unrestricted Subsidiary), as the case may be; (b) any extraordinary gains or losses, including gains or losses attributable to property sales not in the ordinary course of business; and (c) the cumulative effect of a change in accounting principles and any gains or losses attributable to writeups or write downs of assets or any full cost ceiling impairment.</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Contractual Obligation</w:t>
      </w:r>
      <w:r>
        <w:rPr>
          <w:rFonts w:ascii="Times New Roman" w:cs="Times New Roman" w:eastAsia="Times New Roman" w:hAnsi="Times New Roman"/>
          <w:sz w:val="21"/>
          <w:szCs w:val="21"/>
          <w:color w:val="auto"/>
        </w:rPr>
        <w:t>” means, as to any Person, any provision of any security issued by such Person or of any material agreement, instrument or other undertaking to which such Person is a party or by which it or any of its property is bound.</w:t>
      </w:r>
    </w:p>
    <w:p>
      <w:pPr>
        <w:spacing w:after="0" w:line="13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13.25(b)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13.25(a)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Exposure</w:t>
      </w:r>
      <w:r>
        <w:rPr>
          <w:rFonts w:ascii="Times New Roman" w:cs="Times New Roman" w:eastAsia="Times New Roman" w:hAnsi="Times New Roman"/>
          <w:sz w:val="22"/>
          <w:szCs w:val="22"/>
          <w:color w:val="auto"/>
        </w:rPr>
        <w:t>” means, as to any Lender at any time, an amount equal to the sum of (a) the aggregate principal amount of all Revolving Credit Advances held by such Lender then outstanding and (b) such Lender’s Revolving Credit Percentage of the Letter of Credit Obligations then outstanding.</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Parties</w:t>
      </w:r>
      <w:r>
        <w:rPr>
          <w:rFonts w:ascii="Times New Roman" w:cs="Times New Roman" w:eastAsia="Times New Roman" w:hAnsi="Times New Roman"/>
          <w:sz w:val="22"/>
          <w:szCs w:val="22"/>
          <w:color w:val="auto"/>
        </w:rPr>
        <w:t>” means Borrower and its Restricted Subsidiaries, and “</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any one of them, as the context indicates or otherwise requires.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Ratio</w:t>
      </w:r>
      <w:r>
        <w:rPr>
          <w:rFonts w:ascii="Times New Roman" w:cs="Times New Roman" w:eastAsia="Times New Roman" w:hAnsi="Times New Roman"/>
          <w:sz w:val="22"/>
          <w:szCs w:val="22"/>
          <w:color w:val="auto"/>
        </w:rPr>
        <w:t>” means, as of any date of determination, the ratio of (a) Consolidated Current Assets as of such date to (b) Consolidated Current Liabilities as of such date.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Daily Adjusting LIBOR Rate</w:t>
      </w:r>
      <w:r>
        <w:rPr>
          <w:rFonts w:ascii="Times New Roman" w:cs="Times New Roman" w:eastAsia="Times New Roman" w:hAnsi="Times New Roman"/>
          <w:sz w:val="22"/>
          <w:szCs w:val="22"/>
          <w:color w:val="FF0000"/>
          <w:strike w:val="1"/>
        </w:rPr>
        <w:t>” means for any day a per annum interest rate which is equal to the quotient of the following:</w:t>
      </w:r>
    </w:p>
    <w:p>
      <w:pPr>
        <w:spacing w:after="0" w:line="15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FF0000"/>
          <w:strike w:val="1"/>
        </w:rPr>
        <w:t>(a)</w:t>
      </w:r>
      <w:r>
        <w:rPr>
          <w:sz w:val="20"/>
          <w:szCs w:val="20"/>
          <w:color w:val="auto"/>
        </w:rPr>
        <w:tab/>
      </w:r>
      <w:r>
        <w:rPr>
          <w:rFonts w:ascii="Times New Roman" w:cs="Times New Roman" w:eastAsia="Times New Roman" w:hAnsi="Times New Roman"/>
          <w:sz w:val="21"/>
          <w:szCs w:val="21"/>
          <w:color w:val="FF0000"/>
          <w:strike w:val="1"/>
        </w:rPr>
        <w:t>the LIBOR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40"/>
          </w:cols>
          <w:pgMar w:left="320" w:top="1395"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22"/>
          <w:szCs w:val="22"/>
          <w:color w:val="FF0000"/>
          <w:strike w:val="1"/>
        </w:rPr>
        <w:t>divided by</w:t>
      </w:r>
    </w:p>
    <w:p>
      <w:pPr>
        <w:spacing w:after="0" w:line="179" w:lineRule="exact"/>
        <w:rPr>
          <w:sz w:val="20"/>
          <w:szCs w:val="20"/>
          <w:color w:val="auto"/>
        </w:rPr>
      </w:pPr>
    </w:p>
    <w:p>
      <w:pPr>
        <w:jc w:val="both"/>
        <w:ind w:left="660" w:firstLine="644"/>
        <w:spacing w:after="0" w:line="215" w:lineRule="auto"/>
        <w:tabs>
          <w:tab w:leader="none" w:pos="1946" w:val="left"/>
        </w:tabs>
        <w:numPr>
          <w:ilvl w:val="0"/>
          <w:numId w:val="32"/>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 percentage (expressed as a decimal) equal to 1.00 minus the maximum rate on such date at which Administrative Agent is required to maintain reserves on “Euro-currency Liabilities” as defined in and pursuant to Regulation D of the Board of Governors of the Federal Reserve System or, if such regulation or definition is modified, and as long as Administrative Agent is required to maintain reserves against a category of liabilities which includes Eurodollar deposits or includes a category of assets which includes Eurodollar loans, the rate at which such reserves are required to be maintained on such category;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such sum to be rounded upward, if necessary, in the discretion of Administrative Agent, to the seventh decimal place.</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xml:space="preserve">” means, for any day, </w:t>
      </w:r>
      <w:r>
        <w:rPr>
          <w:rFonts w:ascii="Times New Roman" w:cs="Times New Roman" w:eastAsia="Times New Roman" w:hAnsi="Times New Roman"/>
          <w:sz w:val="22"/>
          <w:szCs w:val="22"/>
          <w:u w:val="single" w:color="auto"/>
          <w:color w:val="0000FF"/>
        </w:rPr>
        <w:t>a rate per annum equal to</w:t>
      </w:r>
      <w:r>
        <w:rPr>
          <w:rFonts w:ascii="Times New Roman" w:cs="Times New Roman" w:eastAsia="Times New Roman" w:hAnsi="Times New Roman"/>
          <w:sz w:val="22"/>
          <w:szCs w:val="22"/>
          <w:color w:val="auto"/>
        </w:rPr>
        <w:t xml:space="preserve"> SOFR </w:t>
      </w:r>
      <w:r>
        <w:rPr>
          <w:rFonts w:ascii="Times New Roman" w:cs="Times New Roman" w:eastAsia="Times New Roman" w:hAnsi="Times New Roman"/>
          <w:sz w:val="22"/>
          <w:szCs w:val="22"/>
          <w:color w:val="0000FF"/>
        </w:rPr>
        <w:t>for such day</w:t>
      </w:r>
      <w:r>
        <w:rPr>
          <w:rFonts w:ascii="Times New Roman" w:cs="Times New Roman" w:eastAsia="Times New Roman" w:hAnsi="Times New Roman"/>
          <w:sz w:val="22"/>
          <w:szCs w:val="22"/>
          <w:color w:val="auto"/>
        </w:rPr>
        <w:t xml:space="preserve">, with the conventions for this rate (which will include a lookback) being established by </w:t>
      </w:r>
      <w:r>
        <w:rPr>
          <w:rFonts w:ascii="Times New Roman" w:cs="Times New Roman" w:eastAsia="Times New Roman" w:hAnsi="Times New Roman"/>
          <w:sz w:val="22"/>
          <w:szCs w:val="22"/>
          <w:color w:val="0000FF"/>
        </w:rPr>
        <w:t>the</w:t>
      </w:r>
      <w:r>
        <w:rPr>
          <w:rFonts w:ascii="Times New Roman" w:cs="Times New Roman" w:eastAsia="Times New Roman" w:hAnsi="Times New Roman"/>
          <w:sz w:val="22"/>
          <w:szCs w:val="22"/>
          <w:color w:val="auto"/>
        </w:rPr>
        <w:t xml:space="preserv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auto"/>
        </w:rPr>
        <w:t xml:space="preserve"> Administrative Agent decides that any such convention is not administratively feasible for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Administrative Agent, then</w:t>
      </w:r>
      <w:r>
        <w:rPr>
          <w:rFonts w:ascii="Times New Roman" w:cs="Times New Roman" w:eastAsia="Times New Roman" w:hAnsi="Times New Roman"/>
          <w:sz w:val="22"/>
          <w:szCs w:val="22"/>
          <w:color w:val="0000FF"/>
        </w:rPr>
        <w:t xml:space="preserve"> the </w:t>
      </w:r>
      <w:r>
        <w:rPr>
          <w:rFonts w:ascii="Times New Roman" w:cs="Times New Roman" w:eastAsia="Times New Roman" w:hAnsi="Times New Roman"/>
          <w:sz w:val="22"/>
          <w:szCs w:val="22"/>
          <w:color w:val="000000"/>
        </w:rPr>
        <w:t>Administrative Agent may establish another convention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4685030</wp:posOffset>
            </wp:positionH>
            <wp:positionV relativeFrom="paragraph">
              <wp:posOffset>-579755</wp:posOffset>
            </wp:positionV>
            <wp:extent cx="7467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46760" cy="8890"/>
                    </a:xfrm>
                    <a:prstGeom prst="rect">
                      <a:avLst/>
                    </a:prstGeom>
                    <a:noFill/>
                  </pic:spPr>
                </pic:pic>
              </a:graphicData>
            </a:graphic>
          </wp:anchor>
        </w:drawing>
        <w:drawing>
          <wp:anchor simplePos="0" relativeHeight="251657728" behindDoc="1" locked="0" layoutInCell="0" allowOverlap="1">
            <wp:simplePos x="0" y="0"/>
            <wp:positionH relativeFrom="column">
              <wp:posOffset>3211830</wp:posOffset>
            </wp:positionH>
            <wp:positionV relativeFrom="paragraph">
              <wp:posOffset>-442595</wp:posOffset>
            </wp:positionV>
            <wp:extent cx="2101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210185" cy="8255"/>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-31115</wp:posOffset>
            </wp:positionV>
            <wp:extent cx="2019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13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xml:space="preserve">” means, for any Person the sum of the following (without duplication): (a) all obligations of such Person for borrowed money or evidenced by bonds, debentures, notes or other similar instruments (including principal, but excluding interest, fees and charges); (b) all obligations of such Person (whether contingent or otherwise) in respect of bankers’ acceptances, letters of credit, surety or other bonds and similar instruments; (c) all obligations of such Person to pay the deferred purchase price of property or services (other than for borrowed money and other than accounts payable (for the deferred purchase price of property or services) from time to time incurred in the ordinary course of business which, if greater than ninety (90) days past the invoice or billing date, are being contested in good faith by appropriate proceedings and for which reserves adequate under GAAP shall have been established therefor); (d) all obligations under leases which shall have been, or should have been, in accordance with GAAP, recorded as capital leases in respect of which such Person is liable (whether contingent or otherwise including principal but excluding interest, fees and charges); (e) all obligations under operating leases which require such Person or its Affiliate to make payments over the term of such lease, including payments at termination, based on the purchase price or appraisal value of the property subject to such lease plus a marginal interest rate, and used primarily as a financing vehicle for, or to monetize, such property; (f) all Debt (as described in the other clauses of this definition) of others secured by a Lien on any asset of such Person, whether or not such Debt is assumed by such Person, but valued at the lesser of (i) the amount of such Debt and (ii) the fair market value of the property securing such Debt; (g) all Debt (as described in the other clauses of this definition) and other obligations of others guaranteed by such Person or in which such Person otherwise assures a creditor against loss of the debtor or obligations of others; (h) all obligations or undertakings of such Person to maintain or cause to be maintained the financial position or covenants of others or to purchase the Debt of others; (i) all obligations to deliver or sell Hydrocarbons in consideration of advance payments, as disclosed by </w:t>
      </w:r>
      <w:r>
        <w:rPr>
          <w:rFonts w:ascii="Times New Roman" w:cs="Times New Roman" w:eastAsia="Times New Roman" w:hAnsi="Times New Roman"/>
          <w:sz w:val="21"/>
          <w:szCs w:val="21"/>
          <w:u w:val="single" w:color="auto"/>
          <w:color w:val="auto"/>
        </w:rPr>
        <w:t>Section 7.15(c)</w:t>
      </w:r>
      <w:r>
        <w:rPr>
          <w:rFonts w:ascii="Times New Roman" w:cs="Times New Roman" w:eastAsia="Times New Roman" w:hAnsi="Times New Roman"/>
          <w:sz w:val="21"/>
          <w:szCs w:val="21"/>
          <w:color w:val="auto"/>
        </w:rPr>
        <w:t xml:space="preserve">; (j) any Disqualified Equity Interests; and (k) the undischarged balance of any production payment created by such Person or for the creation of which such Person directly or indirectly received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the items described in clauses (b), (c), (d), (e), (f), (g), (h), (i), (j) and (k) shall only constitute part of Debt if and to the extent the aggregate amount of obligations described in such clauses exceeds $1,000,000. Notwithstanding the foregoing, Debt shall not include (i) contingent obligations of Borrower or any Restricted Subsidiary pursuant to any purchase and sale agreement, stock purchase agreement, merger agreement or similar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20" w:top="1395" w:right="339" w:bottom="1440" w:gutter="0" w:footer="0" w:header="0"/>
        </w:sectPr>
      </w:pPr>
    </w:p>
    <w:bookmarkStart w:id="80" w:name="page81"/>
    <w:bookmarkEnd w:id="80"/>
    <w:p>
      <w:pPr>
        <w:jc w:val="both"/>
        <w:spacing w:after="0" w:line="217" w:lineRule="auto"/>
        <w:rPr>
          <w:sz w:val="20"/>
          <w:szCs w:val="20"/>
          <w:color w:val="auto"/>
        </w:rPr>
      </w:pPr>
      <w:r>
        <w:rPr>
          <w:rFonts w:ascii="Times New Roman" w:cs="Times New Roman" w:eastAsia="Times New Roman" w:hAnsi="Times New Roman"/>
          <w:sz w:val="22"/>
          <w:szCs w:val="22"/>
          <w:color w:val="auto"/>
        </w:rPr>
        <w:t>so long as such obligations are contingent (and not for amounts due and payable), (ii) obligations in respect of Commodity Hedging Agreements or Interest Rate Agreements, (iii) indemnities incurred in the ordinary course of business or in connection with the disposition of assets, (iv) any employee or director compensation or any compensation paid to employees or directors pursuant to stock appreciation rights or other equity based compensation awards, or (v) except to the extent set forth in clause (e) above, obligations under operating leases.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that with the giving of notice or the passage of time, or both, would constitute an Event of Default under this Agreement.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13.25(b)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a Lender that, as determined by Administrative Agent (with notice to Borrower of such determination), (a) has failed to perform any of its funding obligations hereunder, including, without limitation, in respect of its Revolving Credit Percentage of any Advances or participations in Letters of Credit, within two Business Days of the date required to be funded by it hereunder, (b) has notified Borrower, Administrative Agent or any Lender that it does not intend to comply with its funding obligations or has made a public statement to that effect with respect to its funding obligations hereunder or under other agreements in which it commits to extend credit, (c) has failed, within three Business Days after request by Administrative Agent, to confirm in a manner satisfactory to Administrative Agent that it will comply with its funding obligations; provided that such Lender shall cease to be a Defaulting Lender pursuant to this clause (c) upon receipt by Administrative Agent of such confirmation in form and substance satisfactory to Administrative Agent,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federal or other governmental or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unless deemed so by Administrative Agent in its sole discretion.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Deficiency Payment Commencement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 Control Agreement</w:t>
      </w:r>
      <w:r>
        <w:rPr>
          <w:rFonts w:ascii="Times New Roman" w:cs="Times New Roman" w:eastAsia="Times New Roman" w:hAnsi="Times New Roman"/>
          <w:sz w:val="22"/>
          <w:szCs w:val="22"/>
          <w:color w:val="auto"/>
        </w:rPr>
        <w:t>” means a “Deposit Account Control Agreement” (as such term is defined in the Pledge Agreement).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Designated Jurisdiction</w:t>
      </w:r>
      <w:r>
        <w:rPr>
          <w:rFonts w:ascii="Times New Roman" w:cs="Times New Roman" w:eastAsia="Times New Roman" w:hAnsi="Times New Roman"/>
          <w:sz w:val="22"/>
          <w:szCs w:val="22"/>
          <w:color w:val="FF0000"/>
          <w:strike w:val="1"/>
        </w:rPr>
        <w:t>” means any country or territory to the extent that such country or territory itself is the subject of any Sanction.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exchange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20" w:top="1395" w:right="339" w:bottom="1440" w:gutter="0" w:footer="0" w:header="0"/>
        </w:sectPr>
      </w:pPr>
    </w:p>
    <w:bookmarkStart w:id="81" w:name="page82"/>
    <w:bookmarkEnd w:id="81"/>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w:t>
      </w:r>
      <w:r>
        <w:rPr>
          <w:rFonts w:ascii="Times New Roman" w:cs="Times New Roman" w:eastAsia="Times New Roman" w:hAnsi="Times New Roman"/>
          <w:sz w:val="22"/>
          <w:szCs w:val="22"/>
          <w:color w:val="auto"/>
        </w:rPr>
        <w:t xml:space="preserve">” means any Equity Interest which, by its terms (or by the terms of any security or other Equity Interest into which it is convertible or for which it is exchangeable), or upon the happening of any event or condition (i) matures or is mandatorily redeemable (other than solely for an Equity Interest which would not otherwise be a Disqualified Equity Interest), pursuant to a sinking fund obligation, other provision for payment or otherwise, (ii) is redeemable at the option of the holder thereof (other than solely for an Equity Interest which would not otherwise be a Disqualified Equity Interest), in whole or in part, (iii) provides for any scheduled payments or dividends to be made in cash, or (iv) is or becomes convertible into, or exchangeable for, Debt or any other Equity Interest that would constitute a Disqualified Equity Interest under any other provision of this definition, in each case, prior to the date that is 91 days after the Revolving Credit Maturity Date at the time of issuance, except, in the case of clauses (i) and (ii), if as a result of a change of control event or asset sale or other Disposition or casualty event, so long as any rights of the holders thereof to require the redemption thereof upon the occurrence of such a change of control event or asset sale or other Disposition or casualty event are subject to the prior payment in full of the Indebtedness (other than Lender Hedging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Equity Interest is issued pursuant to a plan for the benefit of employees of Parent, Borrower or any of their respective Subsidiaries or by any such plan to such employees, such Equity Interest shall not constitute a Disqualified Equity Interest solely because it may be required to be repurchased by Parent, Borrower or the Restricted Subsidiaries.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and the sign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lawful money of the United States of America.</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of Borrower organized under the laws of any jurisdiction within the United States of America.</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Early Opt-in Election</w:t>
      </w:r>
      <w:r>
        <w:rPr>
          <w:rFonts w:ascii="Times New Roman" w:cs="Times New Roman" w:eastAsia="Times New Roman" w:hAnsi="Times New Roman"/>
          <w:sz w:val="22"/>
          <w:szCs w:val="22"/>
          <w:color w:val="FF0000"/>
          <w:strike w:val="1"/>
        </w:rPr>
        <w:t>” means, if the then-current Benchmark is USD LIBOR, the occurrence of:</w:t>
      </w:r>
    </w:p>
    <w:p>
      <w:pPr>
        <w:spacing w:after="0" w:line="179" w:lineRule="exact"/>
        <w:rPr>
          <w:sz w:val="20"/>
          <w:szCs w:val="20"/>
          <w:color w:val="auto"/>
        </w:rPr>
      </w:pPr>
    </w:p>
    <w:p>
      <w:pPr>
        <w:jc w:val="both"/>
        <w:ind w:firstLine="656"/>
        <w:spacing w:after="0" w:line="217" w:lineRule="auto"/>
        <w:tabs>
          <w:tab w:leader="none" w:pos="1090" w:val="left"/>
        </w:tabs>
        <w:numPr>
          <w:ilvl w:val="0"/>
          <w:numId w:val="3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2"/>
          <w:szCs w:val="22"/>
          <w:color w:val="FF0000"/>
          <w:strike w:val="1"/>
        </w:rPr>
        <w:t>a notification by Administrative Agent to (or the request by Borrower to Administrative Agent to notify) each of the other parties hereto that at least five (5)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52" w:lineRule="exact"/>
        <w:rPr>
          <w:rFonts w:ascii="Times New Roman" w:cs="Times New Roman" w:eastAsia="Times New Roman" w:hAnsi="Times New Roman"/>
          <w:sz w:val="20"/>
          <w:szCs w:val="20"/>
          <w:color w:val="FF0000"/>
          <w:strike w:val="1"/>
        </w:rPr>
      </w:pPr>
    </w:p>
    <w:p>
      <w:pPr>
        <w:ind w:firstLine="656"/>
        <w:spacing w:after="0" w:line="236" w:lineRule="auto"/>
        <w:tabs>
          <w:tab w:leader="none" w:pos="1162" w:val="left"/>
        </w:tabs>
        <w:numPr>
          <w:ilvl w:val="0"/>
          <w:numId w:val="33"/>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joint election by Administrative Agent and Borrower to trigger a fallback from USD LIBOR and the provision by Administrative Agent of written notice of such election to the Lenders.</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40"/>
          </w:cols>
          <w:pgMar w:left="320" w:top="1395" w:right="339" w:bottom="1440" w:gutter="0" w:footer="0" w:header="0"/>
        </w:sectPr>
      </w:pPr>
    </w:p>
    <w:bookmarkStart w:id="82" w:name="page83"/>
    <w:bookmarkEnd w:id="82"/>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on which all the conditions precedent set forth in </w:t>
      </w:r>
      <w:r>
        <w:rPr>
          <w:rFonts w:ascii="Times New Roman" w:cs="Times New Roman" w:eastAsia="Times New Roman" w:hAnsi="Times New Roman"/>
          <w:sz w:val="22"/>
          <w:szCs w:val="22"/>
          <w:u w:val="single" w:color="auto"/>
          <w:color w:val="auto"/>
        </w:rPr>
        <w:t>Sections 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(with respect to the initial Advance) have been satisfied.</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Transmission</w:t>
      </w:r>
      <w:r>
        <w:rPr>
          <w:rFonts w:ascii="Times New Roman" w:cs="Times New Roman" w:eastAsia="Times New Roman" w:hAnsi="Times New Roman"/>
          <w:sz w:val="22"/>
          <w:szCs w:val="22"/>
          <w:color w:val="auto"/>
        </w:rPr>
        <w:t>” means each document, instruction, authorization, file, information and any other communication transmitted, posted or otherwise made or communicated by e-mail or E-Fax, or otherwise to or from an E-System or other equivalent service.</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any Person that meets the requirements to be an assignee under </w:t>
      </w:r>
      <w:r>
        <w:rPr>
          <w:rFonts w:ascii="Times New Roman" w:cs="Times New Roman" w:eastAsia="Times New Roman" w:hAnsi="Times New Roman"/>
          <w:sz w:val="22"/>
          <w:szCs w:val="22"/>
          <w:u w:val="single" w:color="auto"/>
          <w:color w:val="auto"/>
        </w:rPr>
        <w:t>Section 13.7(b)(iii)</w:t>
      </w:r>
      <w:r>
        <w:rPr>
          <w:rFonts w:ascii="Times New Roman" w:cs="Times New Roman" w:eastAsia="Times New Roman" w:hAnsi="Times New Roman"/>
          <w:sz w:val="22"/>
          <w:szCs w:val="22"/>
          <w:color w:val="auto"/>
        </w:rPr>
        <w:t xml:space="preserve">, (v) and (vi) (subject to such consents, if any, as may be required under </w:t>
      </w:r>
      <w:r>
        <w:rPr>
          <w:rFonts w:ascii="Times New Roman" w:cs="Times New Roman" w:eastAsia="Times New Roman" w:hAnsi="Times New Roman"/>
          <w:sz w:val="22"/>
          <w:szCs w:val="22"/>
          <w:u w:val="single" w:color="auto"/>
          <w:color w:val="auto"/>
        </w:rPr>
        <w:t>Section 13.7(b)(iii)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Contract Participant</w:t>
      </w:r>
      <w:r>
        <w:rPr>
          <w:rFonts w:ascii="Times New Roman" w:cs="Times New Roman" w:eastAsia="Times New Roman" w:hAnsi="Times New Roman"/>
          <w:sz w:val="22"/>
          <w:szCs w:val="22"/>
          <w:color w:val="auto"/>
        </w:rPr>
        <w:t>” means an “eligible contract participant” as defined in the Commodity Exchange Act and regulations thereunder.</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w:t>
      </w:r>
      <w:r>
        <w:rPr>
          <w:rFonts w:ascii="Times New Roman" w:cs="Times New Roman" w:eastAsia="Times New Roman" w:hAnsi="Times New Roman"/>
          <w:sz w:val="22"/>
          <w:szCs w:val="22"/>
          <w:color w:val="auto"/>
        </w:rPr>
        <w:t xml:space="preserve">” means (i) in the case of any corporation, all capital stock and any securities 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any warrants, rights or other options to purchase or otherwise acquire any of the interests described in any of the foregoing cases.</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or any successor act or code and the regulations in effect from time to time thereunder.</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E-System</w:t>
      </w:r>
      <w:r>
        <w:rPr>
          <w:rFonts w:ascii="Times New Roman" w:cs="Times New Roman" w:eastAsia="Times New Roman" w:hAnsi="Times New Roman"/>
          <w:sz w:val="22"/>
          <w:szCs w:val="22"/>
          <w:color w:val="auto"/>
        </w:rPr>
        <w:t>” means any electronic system and any other Internet or extranet-based site, whether such electronic system is owned, operated, hosted or utilized by Administrative Agent, any of its Affiliates or any other Person, providing for access to data protected by passcodes or other security system.</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Eurodollar-based Advance</w:t>
      </w:r>
      <w:r>
        <w:rPr>
          <w:rFonts w:ascii="Times New Roman" w:cs="Times New Roman" w:eastAsia="Times New Roman" w:hAnsi="Times New Roman"/>
          <w:sz w:val="22"/>
          <w:szCs w:val="22"/>
          <w:color w:val="FF0000"/>
          <w:strike w:val="1"/>
        </w:rPr>
        <w:t>” means any Advance which bears interest at the Eurodollar-based Rate.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Eurodollar-based Rate</w:t>
      </w:r>
      <w:r>
        <w:rPr>
          <w:rFonts w:ascii="Times New Roman" w:cs="Times New Roman" w:eastAsia="Times New Roman" w:hAnsi="Times New Roman"/>
          <w:sz w:val="22"/>
          <w:szCs w:val="22"/>
          <w:color w:val="FF0000"/>
          <w:strike w:val="1"/>
        </w:rPr>
        <w:t>” means a per annum interest rate which is equal to the sum of the Applicable Margin, plus the quotient of:</w:t>
      </w:r>
    </w:p>
    <w:p>
      <w:pPr>
        <w:spacing w:after="0" w:line="150" w:lineRule="exact"/>
        <w:rPr>
          <w:sz w:val="20"/>
          <w:szCs w:val="20"/>
          <w:color w:val="auto"/>
        </w:rPr>
      </w:pPr>
    </w:p>
    <w:p>
      <w:pPr>
        <w:ind w:left="1760" w:hanging="456"/>
        <w:spacing w:after="0"/>
        <w:tabs>
          <w:tab w:leader="none" w:pos="1760" w:val="left"/>
        </w:tabs>
        <w:numPr>
          <w:ilvl w:val="0"/>
          <w:numId w:val="3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LIBOR Rate,</w:t>
      </w:r>
    </w:p>
    <w:p>
      <w:pPr>
        <w:spacing w:after="0" w:line="179" w:lineRule="exact"/>
        <w:rPr>
          <w:rFonts w:ascii="Times New Roman" w:cs="Times New Roman" w:eastAsia="Times New Roman" w:hAnsi="Times New Roman"/>
          <w:sz w:val="22"/>
          <w:szCs w:val="22"/>
          <w:color w:val="FF0000"/>
          <w:strike w:val="1"/>
        </w:rPr>
      </w:pPr>
    </w:p>
    <w:p>
      <w:pPr>
        <w:ind w:left="660"/>
        <w:spacing w:after="0"/>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divided by</w:t>
      </w:r>
    </w:p>
    <w:p>
      <w:pPr>
        <w:spacing w:after="0" w:line="179" w:lineRule="exact"/>
        <w:rPr>
          <w:rFonts w:ascii="Times New Roman" w:cs="Times New Roman" w:eastAsia="Times New Roman" w:hAnsi="Times New Roman"/>
          <w:sz w:val="22"/>
          <w:szCs w:val="22"/>
          <w:color w:val="FF0000"/>
          <w:strike w:val="1"/>
        </w:rPr>
      </w:pPr>
    </w:p>
    <w:p>
      <w:pPr>
        <w:jc w:val="both"/>
        <w:ind w:left="660" w:firstLine="644"/>
        <w:spacing w:after="0" w:line="217" w:lineRule="auto"/>
        <w:tabs>
          <w:tab w:leader="none" w:pos="1784" w:val="left"/>
        </w:tabs>
        <w:numPr>
          <w:ilvl w:val="0"/>
          <w:numId w:val="34"/>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 percentage equal to 100% minus the maximum rate on such date at which Administrative Agent is required to maintain reserves on ‘Eurocurrency Liabilities’ as defined in and pursuant to Regulation D of the Board of Governors of the Federal Reserve System or, if such regulation or definition is modified, and as long as Administrative Agent is required to maintain reserves against a category of liabilities which includes Eurocurrency deposits or includes a category of assets which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20" w:top="1395"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22"/>
          <w:szCs w:val="22"/>
          <w:color w:val="FF0000"/>
          <w:strike w:val="1"/>
        </w:rPr>
        <w:t>Eurocurrency loans, the rate at which such reserves are required to be maintained on such category,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such sum to be rounded upward, if necessary, in the discretion of Administrative Agent, to the seventh decimal place.</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Eurodollar-Interest Period</w:t>
      </w:r>
      <w:r>
        <w:rPr>
          <w:rFonts w:ascii="Times New Roman" w:cs="Times New Roman" w:eastAsia="Times New Roman" w:hAnsi="Times New Roman"/>
          <w:sz w:val="22"/>
          <w:szCs w:val="22"/>
          <w:color w:val="FF0000"/>
          <w:strike w:val="1"/>
        </w:rPr>
        <w:t xml:space="preserve">” means, for any Eurodollar-based Advance, an Interest Period of </w:t>
      </w:r>
      <w:r>
        <w:rPr>
          <w:rFonts w:ascii="Times New Roman" w:cs="Times New Roman" w:eastAsia="Times New Roman" w:hAnsi="Times New Roman"/>
          <w:sz w:val="22"/>
          <w:szCs w:val="22"/>
          <w:color w:val="00C000"/>
          <w:strike w:val="1"/>
        </w:rPr>
        <w:t>one, three or six months</w:t>
      </w:r>
      <w:r>
        <w:rPr>
          <w:rFonts w:ascii="Times New Roman" w:cs="Times New Roman" w:eastAsia="Times New Roman" w:hAnsi="Times New Roman"/>
          <w:sz w:val="22"/>
          <w:szCs w:val="22"/>
          <w:color w:val="FF0000"/>
          <w:strike w:val="1"/>
        </w:rPr>
        <w:t xml:space="preserve"> (or any shorter or longer periods agreed to in advance by Borrower, Administrative Agent and Revolving Credit Lenders) as selected by Borrower, for such Eurodollar-based Advance pursuant to </w:t>
      </w:r>
      <w:r>
        <w:rPr>
          <w:rFonts w:ascii="Times New Roman" w:cs="Times New Roman" w:eastAsia="Times New Roman" w:hAnsi="Times New Roman"/>
          <w:sz w:val="22"/>
          <w:szCs w:val="22"/>
          <w:u w:val="single" w:color="auto"/>
          <w:color w:val="FF0000"/>
          <w:strike w:val="1"/>
        </w:rPr>
        <w:t>Section 2.3</w:t>
      </w:r>
      <w:r>
        <w:rPr>
          <w:rFonts w:ascii="Times New Roman" w:cs="Times New Roman" w:eastAsia="Times New Roman" w:hAnsi="Times New Roman"/>
          <w:sz w:val="22"/>
          <w:szCs w:val="22"/>
          <w:color w:val="FF0000"/>
          <w:strike w:val="1"/>
        </w:rPr>
        <w:t>.</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Eurodollar Lending Office</w:t>
      </w:r>
      <w:r>
        <w:rPr>
          <w:rFonts w:ascii="Times New Roman" w:cs="Times New Roman" w:eastAsia="Times New Roman" w:hAnsi="Times New Roman"/>
          <w:sz w:val="22"/>
          <w:szCs w:val="22"/>
          <w:color w:val="FF0000"/>
          <w:strike w:val="1"/>
        </w:rPr>
        <w:t xml:space="preserve">” means, (a) with respect to Administrative Agent, Administrative Agent’s office identified on </w:t>
      </w:r>
      <w:r>
        <w:rPr>
          <w:rFonts w:ascii="Times New Roman" w:cs="Times New Roman" w:eastAsia="Times New Roman" w:hAnsi="Times New Roman"/>
          <w:sz w:val="22"/>
          <w:szCs w:val="22"/>
          <w:u w:val="single" w:color="auto"/>
          <w:color w:val="FF0000"/>
          <w:strike w:val="1"/>
        </w:rPr>
        <w:t xml:space="preserve">Schedule 13.6 </w:t>
      </w:r>
      <w:r>
        <w:rPr>
          <w:rFonts w:ascii="Times New Roman" w:cs="Times New Roman" w:eastAsia="Times New Roman" w:hAnsi="Times New Roman"/>
          <w:sz w:val="22"/>
          <w:szCs w:val="22"/>
          <w:color w:val="FF0000"/>
          <w:strike w:val="1"/>
        </w:rPr>
        <w:t>or such other branch of Administrative Agent, domestic or foreign, as it may hereafter designate as its Eurodollar</w:t>
      </w:r>
      <w:r>
        <w:rPr>
          <w:rFonts w:ascii="Times New Roman" w:cs="Times New Roman" w:eastAsia="Times New Roman" w:hAnsi="Times New Roman"/>
          <w:sz w:val="22"/>
          <w:szCs w:val="22"/>
          <w:u w:val="single" w:color="auto"/>
          <w:color w:val="FF0000"/>
          <w:strike w:val="1"/>
        </w:rPr>
        <w:t xml:space="preserve"> </w:t>
      </w:r>
      <w:r>
        <w:rPr>
          <w:rFonts w:ascii="Times New Roman" w:cs="Times New Roman" w:eastAsia="Times New Roman" w:hAnsi="Times New Roman"/>
          <w:sz w:val="22"/>
          <w:szCs w:val="22"/>
          <w:color w:val="FF0000"/>
          <w:strike w:val="1"/>
        </w:rPr>
        <w:t>Lending Office by written notice to Borrower and Lenders and (b) as to each of Lenders, the office, branch or affiliate designated by such Lender as its Eurodollar Lending Office by written notice to Borrower and Administrative Agent.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means each of the Events of Default specified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hereof.</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w:t>
      </w:r>
      <w:r>
        <w:rPr>
          <w:rFonts w:ascii="Times New Roman" w:cs="Times New Roman" w:eastAsia="Times New Roman" w:hAnsi="Times New Roman"/>
          <w:sz w:val="22"/>
          <w:szCs w:val="22"/>
          <w:color w:val="auto"/>
        </w:rPr>
        <w:t>” means (i) any deposit account, securities account or commodities account exclusively used for payroll, payroll taxes and other employee wage and benefit payments, (ii) any deposit accounts, trust accounts, escrow accounts or security deposits established pursuant to statutory obligations or for the payment of taxes or holding funds in trust for third parties in the ordinary course of business or in connection with acquisitions, investments or dispositions permitted under this Agreement, deposits in the ordinary course of business in connection with workers’ unemployment insurance and other types of social security, reserve accounts, and escrow accounts established pursuant to contractual obligations to third parties for casualty payments and insurance proceeds, (iii) zero balance accounts and (iv) deposit accounts, securities accounts or commodities accounts in which the aggregate average monthly balance on deposit (or, in the case of any securities account, the total fair market value of all securities held in such account) does not exceed $20,000,000.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means the collective reference to:</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in leased real property that is not an Oil and Gas Property, including, without limitation, any leasehold interests in real property (except to the extent a security interest in any such interest can be perfected solely by filing a UCC financing statement);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fee interest in real property that is not an Oil and Gas Property;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licenses, franchises, charters and authorizations of a Governmental Authority to the extent a security interest therein under the Loan Documents is prohibited or would require the consent, license or approval of any Governmental Authority;</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 if the granting of a security interest under the Loan Documents in such asset would be prohibited by any Requirement of Law;</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lease, license or other agreement to the extent that a grant of a security interest therein under the Loan Documents would violate, create a default under or invalidate such lease, license or agreement;</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Equity Interests issued by, or assets of, any Unrestricted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40"/>
          </w:cols>
          <w:pgMar w:left="320" w:top="1395" w:right="339" w:bottom="1440" w:gutter="0" w:footer="0" w:header="0"/>
        </w:sectPr>
      </w:pPr>
    </w:p>
    <w:bookmarkStart w:id="84" w:name="page85"/>
    <w:bookmarkEnd w:id="84"/>
    <w:p>
      <w:pPr>
        <w:ind w:left="1940" w:hanging="636"/>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Equity Interests issued by Borrower;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assets subject to a Lien permitted by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if the contract or other agreement in which such Lien is granted prohibits the creation of any other Lien on such assets (but only for so long as such contract or other agreement in which such Lien is granted is in effect);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motor vehicles and any other assets subject to a certificate of title (other than proceeds thereof), to the extent a security interest on such motor vehicles or other assets cannot be perfected solely by filing a UCC financing statement;</w:t>
      </w:r>
    </w:p>
    <w:p>
      <w:pPr>
        <w:spacing w:after="0" w:line="15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in the case of clauses (c), (d) and (e) above, such exclusion shall not apply (i) to the extent the prohibition or restriction is ineffective under Section 9-406, 9-407, 9-408 or 9-409 of the Uniform Commercial Code or other applicable law or</w:t>
      </w:r>
    </w:p>
    <w:p>
      <w:pPr>
        <w:spacing w:after="0" w:line="1" w:lineRule="exact"/>
        <w:rPr>
          <w:sz w:val="20"/>
          <w:szCs w:val="20"/>
          <w:color w:val="auto"/>
        </w:rPr>
      </w:pPr>
    </w:p>
    <w:p>
      <w:pPr>
        <w:jc w:val="both"/>
        <w:ind w:firstLine="8"/>
        <w:spacing w:after="0" w:line="214" w:lineRule="auto"/>
        <w:tabs>
          <w:tab w:leader="none" w:pos="32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proceeds of the assets referred to in such clauses, the assignment of which is expressly deemed effective under Section 9-406, 9-407, 9-408 or 9-409 of the Uniform Commercial Code or other applicable law, and (B) assets described in clauses (c), (d),</w:t>
      </w:r>
    </w:p>
    <w:p>
      <w:pPr>
        <w:spacing w:after="0" w:line="1" w:lineRule="exact"/>
        <w:rPr>
          <w:rFonts w:ascii="Times New Roman" w:cs="Times New Roman" w:eastAsia="Times New Roman" w:hAnsi="Times New Roman"/>
          <w:sz w:val="21"/>
          <w:szCs w:val="21"/>
          <w:color w:val="auto"/>
        </w:rPr>
      </w:pPr>
    </w:p>
    <w:p>
      <w:pPr>
        <w:jc w:val="both"/>
        <w:ind w:firstLine="8"/>
        <w:spacing w:after="0" w:line="218" w:lineRule="auto"/>
        <w:tabs>
          <w:tab w:leader="none" w:pos="31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(h) above shall no longer be “Excluded Assets” upon termination of the applicable prohibition or restriction described above that caused such assets to be treated as “Excluded Assets” or receipt of a consent from the applicable parties necessary to grant a Lien on such assets.</w:t>
      </w:r>
    </w:p>
    <w:p>
      <w:pPr>
        <w:spacing w:after="0" w:line="15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Hedges</w:t>
      </w:r>
      <w:r>
        <w:rPr>
          <w:rFonts w:ascii="Times New Roman" w:cs="Times New Roman" w:eastAsia="Times New Roman" w:hAnsi="Times New Roman"/>
          <w:sz w:val="22"/>
          <w:szCs w:val="22"/>
          <w:color w:val="auto"/>
        </w:rPr>
        <w:t xml:space="preserve">” means, collectively, Commodity Hedging Agreements that (a) are basis differential or roll swaps on volumes of crude oil, natural gas or natural gas liquids already hedged under other Commodity Hedging Agreements permitted by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or (b) are a hedge of volumes of crude oil or natural gas or natural gas liquids by means of a price “floor” for which there exists no deferred obligation to pay the related premium or other purchase price or the only deferred obligation is to either pay the premium or other purchase price on each settlement date, or pay the financing for such premium or other purchase price.</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5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an Advance or Revolving Credit Commitment Amount pursuant to a law in effect on the date on which (i) such Lender acquires such interest in an Advance or Revolving Credit Commitment Amount (other than pursuant to an assignment request by Borrower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13.11(a)</w:t>
      </w:r>
      <w:r>
        <w:rPr>
          <w:rFonts w:ascii="Times New Roman" w:cs="Times New Roman" w:eastAsia="Times New Roman" w:hAnsi="Times New Roman"/>
          <w:sz w:val="21"/>
          <w:szCs w:val="21"/>
          <w:color w:val="auto"/>
        </w:rPr>
        <w:t>) or (ii) such Lender changes its lending office, except in each case to the extent that,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20" w:top="1395" w:right="339" w:bottom="1440" w:gutter="0" w:footer="0" w:header="0"/>
        </w:sectPr>
      </w:pPr>
    </w:p>
    <w:bookmarkStart w:id="85" w:name="page86"/>
    <w:bookmarkEnd w:id="85"/>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11.9(g)</w:t>
      </w:r>
      <w:r>
        <w:rPr>
          <w:rFonts w:ascii="Times New Roman" w:cs="Times New Roman" w:eastAsia="Times New Roman" w:hAnsi="Times New Roman"/>
          <w:sz w:val="22"/>
          <w:szCs w:val="22"/>
          <w:color w:val="auto"/>
        </w:rPr>
        <w:t xml:space="preserve"> and (d) any U.S. federal withholding Taxes imposed under FATCA.</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Commodity Hedging Agreements</w:t>
      </w:r>
      <w:r>
        <w:rPr>
          <w:rFonts w:ascii="Times New Roman" w:cs="Times New Roman" w:eastAsia="Times New Roman" w:hAnsi="Times New Roman"/>
          <w:sz w:val="21"/>
          <w:szCs w:val="21"/>
          <w:color w:val="auto"/>
        </w:rPr>
        <w:t>” means any Commodity Hedging Agreements entered into between any Credit Party and any Lender or Withdrawing Lender or Affiliate of a Lender or a Withdrawing Lender prior to the Effective Date and in effect on the Effective Date, including, without limitation, the Withdrawing Lender Commodity Hedging Agreements.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has the meaning set forth in the Recitals to this Agreement.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xml:space="preserve">” means the letters of credit issued under the Existing Credit Agreement and set forth on the attached </w:t>
      </w:r>
      <w:r>
        <w:rPr>
          <w:rFonts w:ascii="Times New Roman" w:cs="Times New Roman" w:eastAsia="Times New Roman" w:hAnsi="Times New Roman"/>
          <w:sz w:val="22"/>
          <w:szCs w:val="22"/>
          <w:u w:val="single" w:color="auto"/>
          <w:color w:val="auto"/>
        </w:rPr>
        <w:t>Schedule 1.4</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Mortgages</w:t>
      </w:r>
      <w:r>
        <w:rPr>
          <w:rFonts w:ascii="Times New Roman" w:cs="Times New Roman" w:eastAsia="Times New Roman" w:hAnsi="Times New Roman"/>
          <w:sz w:val="22"/>
          <w:szCs w:val="22"/>
          <w:color w:val="auto"/>
        </w:rPr>
        <w:t xml:space="preserve">” means the Mortgages listed on </w:t>
      </w:r>
      <w:r>
        <w:rPr>
          <w:rFonts w:ascii="Times New Roman" w:cs="Times New Roman" w:eastAsia="Times New Roman" w:hAnsi="Times New Roman"/>
          <w:sz w:val="22"/>
          <w:szCs w:val="22"/>
          <w:u w:val="single" w:color="auto"/>
          <w:color w:val="auto"/>
        </w:rPr>
        <w:t>Schedule 1.5</w:t>
      </w:r>
      <w:r>
        <w:rPr>
          <w:rFonts w:ascii="Times New Roman" w:cs="Times New Roman" w:eastAsia="Times New Roman" w:hAnsi="Times New Roman"/>
          <w:sz w:val="22"/>
          <w:szCs w:val="22"/>
          <w:color w:val="auto"/>
        </w:rPr>
        <w:t xml:space="preserve"> hereto.</w:t>
      </w:r>
    </w:p>
    <w:p>
      <w:pPr>
        <w:spacing w:after="0" w:line="179"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Internal Revenue Code, as of the date of this Agreement (or any amended or successor version that is substantively comparable), any current or future regulations or official interpretations thereof and any agreements entered into pursuant to Section 1471(b)(1) of the Internal Revenue Code.</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Effective Rate</w:t>
      </w:r>
      <w:r>
        <w:rPr>
          <w:rFonts w:ascii="Times New Roman" w:cs="Times New Roman" w:eastAsia="Times New Roman" w:hAnsi="Times New Roman"/>
          <w:sz w:val="21"/>
          <w:szCs w:val="21"/>
          <w:color w:val="auto"/>
        </w:rPr>
        <w:t xml:space="preserve">” means, for any day, </w:t>
      </w:r>
      <w:r>
        <w:rPr>
          <w:rFonts w:ascii="Times New Roman" w:cs="Times New Roman" w:eastAsia="Times New Roman" w:hAnsi="Times New Roman"/>
          <w:sz w:val="21"/>
          <w:szCs w:val="21"/>
          <w:color w:val="FF0000"/>
          <w:strike w:val="1"/>
        </w:rPr>
        <w:t>a fluctuating interest</w:t>
      </w:r>
      <w:r>
        <w:rPr>
          <w:rFonts w:ascii="Times New Roman" w:cs="Times New Roman" w:eastAsia="Times New Roman" w:hAnsi="Times New Roman"/>
          <w:sz w:val="21"/>
          <w:szCs w:val="21"/>
          <w:u w:val="single" w:color="auto"/>
          <w:color w:val="0000FF"/>
        </w:rPr>
        <w:t>the</w:t>
      </w:r>
      <w:r>
        <w:rPr>
          <w:rFonts w:ascii="Times New Roman" w:cs="Times New Roman" w:eastAsia="Times New Roman" w:hAnsi="Times New Roman"/>
          <w:sz w:val="21"/>
          <w:szCs w:val="21"/>
          <w:color w:val="auto"/>
        </w:rPr>
        <w:t xml:space="preserve"> rate per annum equal to the weighted average of the rates on overnight </w:t>
      </w:r>
      <w:r>
        <w:rPr>
          <w:rFonts w:ascii="Times New Roman" w:cs="Times New Roman" w:eastAsia="Times New Roman" w:hAnsi="Times New Roman"/>
          <w:sz w:val="21"/>
          <w:szCs w:val="21"/>
          <w:color w:val="FF0000"/>
          <w:strike w:val="1"/>
        </w:rPr>
        <w:t>Federal</w:t>
      </w:r>
      <w:r>
        <w:rPr>
          <w:rFonts w:ascii="Times New Roman" w:cs="Times New Roman" w:eastAsia="Times New Roman" w:hAnsi="Times New Roman"/>
          <w:sz w:val="21"/>
          <w:szCs w:val="21"/>
          <w:u w:val="single" w:color="auto"/>
          <w:color w:val="0000FF"/>
        </w:rPr>
        <w:t>federal</w:t>
      </w:r>
      <w:r>
        <w:rPr>
          <w:rFonts w:ascii="Times New Roman" w:cs="Times New Roman" w:eastAsia="Times New Roman" w:hAnsi="Times New Roman"/>
          <w:sz w:val="21"/>
          <w:szCs w:val="21"/>
          <w:color w:val="auto"/>
        </w:rPr>
        <w:t xml:space="preserve"> funds transactions with members of the Federal Reserve System arranged by </w:t>
      </w:r>
      <w:r>
        <w:rPr>
          <w:rFonts w:ascii="Times New Roman" w:cs="Times New Roman" w:eastAsia="Times New Roman" w:hAnsi="Times New Roman"/>
          <w:sz w:val="21"/>
          <w:szCs w:val="21"/>
          <w:color w:val="FF0000"/>
          <w:strike w:val="1"/>
        </w:rPr>
        <w:t>Federal</w:t>
      </w:r>
      <w:r>
        <w:rPr>
          <w:rFonts w:ascii="Times New Roman" w:cs="Times New Roman" w:eastAsia="Times New Roman" w:hAnsi="Times New Roman"/>
          <w:sz w:val="21"/>
          <w:szCs w:val="21"/>
          <w:u w:val="single" w:color="auto"/>
          <w:color w:val="0000FF"/>
        </w:rPr>
        <w:t>federal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funds brokers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FF"/>
        </w:rPr>
        <w:t>on such day</w:t>
      </w:r>
      <w:r>
        <w:rPr>
          <w:rFonts w:ascii="Times New Roman" w:cs="Times New Roman" w:eastAsia="Times New Roman" w:hAnsi="Times New Roman"/>
          <w:sz w:val="21"/>
          <w:szCs w:val="21"/>
          <w:color w:val="000000"/>
        </w:rPr>
        <w:t>, as published</w:t>
      </w:r>
      <w:r>
        <w:rPr>
          <w:rFonts w:ascii="Times New Roman" w:cs="Times New Roman" w:eastAsia="Times New Roman" w:hAnsi="Times New Roman"/>
          <w:sz w:val="21"/>
          <w:szCs w:val="21"/>
          <w:color w:val="FF0000"/>
        </w:rPr>
        <w:t xml:space="preserve"> for such day (or, if such day is not a Business Day, for the next preceding </w:t>
      </w:r>
      <w:r>
        <w:rPr>
          <w:rFonts w:ascii="Times New Roman" w:cs="Times New Roman" w:eastAsia="Times New Roman" w:hAnsi="Times New Roman"/>
          <w:sz w:val="21"/>
          <w:szCs w:val="21"/>
          <w:color w:val="FF0000"/>
          <w:strike w:val="1"/>
        </w:rPr>
        <w:t>Business Day)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by the Federal Reserve Bank of New York</w:t>
      </w:r>
      <w:r>
        <w:rPr>
          <w:rFonts w:ascii="Times New Roman" w:cs="Times New Roman" w:eastAsia="Times New Roman" w:hAnsi="Times New Roman"/>
          <w:sz w:val="21"/>
          <w:szCs w:val="21"/>
          <w:color w:val="FF0000"/>
          <w:strike w:val="1"/>
        </w:rPr>
        <w:t>, 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FF"/>
        </w:rPr>
        <w:t>on the Business Day next succeeding such day; provided, that (a)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if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such </w:t>
      </w:r>
      <w:r>
        <w:rPr>
          <w:rFonts w:ascii="Times New Roman" w:cs="Times New Roman" w:eastAsia="Times New Roman" w:hAnsi="Times New Roman"/>
          <w:sz w:val="21"/>
          <w:szCs w:val="21"/>
          <w:color w:val="FF0000"/>
          <w:strike w:val="1"/>
        </w:rPr>
        <w:t>rate</w:t>
      </w:r>
      <w:r>
        <w:rPr>
          <w:rFonts w:ascii="Times New Roman" w:cs="Times New Roman" w:eastAsia="Times New Roman" w:hAnsi="Times New Roman"/>
          <w:sz w:val="21"/>
          <w:szCs w:val="21"/>
          <w:u w:val="single" w:color="auto"/>
          <w:color w:val="0000FF"/>
        </w:rPr>
        <w:t>day</w:t>
      </w:r>
      <w:r>
        <w:rPr>
          <w:rFonts w:ascii="Times New Roman" w:cs="Times New Roman" w:eastAsia="Times New Roman" w:hAnsi="Times New Roman"/>
          <w:sz w:val="21"/>
          <w:szCs w:val="21"/>
          <w:color w:val="000000"/>
        </w:rPr>
        <w:t xml:space="preserve"> is not </w:t>
      </w:r>
      <w:r>
        <w:rPr>
          <w:rFonts w:ascii="Times New Roman" w:cs="Times New Roman" w:eastAsia="Times New Roman" w:hAnsi="Times New Roman"/>
          <w:sz w:val="21"/>
          <w:szCs w:val="21"/>
          <w:color w:val="FF0000"/>
          <w:strike w:val="1"/>
        </w:rPr>
        <w:t>so published</w:t>
      </w:r>
      <w:r>
        <w:rPr>
          <w:rFonts w:ascii="Times New Roman" w:cs="Times New Roman" w:eastAsia="Times New Roman" w:hAnsi="Times New Roman"/>
          <w:sz w:val="21"/>
          <w:szCs w:val="21"/>
          <w:u w:val="single" w:color="auto"/>
          <w:color w:val="0000FF"/>
        </w:rPr>
        <w:t>a Business Day, the Federal Funds Effective Rate for such day shall be such rate on such</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transactions on the immediately preceding Business Day as so published on the next succeeding Business Day and (b) if no such rate is so published on such next succeeding Business Day, the Federal Funds Effective Rate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for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any</w:t>
      </w:r>
      <w:r>
        <w:rPr>
          <w:rFonts w:ascii="Times New Roman" w:cs="Times New Roman" w:eastAsia="Times New Roman" w:hAnsi="Times New Roman"/>
          <w:sz w:val="21"/>
          <w:szCs w:val="21"/>
          <w:u w:val="single" w:color="auto"/>
          <w:color w:val="0000FF"/>
        </w:rPr>
        <w:t>such</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day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which is a Business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Day,</w:t>
      </w:r>
      <w:r>
        <w:rPr>
          <w:rFonts w:ascii="Times New Roman" w:cs="Times New Roman" w:eastAsia="Times New Roman" w:hAnsi="Times New Roman"/>
          <w:sz w:val="21"/>
          <w:szCs w:val="21"/>
          <w:u w:val="single" w:color="auto"/>
          <w:color w:val="0000FF"/>
        </w:rPr>
        <w:t>shall be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average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of the quotations for such day on such transactions received by</w:t>
      </w:r>
      <w:r>
        <w:rPr>
          <w:rFonts w:ascii="Times New Roman" w:cs="Times New Roman" w:eastAsia="Times New Roman" w:hAnsi="Times New Roman"/>
          <w:sz w:val="21"/>
          <w:szCs w:val="21"/>
          <w:u w:val="single" w:color="auto"/>
          <w:color w:val="0000FF"/>
        </w:rPr>
        <w:t>rate charged to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Administrative Agent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on such day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from three Federal funds brokers of recognized standing selected by</w:t>
      </w:r>
      <w:r>
        <w:rPr>
          <w:rFonts w:ascii="Times New Roman" w:cs="Times New Roman" w:eastAsia="Times New Roman" w:hAnsi="Times New Roman"/>
          <w:sz w:val="21"/>
          <w:szCs w:val="21"/>
          <w:color w:val="0000FF"/>
        </w:rPr>
        <w:t xml:space="preserve"> the </w:t>
      </w:r>
      <w:r>
        <w:rPr>
          <w:rFonts w:ascii="Times New Roman" w:cs="Times New Roman" w:eastAsia="Times New Roman" w:hAnsi="Times New Roman"/>
          <w:sz w:val="21"/>
          <w:szCs w:val="21"/>
          <w:color w:val="000000"/>
        </w:rPr>
        <w:t>Administrative Agent, all as conclusively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determined by Administrative Agent, such sum to be rounded upward, if necessary, in the discretion of Administrative Agent, to the nearest whole multiple of 1/100th of 1%</w:t>
      </w:r>
      <w:r>
        <w:rPr>
          <w:rFonts w:ascii="Times New Roman" w:cs="Times New Roman" w:eastAsia="Times New Roman" w:hAnsi="Times New Roman"/>
          <w:sz w:val="21"/>
          <w:szCs w:val="21"/>
          <w:u w:val="single" w:color="auto"/>
          <w:color w:val="0000FF"/>
        </w:rPr>
        <w:t>; provided, further, that, if the Federal Funds Effective Rate as so determined would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be less than the Floor, such rate shall be deemed to be the Floor for the purposes of this Agreement</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-1265555</wp:posOffset>
            </wp:positionV>
            <wp:extent cx="697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97865"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-1316990</wp:posOffset>
            </wp:positionV>
            <wp:extent cx="41052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4105275" cy="825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-1128395</wp:posOffset>
            </wp:positionV>
            <wp:extent cx="36277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627755" cy="825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-442595</wp:posOffset>
            </wp:positionV>
            <wp:extent cx="2101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210185" cy="8255"/>
                    </a:xfrm>
                    <a:prstGeom prst="rect">
                      <a:avLst/>
                    </a:prstGeom>
                    <a:noFill/>
                  </pic:spPr>
                </pic:pic>
              </a:graphicData>
            </a:graphic>
          </wp:anchor>
        </w:drawing>
      </w:r>
    </w:p>
    <w:p>
      <w:pPr>
        <w:spacing w:after="0" w:line="13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fee letter by and between Borrower and RBC, dated as of November 18, 2021, relating to the Indebtedness hereunder, as amended, restated, replaced or otherwise modified from time to time.</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means the Commitment Fee, the Letter of Credit Fees and the other fees and charges (including any agency fees) payable by Borrower to Lenders, Issuing Lenders or Administrative Agent hereunder or under the Fee Letter.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“First Amendment Effective Date” means April 25, 2022.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any of the four quarters of any Fiscal Year.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the twelve-month period ending on each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40"/>
          </w:cols>
          <w:pgMar w:left="320" w:top="1395" w:right="339" w:bottom="1440" w:gutter="0" w:footer="0" w:header="0"/>
        </w:sectPr>
      </w:pPr>
    </w:p>
    <w:bookmarkStart w:id="86" w:name="page87"/>
    <w:bookmarkEnd w:id="86"/>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xml:space="preserve">” means the benchmark rate floor, if any, provided in this Agreement initially (as of the execution of this Agreement, the modification, amendment or renewal of this Agreement or otherwise) with respect to </w:t>
      </w:r>
      <w:r>
        <w:rPr>
          <w:rFonts w:ascii="Times New Roman" w:cs="Times New Roman" w:eastAsia="Times New Roman" w:hAnsi="Times New Roman"/>
          <w:sz w:val="22"/>
          <w:szCs w:val="22"/>
          <w:color w:val="FF0000"/>
          <w:strike w:val="1"/>
        </w:rPr>
        <w:t>USD LIBOR</w:t>
      </w:r>
      <w:r>
        <w:rPr>
          <w:rFonts w:ascii="Times New Roman" w:cs="Times New Roman" w:eastAsia="Times New Roman" w:hAnsi="Times New Roman"/>
          <w:sz w:val="22"/>
          <w:szCs w:val="22"/>
          <w:u w:val="single" w:color="auto"/>
          <w:color w:val="0000FF"/>
        </w:rPr>
        <w:t>the Adjusted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Term SOFR Rate. For the avoidance of doubt, the initial Floor for the Adjusted Term SOFR Rate shall be zero</w:t>
      </w:r>
      <w:r>
        <w:rPr>
          <w:rFonts w:ascii="Times New Roman" w:cs="Times New Roman" w:eastAsia="Times New Roman" w:hAnsi="Times New Roman"/>
          <w:sz w:val="22"/>
          <w:szCs w:val="22"/>
          <w:color w:val="000000"/>
        </w:rPr>
        <w: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 Lender that is not a U.S. Person.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other than a Domestic Subsidiary, and “</w:t>
      </w:r>
      <w:r>
        <w:rPr>
          <w:rFonts w:ascii="Times New Roman" w:cs="Times New Roman" w:eastAsia="Times New Roman" w:hAnsi="Times New Roman"/>
          <w:sz w:val="22"/>
          <w:szCs w:val="22"/>
          <w:u w:val="single" w:color="auto"/>
          <w:color w:val="auto"/>
        </w:rPr>
        <w:t>Foreign Subsidiaries</w:t>
      </w:r>
      <w:r>
        <w:rPr>
          <w:rFonts w:ascii="Times New Roman" w:cs="Times New Roman" w:eastAsia="Times New Roman" w:hAnsi="Times New Roman"/>
          <w:sz w:val="22"/>
          <w:szCs w:val="22"/>
          <w:color w:val="auto"/>
        </w:rPr>
        <w:t>” means any or all of them.</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an Defaulting Lender, with respect to each Issuing Lender, such Defaulting Lender’s Revolving Credit Percentage of the outstanding Letter of Credit Obligations with respect to Letters of Credit issued by such Issuing Lender.</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and practices which are recognized as such by the American Institute of Certified Public Accountants acting through its Accounting Principles Board or by the Financial Accounting Standards Board or through other appropriate boards or committees thereof and which are consistently applied for all periods after the date hereof so as to properly reflect the financial conditions, and the results of operations and changes in financial position, of the Parent and Borrower, except that any accounting principle or practice required to be changed by the Accounting Principles Board or Financial Accounting Standards Board (or other appropriate board or committee or such Boards) in order to continue as a generally accepted accounting principle or practice may be so changed.</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Balancing Agreement</w:t>
      </w:r>
      <w:r>
        <w:rPr>
          <w:rFonts w:ascii="Times New Roman" w:cs="Times New Roman" w:eastAsia="Times New Roman" w:hAnsi="Times New Roman"/>
          <w:sz w:val="22"/>
          <w:szCs w:val="22"/>
          <w:color w:val="auto"/>
        </w:rPr>
        <w:t>” means any agreement or arrangement whereby any Credit Party, or any other party having an interest in any Hydrocarbons to be produced from Oil and Gas Properties in which any Credit Party owns an interest, has a right to take more than its proportionate share of production therefrom.</w:t>
      </w:r>
    </w:p>
    <w:p>
      <w:pPr>
        <w:spacing w:after="0" w:line="15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means the Parent and each Restricted Subsidiary of Borrower.</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the Third Amended, Restated and Consolidated Unconditional Guaranty to be executed and delivered by the Guarantors as of November 18, 2021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hazardous or toxic waste, substance or material defined or regulated as such in or for purposes of the Hazardous Material Laws.</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 Laws</w:t>
      </w:r>
      <w:r>
        <w:rPr>
          <w:rFonts w:ascii="Times New Roman" w:cs="Times New Roman" w:eastAsia="Times New Roman" w:hAnsi="Times New Roman"/>
          <w:sz w:val="22"/>
          <w:szCs w:val="22"/>
          <w:color w:val="auto"/>
        </w:rPr>
        <w:t>” means all laws, codes, ordinances, rules, regulations and other governmental restrictions and requirements issued by any federal, state, local or other Governmental Authority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40"/>
          </w:cols>
          <w:pgMar w:left="320" w:top="1395" w:right="339" w:bottom="1440" w:gutter="0" w:footer="0" w:header="0"/>
        </w:sectPr>
      </w:pPr>
    </w:p>
    <w:bookmarkStart w:id="87" w:name="page88"/>
    <w:bookmarkEnd w:id="87"/>
    <w:p>
      <w:pPr>
        <w:jc w:val="both"/>
        <w:spacing w:after="0" w:line="236" w:lineRule="auto"/>
        <w:rPr>
          <w:sz w:val="20"/>
          <w:szCs w:val="20"/>
          <w:color w:val="auto"/>
        </w:rPr>
      </w:pPr>
      <w:r>
        <w:rPr>
          <w:rFonts w:ascii="Times New Roman" w:cs="Times New Roman" w:eastAsia="Times New Roman" w:hAnsi="Times New Roman"/>
          <w:sz w:val="22"/>
          <w:szCs w:val="22"/>
          <w:color w:val="auto"/>
        </w:rPr>
        <w:t>ordinance, code, rule, regulation, order or decree regulating, relating to, or imposing liability or standards of conduct concerning, any Hazardous Material, as now or at any time during the term of the Agreement in effect.</w:t>
      </w:r>
    </w:p>
    <w:p>
      <w:pPr>
        <w:spacing w:after="0" w:line="15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Hedge Termination Value</w:t>
      </w:r>
      <w:r>
        <w:rPr>
          <w:rFonts w:ascii="Times New Roman" w:cs="Times New Roman" w:eastAsia="Times New Roman" w:hAnsi="Times New Roman"/>
          <w:sz w:val="21"/>
          <w:szCs w:val="21"/>
          <w:color w:val="auto"/>
        </w:rPr>
        <w:t>” means, in respect of any one or more Commodity Hedging Agreements or Interest Rate Agreements, after taking into account the effect of any legally enforceable netting agreement relating to such Commodity Hedging Agreements or Interest Rate Agreements, as applicable, (a) for any date on or after the date such Commodity Hedging Agreements or Interest Rate Agreements, as applicable, have been closed out and termination value(s) determined in accordance therewith, such termination value(s) and (b) for any date prior to the date referenced in clause (a), the amount(s) determined as the mark-to-market value(s) for such Commodity Hedging Agreements or Interest Rate Agreements, as applicable, as determined by the counterparties to such Commodity Hedging Agreements or Interest Rate Agreements, as applicable.</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Hydrocarbon Interests</w:t>
      </w:r>
      <w:r>
        <w:rPr>
          <w:rFonts w:ascii="Times New Roman" w:cs="Times New Roman" w:eastAsia="Times New Roman" w:hAnsi="Times New Roman"/>
          <w:sz w:val="22"/>
          <w:szCs w:val="22"/>
          <w:color w:val="auto"/>
        </w:rPr>
        <w:t>” means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Hydrocarbons</w:t>
      </w:r>
      <w:r>
        <w:rPr>
          <w:rFonts w:ascii="Times New Roman" w:cs="Times New Roman" w:eastAsia="Times New Roman" w:hAnsi="Times New Roman"/>
          <w:sz w:val="22"/>
          <w:szCs w:val="22"/>
          <w:color w:val="auto"/>
        </w:rPr>
        <w:t>” means oil, gas, casinghead gas, drip gasoline, natural gasoline, condensate, distillate, liquid hydrocarbons, gaseous hydrocarbons and all products refined or separated therefrom.</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Title Deficiencies</w:t>
      </w:r>
      <w:r>
        <w:rPr>
          <w:rFonts w:ascii="Times New Roman" w:cs="Times New Roman" w:eastAsia="Times New Roman" w:hAnsi="Times New Roman"/>
          <w:sz w:val="22"/>
          <w:szCs w:val="22"/>
          <w:color w:val="auto"/>
        </w:rPr>
        <w:t>” means, with respect to Hydrocarbon Interests, defects or clouds on title, discrepancies in reported net revenue or working interest ownership interests and other defects, discrepancies, Liens and similar matters which do not, individually or in the aggregate, affect Oil and Gas Properties with a value greater than five percent (5%) of the value of all such properties included in the Borrowing Base.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Increased Costs</w:t>
      </w:r>
      <w:r>
        <w:rPr>
          <w:rFonts w:ascii="Times New Roman" w:cs="Times New Roman" w:eastAsia="Times New Roman" w:hAnsi="Times New Roman"/>
          <w:sz w:val="22"/>
          <w:szCs w:val="22"/>
          <w:color w:val="FF0000"/>
          <w:strike w:val="1"/>
        </w:rPr>
        <w:t xml:space="preserve">” has the meaning ascribed to such term in </w:t>
      </w:r>
      <w:r>
        <w:rPr>
          <w:rFonts w:ascii="Times New Roman" w:cs="Times New Roman" w:eastAsia="Times New Roman" w:hAnsi="Times New Roman"/>
          <w:sz w:val="22"/>
          <w:szCs w:val="22"/>
          <w:u w:val="single" w:color="auto"/>
          <w:color w:val="FF0000"/>
          <w:strike w:val="1"/>
        </w:rPr>
        <w:t>Section 11.6</w:t>
      </w:r>
      <w:r>
        <w:rPr>
          <w:rFonts w:ascii="Times New Roman" w:cs="Times New Roman" w:eastAsia="Times New Roman" w:hAnsi="Times New Roman"/>
          <w:sz w:val="22"/>
          <w:szCs w:val="22"/>
          <w:color w:val="FF0000"/>
          <w:strike w:val="1"/>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xml:space="preserve">” means (a) all indebtedness, obligations and liabilities of every nature, contingent or otherwise, of Borrower or any Guarantor to any of the Lenders, any of the Lenders’ Affiliates, the Administrative Agent, or the Issuing Lenders, individually or collectively, under any Loan Document, whether for principal, interest, reimbursement of amounts drawn under any Letter of Credit, funding indemnification amounts, fees, expenses, indemnification or otherwise, (b) Lender Hedging Obligations, and (c) Lender Product Obligations, in each case whether existing on the date of this Agreement or arising thereafter, direct or indirect, joint or several, absolute or contingent, matured or unmatured, liquidated or unliquidated, secured or unsecured, including interest accruing subsequent to the filing of a petition or other action concerning bankruptcy or other similar proceedings, and all renewals, extensions, refinancings and replacements for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Indebtedness include, with respect to any Guarantor, any Excluded Swap Obligations of such Guarantor.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Credit Party under any Loan Document and (b) to the extent not otherwise described in (a), Other Taxes.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means any indenture by and among Parent or any Credit Party, as issuer and/or a guarantor, and a trustee, pursuant to which any Senior Notes are issued, as the same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40"/>
          </w:cols>
          <w:pgMar w:left="320" w:top="139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amended, restated, supplemented or otherwise modified from time to time to the extent not prohibited by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13.10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color w:val="FF0000"/>
        </w:rPr>
        <w:t>with respect</w:t>
      </w:r>
      <w:r>
        <w:rPr>
          <w:rFonts w:ascii="Times New Roman" w:cs="Times New Roman" w:eastAsia="Times New Roman" w:hAnsi="Times New Roman"/>
          <w:sz w:val="21"/>
          <w:szCs w:val="21"/>
          <w:u w:val="single" w:color="auto"/>
          <w:color w:val="0000FF"/>
        </w:rPr>
        <w:t>, as</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1"/>
          <w:szCs w:val="21"/>
          <w:color w:val="FF0000"/>
          <w:strike w:val="1"/>
        </w:rPr>
        <w:t>a Eurodollar-based Advance, a Eurodollar-Interest Period,</w:t>
      </w:r>
      <w:r>
        <w:rPr>
          <w:rFonts w:ascii="Times New Roman" w:cs="Times New Roman" w:eastAsia="Times New Roman" w:hAnsi="Times New Roman"/>
          <w:sz w:val="21"/>
          <w:szCs w:val="21"/>
          <w:u w:val="single" w:color="auto"/>
          <w:color w:val="0000FF"/>
        </w:rPr>
        <w:t>each 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Borrowing, the period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commencing on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day a Eurodollar-based Advance</w:t>
      </w:r>
      <w:r>
        <w:rPr>
          <w:rFonts w:ascii="Times New Roman" w:cs="Times New Roman" w:eastAsia="Times New Roman" w:hAnsi="Times New Roman"/>
          <w:sz w:val="21"/>
          <w:szCs w:val="21"/>
          <w:u w:val="single" w:color="auto"/>
          <w:color w:val="0000FF"/>
        </w:rPr>
        <w:t>date such Borrowing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is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made,</w:t>
      </w:r>
      <w:r>
        <w:rPr>
          <w:rFonts w:ascii="Times New Roman" w:cs="Times New Roman" w:eastAsia="Times New Roman" w:hAnsi="Times New Roman"/>
          <w:sz w:val="21"/>
          <w:szCs w:val="21"/>
          <w:u w:val="single" w:color="auto"/>
          <w:color w:val="0000FF"/>
        </w:rPr>
        <w:t>disbursed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converted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to or continued as a SOFR Borrowing and ending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on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effective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date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of an election of the Eurodollar-based Rate made under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FF0000"/>
          <w:strike w:val="1"/>
        </w:rPr>
        <w:t>Section 2.3</w:t>
      </w:r>
      <w:r>
        <w:rPr>
          <w:rFonts w:ascii="Times New Roman" w:cs="Times New Roman" w:eastAsia="Times New Roman" w:hAnsi="Times New Roman"/>
          <w:sz w:val="21"/>
          <w:szCs w:val="21"/>
          <w:u w:val="single" w:color="auto"/>
          <w:color w:val="00C000"/>
          <w:strike w:val="1"/>
        </w:rPr>
        <w:t>one, three or six months</w:t>
      </w:r>
      <w:r>
        <w:rPr>
          <w:rFonts w:ascii="Times New Roman" w:cs="Times New Roman" w:eastAsia="Times New Roman" w:hAnsi="Times New Roman"/>
          <w:sz w:val="21"/>
          <w:szCs w:val="21"/>
          <w:u w:val="single" w:color="auto"/>
          <w:color w:val="FF0000"/>
          <w:strike w:val="1"/>
        </w:rPr>
        <w:t xml:space="preserve"> </w:t>
      </w:r>
      <w:r>
        <w:rPr>
          <w:rFonts w:ascii="Times New Roman" w:cs="Times New Roman" w:eastAsia="Times New Roman" w:hAnsi="Times New Roman"/>
          <w:sz w:val="21"/>
          <w:szCs w:val="21"/>
          <w:u w:val="single" w:color="auto"/>
          <w:color w:val="0000FF"/>
          <w:strike w:val="1"/>
        </w:rPr>
        <w:t>thereafter (in each case, subject to the availability for the Benchmark applicable to the</w:t>
      </w:r>
      <w:r>
        <w:rPr>
          <w:rFonts w:ascii="Times New Roman" w:cs="Times New Roman" w:eastAsia="Times New Roman" w:hAnsi="Times New Roman"/>
          <w:sz w:val="21"/>
          <w:szCs w:val="21"/>
          <w:u w:val="single" w:color="auto"/>
          <w:color w:val="FF0000"/>
          <w:strike w:val="1"/>
        </w:rPr>
        <w:t xml:space="preserve"> </w:t>
      </w:r>
      <w:r>
        <w:rPr>
          <w:rFonts w:ascii="Times New Roman" w:cs="Times New Roman" w:eastAsia="Times New Roman" w:hAnsi="Times New Roman"/>
          <w:sz w:val="21"/>
          <w:szCs w:val="21"/>
          <w:u w:val="single" w:color="auto"/>
          <w:color w:val="0000FF"/>
          <w:strike w:val="1"/>
        </w:rPr>
        <w:t>relevant Advance or Commitment), in any case as selected by the Borrower in its Request for Revolving Credit Advance</w:t>
      </w:r>
      <w:r>
        <w:rPr>
          <w:rFonts w:ascii="Times New Roman" w:cs="Times New Roman" w:eastAsia="Times New Roman" w:hAnsi="Times New Roman"/>
          <w:sz w:val="21"/>
          <w:szCs w:val="21"/>
          <w:color w:val="000000"/>
          <w:strike w:val="1"/>
        </w:rPr>
        <w:t>;</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00"/>
          <w:strike w:val="1"/>
        </w:rPr>
        <w:t>provided</w:t>
      </w:r>
      <w:r>
        <w:rPr>
          <w:rFonts w:ascii="Times New Roman" w:cs="Times New Roman" w:eastAsia="Times New Roman" w:hAnsi="Times New Roman"/>
          <w:sz w:val="21"/>
          <w:szCs w:val="21"/>
          <w:color w:val="FF0000"/>
          <w:strike w:val="1"/>
        </w:rPr>
        <w:t>, however</w:t>
      </w:r>
      <w:r>
        <w:rPr>
          <w:rFonts w:ascii="Times New Roman" w:cs="Times New Roman" w:eastAsia="Times New Roman" w:hAnsi="Times New Roman"/>
          <w:sz w:val="21"/>
          <w:szCs w:val="21"/>
          <w:color w:val="000000"/>
          <w:strike w:val="1"/>
        </w:rPr>
        <w:t xml:space="preserve"> that</w:t>
      </w:r>
      <w:r>
        <w:rPr>
          <w:rFonts w:ascii="Times New Roman" w:cs="Times New Roman" w:eastAsia="Times New Roman" w:hAnsi="Times New Roman"/>
          <w:sz w:val="21"/>
          <w:szCs w:val="21"/>
          <w:u w:val="single" w:color="auto"/>
          <w:color w:val="0000FF"/>
          <w:strike w:val="1"/>
        </w:rPr>
        <w:t>:</w:t>
      </w:r>
      <w:r>
        <w:rPr>
          <w:rFonts w:ascii="Times New Roman" w:cs="Times New Roman" w:eastAsia="Times New Roman" w:hAnsi="Times New Roman"/>
          <w:sz w:val="21"/>
          <w:szCs w:val="21"/>
          <w:color w:val="000000"/>
          <w:strike w:val="1"/>
        </w:rPr>
        <w:t xml:space="preserve"> (i) any Interest Period </w:t>
      </w:r>
      <w:r>
        <w:rPr>
          <w:rFonts w:ascii="Times New Roman" w:cs="Times New Roman" w:eastAsia="Times New Roman" w:hAnsi="Times New Roman"/>
          <w:sz w:val="21"/>
          <w:szCs w:val="21"/>
          <w:color w:val="FF0000"/>
          <w:strike w:val="1"/>
        </w:rPr>
        <w:t>which</w:t>
      </w:r>
      <w:r>
        <w:rPr>
          <w:rFonts w:ascii="Times New Roman" w:cs="Times New Roman" w:eastAsia="Times New Roman" w:hAnsi="Times New Roman"/>
          <w:sz w:val="21"/>
          <w:szCs w:val="21"/>
          <w:u w:val="single" w:color="auto"/>
          <w:color w:val="0000FF"/>
          <w:strike w:val="1"/>
        </w:rPr>
        <w:t>that</w:t>
      </w:r>
      <w:r>
        <w:rPr>
          <w:rFonts w:ascii="Times New Roman" w:cs="Times New Roman" w:eastAsia="Times New Roman" w:hAnsi="Times New Roman"/>
          <w:sz w:val="21"/>
          <w:szCs w:val="21"/>
          <w:color w:val="000000"/>
          <w:strike w:val="1"/>
        </w:rPr>
        <w:t xml:space="preserve"> would otherwise end on a day </w:t>
      </w:r>
      <w:r>
        <w:rPr>
          <w:rFonts w:ascii="Times New Roman" w:cs="Times New Roman" w:eastAsia="Times New Roman" w:hAnsi="Times New Roman"/>
          <w:sz w:val="21"/>
          <w:szCs w:val="21"/>
          <w:color w:val="FF0000"/>
          <w:strike w:val="1"/>
        </w:rPr>
        <w:t>which</w:t>
      </w:r>
      <w:r>
        <w:rPr>
          <w:rFonts w:ascii="Times New Roman" w:cs="Times New Roman" w:eastAsia="Times New Roman" w:hAnsi="Times New Roman"/>
          <w:sz w:val="21"/>
          <w:szCs w:val="21"/>
          <w:u w:val="single" w:color="auto"/>
          <w:color w:val="0000FF"/>
          <w:strike w:val="1"/>
        </w:rPr>
        <w:t>that</w:t>
      </w:r>
      <w:r>
        <w:rPr>
          <w:rFonts w:ascii="Times New Roman" w:cs="Times New Roman" w:eastAsia="Times New Roman" w:hAnsi="Times New Roman"/>
          <w:sz w:val="21"/>
          <w:szCs w:val="21"/>
          <w:color w:val="000000"/>
          <w:strike w:val="1"/>
        </w:rPr>
        <w:t xml:space="preserve"> is not a Business Day shall </w:t>
      </w:r>
      <w:r>
        <w:rPr>
          <w:rFonts w:ascii="Times New Roman" w:cs="Times New Roman" w:eastAsia="Times New Roman" w:hAnsi="Times New Roman"/>
          <w:sz w:val="21"/>
          <w:szCs w:val="21"/>
          <w:color w:val="FF0000"/>
          <w:strike w:val="1"/>
        </w:rPr>
        <w:t>end</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on</w:t>
      </w:r>
      <w:r>
        <w:rPr>
          <w:rFonts w:ascii="Times New Roman" w:cs="Times New Roman" w:eastAsia="Times New Roman" w:hAnsi="Times New Roman"/>
          <w:sz w:val="21"/>
          <w:szCs w:val="21"/>
          <w:u w:val="single" w:color="auto"/>
          <w:color w:val="0000FF"/>
          <w:strike w:val="1"/>
        </w:rPr>
        <w:t>be extended to</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the next succeeding Business Day</w:t>
      </w:r>
      <w:r>
        <w:rPr>
          <w:rFonts w:ascii="Times New Roman" w:cs="Times New Roman" w:eastAsia="Times New Roman" w:hAnsi="Times New Roman"/>
          <w:sz w:val="21"/>
          <w:szCs w:val="21"/>
          <w:color w:val="FF0000"/>
          <w:strike w:val="1"/>
        </w:rPr>
        <w:t xml:space="preserve">, except that as to an Interest Period in respect of a Eurodollar-based Advance, if the next succeeding </w:t>
      </w:r>
      <w:r>
        <w:rPr>
          <w:rFonts w:ascii="Times New Roman" w:cs="Times New Roman" w:eastAsia="Times New Roman" w:hAnsi="Times New Roman"/>
          <w:sz w:val="21"/>
          <w:szCs w:val="21"/>
          <w:u w:val="single" w:color="auto"/>
          <w:color w:val="0000FF"/>
          <w:strike w:val="1"/>
        </w:rPr>
        <w:t>unless such</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Business Day falls in another calendar month,</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in which case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such Interest Period</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shall end on the next preceding Business Day</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u w:val="single" w:color="auto"/>
          <w:color w:val="0000FF"/>
          <w:strike w:val="1"/>
        </w:rPr>
        <w:t>;</w:t>
      </w:r>
      <w:r>
        <w:rPr>
          <w:rFonts w:ascii="Times New Roman" w:cs="Times New Roman" w:eastAsia="Times New Roman" w:hAnsi="Times New Roman"/>
          <w:sz w:val="21"/>
          <w:szCs w:val="21"/>
          <w:color w:val="000000"/>
          <w:strike w:val="1"/>
        </w:rPr>
        <w:t xml:space="preserve"> (ii) </w:t>
      </w:r>
      <w:r>
        <w:rPr>
          <w:rFonts w:ascii="Times New Roman" w:cs="Times New Roman" w:eastAsia="Times New Roman" w:hAnsi="Times New Roman"/>
          <w:sz w:val="21"/>
          <w:szCs w:val="21"/>
          <w:color w:val="FF0000"/>
          <w:strike w:val="1"/>
        </w:rPr>
        <w:t>when an</w:t>
      </w:r>
      <w:r>
        <w:rPr>
          <w:rFonts w:ascii="Times New Roman" w:cs="Times New Roman" w:eastAsia="Times New Roman" w:hAnsi="Times New Roman"/>
          <w:sz w:val="21"/>
          <w:szCs w:val="21"/>
          <w:u w:val="single" w:color="auto"/>
          <w:color w:val="0000FF"/>
          <w:strike w:val="1"/>
        </w:rPr>
        <w:t>any</w:t>
      </w:r>
      <w:r>
        <w:rPr>
          <w:rFonts w:ascii="Times New Roman" w:cs="Times New Roman" w:eastAsia="Times New Roman" w:hAnsi="Times New Roman"/>
          <w:sz w:val="21"/>
          <w:szCs w:val="21"/>
          <w:color w:val="000000"/>
          <w:strike w:val="1"/>
        </w:rPr>
        <w:t xml:space="preserve"> Interest Period </w:t>
      </w:r>
      <w:r>
        <w:rPr>
          <w:rFonts w:ascii="Times New Roman" w:cs="Times New Roman" w:eastAsia="Times New Roman" w:hAnsi="Times New Roman"/>
          <w:sz w:val="21"/>
          <w:szCs w:val="21"/>
          <w:color w:val="FF0000"/>
          <w:strike w:val="1"/>
        </w:rPr>
        <w:t>in respect of a Eurodollar-based Advance</w:t>
      </w:r>
      <w:r>
        <w:rPr>
          <w:rFonts w:ascii="Times New Roman" w:cs="Times New Roman" w:eastAsia="Times New Roman" w:hAnsi="Times New Roman"/>
          <w:sz w:val="21"/>
          <w:szCs w:val="21"/>
          <w:u w:val="single" w:color="auto"/>
          <w:color w:val="0000FF"/>
          <w:strike w:val="1"/>
        </w:rPr>
        <w:t>that</w:t>
      </w:r>
      <w:r>
        <w:rPr>
          <w:rFonts w:ascii="Times New Roman" w:cs="Times New Roman" w:eastAsia="Times New Roman" w:hAnsi="Times New Roman"/>
          <w:sz w:val="21"/>
          <w:szCs w:val="21"/>
          <w:color w:val="000000"/>
          <w:strike w:val="1"/>
        </w:rPr>
        <w:t xml:space="preserve"> begins on </w:t>
      </w:r>
      <w:r>
        <w:rPr>
          <w:rFonts w:ascii="Times New Roman" w:cs="Times New Roman" w:eastAsia="Times New Roman" w:hAnsi="Times New Roman"/>
          <w:sz w:val="21"/>
          <w:szCs w:val="21"/>
          <w:u w:val="single" w:color="auto"/>
          <w:color w:val="0000FF"/>
          <w:strike w:val="1"/>
        </w:rPr>
        <w:t>the last Business Day of a calendar month (or on</w:t>
      </w:r>
      <w:r>
        <w:rPr>
          <w:rFonts w:ascii="Times New Roman" w:cs="Times New Roman" w:eastAsia="Times New Roman" w:hAnsi="Times New Roman"/>
          <w:sz w:val="21"/>
          <w:szCs w:val="21"/>
          <w:color w:val="000000"/>
          <w:strike w:val="1"/>
        </w:rPr>
        <w:t xml:space="preserve"> a day </w:t>
      </w:r>
      <w:r>
        <w:rPr>
          <w:rFonts w:ascii="Times New Roman" w:cs="Times New Roman" w:eastAsia="Times New Roman" w:hAnsi="Times New Roman"/>
          <w:sz w:val="21"/>
          <w:szCs w:val="21"/>
          <w:u w:val="single" w:color="auto"/>
          <w:color w:val="0000FF"/>
          <w:strike w:val="1"/>
        </w:rPr>
        <w:t>for</w:t>
      </w:r>
      <w:r>
        <w:rPr>
          <w:rFonts w:ascii="Times New Roman" w:cs="Times New Roman" w:eastAsia="Times New Roman" w:hAnsi="Times New Roman"/>
          <w:sz w:val="21"/>
          <w:szCs w:val="21"/>
          <w:color w:val="000000"/>
          <w:strike w:val="1"/>
        </w:rPr>
        <w:t xml:space="preserve"> which </w:t>
      </w:r>
      <w:r>
        <w:rPr>
          <w:rFonts w:ascii="Times New Roman" w:cs="Times New Roman" w:eastAsia="Times New Roman" w:hAnsi="Times New Roman"/>
          <w:sz w:val="21"/>
          <w:szCs w:val="21"/>
          <w:color w:val="FF0000"/>
          <w:strike w:val="1"/>
        </w:rPr>
        <w:t>has</w:t>
      </w:r>
      <w:r>
        <w:rPr>
          <w:rFonts w:ascii="Times New Roman" w:cs="Times New Roman" w:eastAsia="Times New Roman" w:hAnsi="Times New Roman"/>
          <w:sz w:val="21"/>
          <w:szCs w:val="21"/>
          <w:u w:val="single" w:color="auto"/>
          <w:color w:val="0000FF"/>
          <w:strike w:val="1"/>
        </w:rPr>
        <w:t>there is</w:t>
      </w:r>
      <w:r>
        <w:rPr>
          <w:rFonts w:ascii="Times New Roman" w:cs="Times New Roman" w:eastAsia="Times New Roman" w:hAnsi="Times New Roman"/>
          <w:sz w:val="21"/>
          <w:szCs w:val="21"/>
          <w:color w:val="000000"/>
          <w:strike w:val="1"/>
        </w:rPr>
        <w:t xml:space="preserve"> no numerically corresponding day in the calendar month </w:t>
      </w:r>
      <w:r>
        <w:rPr>
          <w:rFonts w:ascii="Times New Roman" w:cs="Times New Roman" w:eastAsia="Times New Roman" w:hAnsi="Times New Roman"/>
          <w:sz w:val="21"/>
          <w:szCs w:val="21"/>
          <w:color w:val="FF0000"/>
          <w:strike w:val="1"/>
        </w:rPr>
        <w:t>during which</w:t>
      </w:r>
      <w:r>
        <w:rPr>
          <w:rFonts w:ascii="Times New Roman" w:cs="Times New Roman" w:eastAsia="Times New Roman" w:hAnsi="Times New Roman"/>
          <w:sz w:val="21"/>
          <w:szCs w:val="21"/>
          <w:u w:val="single" w:color="auto"/>
          <w:color w:val="0000FF"/>
          <w:strike w:val="1"/>
        </w:rPr>
        <w:t>at the end of</w:t>
      </w:r>
      <w:r>
        <w:rPr>
          <w:rFonts w:ascii="Times New Roman" w:cs="Times New Roman" w:eastAsia="Times New Roman" w:hAnsi="Times New Roman"/>
          <w:sz w:val="21"/>
          <w:szCs w:val="21"/>
          <w:color w:val="000000"/>
          <w:strike w:val="1"/>
        </w:rPr>
        <w:t xml:space="preserve"> such Interest Period </w:t>
      </w:r>
      <w:r>
        <w:rPr>
          <w:rFonts w:ascii="Times New Roman" w:cs="Times New Roman" w:eastAsia="Times New Roman" w:hAnsi="Times New Roman"/>
          <w:sz w:val="21"/>
          <w:szCs w:val="21"/>
          <w:color w:val="FF0000"/>
          <w:strike w:val="1"/>
        </w:rPr>
        <w:t>is to end, it</w:t>
      </w:r>
      <w:r>
        <w:rPr>
          <w:rFonts w:ascii="Times New Roman" w:cs="Times New Roman" w:eastAsia="Times New Roman" w:hAnsi="Times New Roman"/>
          <w:sz w:val="21"/>
          <w:szCs w:val="21"/>
          <w:u w:val="single" w:color="auto"/>
          <w:color w:val="0000FF"/>
          <w:strike w:val="1"/>
        </w:rPr>
        <w:t>)</w:t>
      </w:r>
      <w:r>
        <w:rPr>
          <w:rFonts w:ascii="Times New Roman" w:cs="Times New Roman" w:eastAsia="Times New Roman" w:hAnsi="Times New Roman"/>
          <w:sz w:val="21"/>
          <w:szCs w:val="21"/>
          <w:color w:val="000000"/>
          <w:strike w:val="1"/>
        </w:rPr>
        <w:t xml:space="preserve"> shall end on the last Business Day of </w:t>
      </w:r>
      <w:r>
        <w:rPr>
          <w:rFonts w:ascii="Times New Roman" w:cs="Times New Roman" w:eastAsia="Times New Roman" w:hAnsi="Times New Roman"/>
          <w:sz w:val="21"/>
          <w:szCs w:val="21"/>
          <w:color w:val="FF0000"/>
          <w:strike w:val="1"/>
        </w:rPr>
        <w:t>such</w:t>
      </w:r>
      <w:r>
        <w:rPr>
          <w:rFonts w:ascii="Times New Roman" w:cs="Times New Roman" w:eastAsia="Times New Roman" w:hAnsi="Times New Roman"/>
          <w:sz w:val="21"/>
          <w:szCs w:val="21"/>
          <w:u w:val="single" w:color="auto"/>
          <w:color w:val="0000FF"/>
          <w:strike w:val="1"/>
        </w:rPr>
        <w:t>the</w:t>
      </w:r>
      <w:r>
        <w:rPr>
          <w:rFonts w:ascii="Times New Roman" w:cs="Times New Roman" w:eastAsia="Times New Roman" w:hAnsi="Times New Roman"/>
          <w:sz w:val="21"/>
          <w:szCs w:val="21"/>
          <w:color w:val="000000"/>
          <w:strike w:val="1"/>
        </w:rPr>
        <w:t xml:space="preserve"> calendar month</w:t>
      </w:r>
      <w:r>
        <w:rPr>
          <w:rFonts w:ascii="Times New Roman" w:cs="Times New Roman" w:eastAsia="Times New Roman" w:hAnsi="Times New Roman"/>
          <w:sz w:val="21"/>
          <w:szCs w:val="21"/>
          <w:color w:val="FF0000"/>
          <w:strike w:val="1"/>
        </w:rPr>
        <w:t>, and</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0000FF"/>
          <w:strike w:val="1"/>
        </w:rPr>
        <w:t>at the end of such Interest Period;</w:t>
      </w:r>
      <w:r>
        <w:rPr>
          <w:rFonts w:ascii="Times New Roman" w:cs="Times New Roman" w:eastAsia="Times New Roman" w:hAnsi="Times New Roman"/>
          <w:sz w:val="21"/>
          <w:szCs w:val="21"/>
          <w:color w:val="000000"/>
          <w:strike w:val="1"/>
        </w:rPr>
        <w:t xml:space="preserve"> (iii) no </w:t>
      </w:r>
      <w:r>
        <w:rPr>
          <w:rFonts w:ascii="Times New Roman" w:cs="Times New Roman" w:eastAsia="Times New Roman" w:hAnsi="Times New Roman"/>
          <w:sz w:val="21"/>
          <w:szCs w:val="21"/>
          <w:u w:val="single" w:color="auto"/>
          <w:color w:val="0000FF"/>
          <w:strike w:val="1"/>
        </w:rPr>
        <w:t>tenor that has been removed from this definition pursuant to Section 11.3(b)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1795145</wp:posOffset>
            </wp:positionH>
            <wp:positionV relativeFrom="paragraph">
              <wp:posOffset>-1560830</wp:posOffset>
            </wp:positionV>
            <wp:extent cx="7778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77875" cy="8255"/>
                    </a:xfrm>
                    <a:prstGeom prst="rect">
                      <a:avLst/>
                    </a:prstGeom>
                    <a:noFill/>
                  </pic:spPr>
                </pic:pic>
              </a:graphicData>
            </a:graphic>
          </wp:anchor>
        </w:drawing>
        <w:drawing>
          <wp:anchor simplePos="0" relativeHeight="251657728" behindDoc="1" locked="0" layoutInCell="0" allowOverlap="1">
            <wp:simplePos x="0" y="0"/>
            <wp:positionH relativeFrom="column">
              <wp:posOffset>3421380</wp:posOffset>
            </wp:positionH>
            <wp:positionV relativeFrom="paragraph">
              <wp:posOffset>-189230</wp:posOffset>
            </wp:positionV>
            <wp:extent cx="643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43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-635</wp:posOffset>
            </wp:positionV>
            <wp:extent cx="18776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1877695" cy="8890"/>
                    </a:xfrm>
                    <a:prstGeom prst="rect">
                      <a:avLst/>
                    </a:prstGeom>
                    <a:noFill/>
                  </pic:spPr>
                </pic:pic>
              </a:graphicData>
            </a:graphic>
          </wp:anchor>
        </w:drawing>
      </w:r>
    </w:p>
    <w:p>
      <w:pPr>
        <w:jc w:val="both"/>
        <w:ind w:firstLine="8"/>
        <w:spacing w:after="0" w:line="214" w:lineRule="auto"/>
        <w:tabs>
          <w:tab w:leader="none" w:pos="384" w:val="left"/>
        </w:tabs>
        <w:numPr>
          <w:ilvl w:val="0"/>
          <w:numId w:val="3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shall be available for specification in such Request for Revolving Credit Advance and (iv) no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Interest Period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rPr>
        <w:t>in respect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any Advance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shall extend beyond the Revolving Credit Maturity Date.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FF"/>
        </w:rPr>
        <w:t>For purposes hereof, the date of a Borrowing initially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-492760</wp:posOffset>
            </wp:positionV>
            <wp:extent cx="746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46760" cy="889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-304165</wp:posOffset>
            </wp:positionV>
            <wp:extent cx="31178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3117850" cy="8255"/>
                    </a:xfrm>
                    <a:prstGeom prst="rect">
                      <a:avLst/>
                    </a:prstGeom>
                    <a:noFill/>
                  </pic:spPr>
                </pic:pic>
              </a:graphicData>
            </a:graphic>
          </wp:anchor>
        </w:drawing>
      </w:r>
    </w:p>
    <w:p>
      <w:pPr>
        <w:spacing w:after="0" w:line="13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Agreement</w:t>
      </w:r>
      <w:r>
        <w:rPr>
          <w:rFonts w:ascii="Times New Roman" w:cs="Times New Roman" w:eastAsia="Times New Roman" w:hAnsi="Times New Roman"/>
          <w:sz w:val="22"/>
          <w:szCs w:val="22"/>
          <w:color w:val="auto"/>
        </w:rPr>
        <w:t>” means any interest rate protection agreement, interest rate future agreement, interest rate option agreement, interest rate swap agreement, interest rate cap agreement, interest rate collar agreement, interest rate hedge agreement or other similar agreement or arrangement designed to protect against fluctuations in interest rates.</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Revenue Code</w:t>
      </w:r>
      <w:r>
        <w:rPr>
          <w:rFonts w:ascii="Times New Roman" w:cs="Times New Roman" w:eastAsia="Times New Roman" w:hAnsi="Times New Roman"/>
          <w:sz w:val="22"/>
          <w:szCs w:val="22"/>
          <w:color w:val="auto"/>
        </w:rPr>
        <w:t>” means the Internal Revenue Code of 1986 of the United States of America, as amended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ISDA Definitions</w:t>
      </w:r>
      <w:r>
        <w:rPr>
          <w:rFonts w:ascii="Times New Roman" w:cs="Times New Roman" w:eastAsia="Times New Roman" w:hAnsi="Times New Roman"/>
          <w:sz w:val="22"/>
          <w:szCs w:val="22"/>
          <w:color w:val="FF0000"/>
          <w:strike w:val="1"/>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Lender</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u w:val="single" w:color="auto"/>
          <w:color w:val="0000FF"/>
        </w:rPr>
        <w:t>, collectively,</w:t>
      </w:r>
      <w:r>
        <w:rPr>
          <w:rFonts w:ascii="Times New Roman" w:cs="Times New Roman" w:eastAsia="Times New Roman" w:hAnsi="Times New Roman"/>
          <w:sz w:val="22"/>
          <w:szCs w:val="22"/>
          <w:color w:val="auto"/>
        </w:rPr>
        <w:t xml:space="preserve"> RBC, </w:t>
      </w:r>
      <w:r>
        <w:rPr>
          <w:rFonts w:ascii="Times New Roman" w:cs="Times New Roman" w:eastAsia="Times New Roman" w:hAnsi="Times New Roman"/>
          <w:sz w:val="22"/>
          <w:szCs w:val="22"/>
          <w:u w:val="single" w:color="auto"/>
          <w:color w:val="0000FF"/>
        </w:rPr>
        <w:t>Truist,</w:t>
      </w:r>
      <w:r>
        <w:rPr>
          <w:rFonts w:ascii="Times New Roman" w:cs="Times New Roman" w:eastAsia="Times New Roman" w:hAnsi="Times New Roman"/>
          <w:sz w:val="22"/>
          <w:szCs w:val="22"/>
          <w:color w:val="auto"/>
        </w:rPr>
        <w:t xml:space="preserve"> and each </w:t>
      </w:r>
      <w:r>
        <w:rPr>
          <w:rFonts w:ascii="Times New Roman" w:cs="Times New Roman" w:eastAsia="Times New Roman" w:hAnsi="Times New Roman"/>
          <w:sz w:val="22"/>
          <w:szCs w:val="22"/>
          <w:u w:val="single" w:color="auto"/>
          <w:color w:val="0000FF"/>
        </w:rPr>
        <w:t>other</w:t>
      </w:r>
      <w:r>
        <w:rPr>
          <w:rFonts w:ascii="Times New Roman" w:cs="Times New Roman" w:eastAsia="Times New Roman" w:hAnsi="Times New Roman"/>
          <w:sz w:val="22"/>
          <w:szCs w:val="22"/>
          <w:color w:val="auto"/>
        </w:rPr>
        <w:t xml:space="preserve"> Lender appointed by the Borrower and approved by the Administrative Agent (not to be unreasonably withheld, conditioned or delayed) that agrees to act as an issuer of Letters of Credit hereunder, in each case, in its capacity as the issuer of Letters of Credit hereunder, and any successor designated by Borrower and the Revolving Credit Lenders.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Office</w:t>
      </w:r>
      <w:r>
        <w:rPr>
          <w:rFonts w:ascii="Times New Roman" w:cs="Times New Roman" w:eastAsia="Times New Roman" w:hAnsi="Times New Roman"/>
          <w:sz w:val="22"/>
          <w:szCs w:val="22"/>
          <w:color w:val="auto"/>
        </w:rPr>
        <w:t>” means such office as the applicable Issuing Lender shall designate as its Issuing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40"/>
          </w:cols>
          <w:pgMar w:left="320" w:top="1395"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Indemnified Amounts</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Indemnified Person</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Counterparty</w:t>
      </w:r>
      <w:r>
        <w:rPr>
          <w:rFonts w:ascii="Times New Roman" w:cs="Times New Roman" w:eastAsia="Times New Roman" w:hAnsi="Times New Roman"/>
          <w:sz w:val="22"/>
          <w:szCs w:val="22"/>
          <w:color w:val="auto"/>
        </w:rPr>
        <w:t xml:space="preserve">” means any Lender or any Affiliate of a Lender counterparty to a Commodity Hedging Agreement or Interest Rate Agreement with any Credit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Withdrawing Lender that was a Lender Counterparty under the Existing Credit Agreement shall be deemed to be a Lender Counterparty hereunder solely with respect to the Existing Commodity Hedging Agreements to which such Withdrawing Lender is a party.</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Hedging Obligations</w:t>
      </w:r>
      <w:r>
        <w:rPr>
          <w:rFonts w:ascii="Times New Roman" w:cs="Times New Roman" w:eastAsia="Times New Roman" w:hAnsi="Times New Roman"/>
          <w:sz w:val="22"/>
          <w:szCs w:val="22"/>
          <w:color w:val="auto"/>
        </w:rPr>
        <w:t xml:space="preserve">” means all obligations arising from time to time under Commodity Hedging Agreements and Interest Rate Agreements permitted hereunder and entered into from time to time between any Credit Party, on the one hand and a Lender Counterparty on the other hand (including any such obligations under any Existing Commodity Hedging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a Lender Counterparty ceases to be a Lender hereunder or an Affiliate of a Lender hereunder, Lender Hedging Obligations shall only include such obligations to the extent arising from transactions and confirmations entered into under Commodity Hedging Agreements and Interest Rate Agreements at any time such Person was a Lender or an Affiliate of a Lender hereunder, without giving effect to any extension, increases or modifications thereof which are made after such Person ceases to be a Lender or an Affiliate of a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all obligations arising under the Withdrawing Lender Commodity Hedging Agreements in respect of the trades set forth on </w:t>
      </w:r>
      <w:r>
        <w:rPr>
          <w:rFonts w:ascii="Times New Roman" w:cs="Times New Roman" w:eastAsia="Times New Roman" w:hAnsi="Times New Roman"/>
          <w:sz w:val="22"/>
          <w:szCs w:val="22"/>
          <w:u w:val="single" w:color="auto"/>
          <w:color w:val="auto"/>
        </w:rPr>
        <w:t>Schedule 6.22(c)</w:t>
      </w:r>
      <w:r>
        <w:rPr>
          <w:rFonts w:ascii="Times New Roman" w:cs="Times New Roman" w:eastAsia="Times New Roman" w:hAnsi="Times New Roman"/>
          <w:sz w:val="22"/>
          <w:szCs w:val="22"/>
          <w:color w:val="auto"/>
        </w:rPr>
        <w:t xml:space="preserve"> shall only constitute Lender Hedging Obligations hereunder until the maturity or expiration of each such trade.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Product Obligations</w:t>
      </w:r>
      <w:r>
        <w:rPr>
          <w:rFonts w:ascii="Times New Roman" w:cs="Times New Roman" w:eastAsia="Times New Roman" w:hAnsi="Times New Roman"/>
          <w:sz w:val="22"/>
          <w:szCs w:val="22"/>
          <w:color w:val="auto"/>
        </w:rPr>
        <w:t xml:space="preserve">” means all obligations arising from time to time under Lender Products (including any such obligations existing on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 Lender or an Affiliate of a Lender ceases to be a Lender hereunder or an Affiliate of a Lender hereunder, then all Lender Products between a Credit Party or Parent and such Lender or Affiliate of a Lender shall not constitute Lender Product Obligations and shall not be secured by the Collateral Documents or guaranteed pursuant to the Guaranty.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Products</w:t>
      </w:r>
      <w:r>
        <w:rPr>
          <w:rFonts w:ascii="Times New Roman" w:cs="Times New Roman" w:eastAsia="Times New Roman" w:hAnsi="Times New Roman"/>
          <w:sz w:val="22"/>
          <w:szCs w:val="22"/>
          <w:color w:val="auto"/>
        </w:rPr>
        <w:t>” means any one or more of the following types of services or facilities extended to the Parent or any Credit Party by any Lender or Affiliate of a Lender: (i) credit cards, (ii) credit card processing services, (iii) debit cards, (iv) purchase cards, (v) Automated Clearing House (ACH) transactions, (vi) cash management, including controlled disbursement services, and (vii) establishing and maintaining deposit accounts.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shall have the meaning set forth in the preamble, and shall include the Revolving Credit Lenders and any Eligible Assignee which becomes a Lender pursuant to </w:t>
      </w:r>
      <w:r>
        <w:rPr>
          <w:rFonts w:ascii="Times New Roman" w:cs="Times New Roman" w:eastAsia="Times New Roman" w:hAnsi="Times New Roman"/>
          <w:sz w:val="22"/>
          <w:szCs w:val="22"/>
          <w:u w:val="single" w:color="auto"/>
          <w:color w:val="auto"/>
        </w:rPr>
        <w:t>Section 13.7</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Agreement</w:t>
      </w:r>
      <w:r>
        <w:rPr>
          <w:rFonts w:ascii="Times New Roman" w:cs="Times New Roman" w:eastAsia="Times New Roman" w:hAnsi="Times New Roman"/>
          <w:sz w:val="22"/>
          <w:szCs w:val="22"/>
          <w:color w:val="auto"/>
        </w:rPr>
        <w:t>” means, collectively, the letter of credit application and related documentation executed and/or delivered by Borrower in respect of each Letter of Credit, in each case reasonably satisfactory to the applicable Issuing Lender.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Documents</w:t>
      </w:r>
      <w:r>
        <w:rPr>
          <w:rFonts w:ascii="Times New Roman" w:cs="Times New Roman" w:eastAsia="Times New Roman" w:hAnsi="Times New Roman"/>
          <w:sz w:val="22"/>
          <w:szCs w:val="22"/>
          <w:color w:val="auto"/>
        </w:rPr>
        <w:t xml:space="preserve">” shall have the meaning ascribed to such term in </w:t>
      </w:r>
      <w:r>
        <w:rPr>
          <w:rFonts w:ascii="Times New Roman" w:cs="Times New Roman" w:eastAsia="Times New Roman" w:hAnsi="Times New Roman"/>
          <w:sz w:val="22"/>
          <w:szCs w:val="22"/>
          <w:u w:val="single" w:color="auto"/>
          <w:color w:val="auto"/>
        </w:rPr>
        <w:t>Section 3.7(a)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Fees</w:t>
      </w:r>
      <w:r>
        <w:rPr>
          <w:rFonts w:ascii="Times New Roman" w:cs="Times New Roman" w:eastAsia="Times New Roman" w:hAnsi="Times New Roman"/>
          <w:sz w:val="21"/>
          <w:szCs w:val="21"/>
          <w:color w:val="auto"/>
        </w:rPr>
        <w:t xml:space="preserve">” means the fees payable in connection with Letters of Credit pursuant to </w:t>
      </w:r>
      <w:r>
        <w:rPr>
          <w:rFonts w:ascii="Times New Roman" w:cs="Times New Roman" w:eastAsia="Times New Roman" w:hAnsi="Times New Roman"/>
          <w:sz w:val="21"/>
          <w:szCs w:val="21"/>
          <w:u w:val="single" w:color="auto"/>
          <w:color w:val="auto"/>
        </w:rPr>
        <w:t>Sections 3.4(a)(i)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40"/>
          </w:cols>
          <w:pgMar w:left="320" w:top="1395" w:right="339" w:bottom="1440" w:gutter="0" w:footer="0" w:header="0"/>
        </w:sectPr>
      </w:pPr>
    </w:p>
    <w:bookmarkStart w:id="90" w:name="page91"/>
    <w:bookmarkEnd w:id="90"/>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“Letter of Credit Commitment” means with respect to each Issuing Lender, the amount specified opposite such Issuing Lender’s name under the column titled “Revolving Credit Allocations” on Schedule 1.2, as adjusted from time to time in accordance with the terms hereof.</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Maximum Amount</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rPr>
        <w:t>Fifty</w:t>
      </w:r>
      <w:r>
        <w:rPr>
          <w:rFonts w:ascii="Times New Roman" w:cs="Times New Roman" w:eastAsia="Times New Roman" w:hAnsi="Times New Roman"/>
          <w:sz w:val="22"/>
          <w:szCs w:val="22"/>
          <w:u w:val="single" w:color="auto"/>
          <w:color w:val="0000FF"/>
        </w:rPr>
        <w:t>, as of the First Amendment Effective Date, One Hundred</w:t>
      </w:r>
      <w:r>
        <w:rPr>
          <w:rFonts w:ascii="Times New Roman" w:cs="Times New Roman" w:eastAsia="Times New Roman" w:hAnsi="Times New Roman"/>
          <w:sz w:val="22"/>
          <w:szCs w:val="22"/>
          <w:color w:val="auto"/>
        </w:rPr>
        <w:t xml:space="preserve"> Million Dollars ($</w:t>
      </w:r>
      <w:r>
        <w:rPr>
          <w:rFonts w:ascii="Times New Roman" w:cs="Times New Roman" w:eastAsia="Times New Roman" w:hAnsi="Times New Roman"/>
          <w:sz w:val="22"/>
          <w:szCs w:val="22"/>
          <w:color w:val="FF0000"/>
          <w:strike w:val="1"/>
        </w:rPr>
        <w:t>50,000,000</w:t>
      </w:r>
      <w:r>
        <w:rPr>
          <w:rFonts w:ascii="Times New Roman" w:cs="Times New Roman" w:eastAsia="Times New Roman" w:hAnsi="Times New Roman"/>
          <w:sz w:val="22"/>
          <w:szCs w:val="22"/>
          <w:u w:val="single" w:color="auto"/>
          <w:color w:val="0000FF"/>
        </w:rPr>
        <w:t>100,000,000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-220980</wp:posOffset>
            </wp:positionV>
            <wp:extent cx="3181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318135" cy="8255"/>
                    </a:xfrm>
                    <a:prstGeom prst="rect">
                      <a:avLst/>
                    </a:prstGeom>
                    <a:noFill/>
                  </pic:spPr>
                </pic:pic>
              </a:graphicData>
            </a:graphic>
          </wp:anchor>
        </w:drawing>
      </w:r>
    </w:p>
    <w:p>
      <w:pPr>
        <w:spacing w:after="0" w:line="13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Obligations</w:t>
      </w:r>
      <w:r>
        <w:rPr>
          <w:rFonts w:ascii="Times New Roman" w:cs="Times New Roman" w:eastAsia="Times New Roman" w:hAnsi="Times New Roman"/>
          <w:sz w:val="22"/>
          <w:szCs w:val="22"/>
          <w:color w:val="auto"/>
        </w:rPr>
        <w:t>” means at any date of determination, the sum of (a) the aggregate undrawn amount of all Letters of Credit then outstanding, and (b) the aggregate amount of Reimbursement Obligations which remain unpaid as of such date.</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Payment</w:t>
      </w:r>
      <w:r>
        <w:rPr>
          <w:rFonts w:ascii="Times New Roman" w:cs="Times New Roman" w:eastAsia="Times New Roman" w:hAnsi="Times New Roman"/>
          <w:sz w:val="22"/>
          <w:szCs w:val="22"/>
          <w:color w:val="auto"/>
        </w:rPr>
        <w:t>” means any amount paid or required to be paid by the applicable Issuing Lender in its capacity hereunder as issuer of a Letter of Credit as a result of a draft or other demand for payment under any Letter of Credit.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means each Existing Letter of Credit and each standby letter of credit issued by an Issuing Lender at the request of or for the account of Borrower pursuant to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LIBOR Rate</w:t>
      </w:r>
      <w:r>
        <w:rPr>
          <w:rFonts w:ascii="Times New Roman" w:cs="Times New Roman" w:eastAsia="Times New Roman" w:hAnsi="Times New Roman"/>
          <w:sz w:val="22"/>
          <w:szCs w:val="22"/>
          <w:color w:val="FF0000"/>
          <w:strike w:val="1"/>
        </w:rPr>
        <w:t>” means,</w:t>
      </w:r>
    </w:p>
    <w:p>
      <w:pPr>
        <w:spacing w:after="0" w:line="179" w:lineRule="exact"/>
        <w:rPr>
          <w:sz w:val="20"/>
          <w:szCs w:val="20"/>
          <w:color w:val="auto"/>
        </w:rPr>
      </w:pPr>
    </w:p>
    <w:p>
      <w:pPr>
        <w:jc w:val="both"/>
        <w:ind w:left="660" w:firstLine="644"/>
        <w:spacing w:after="0" w:line="219" w:lineRule="auto"/>
        <w:tabs>
          <w:tab w:leader="none" w:pos="1929" w:val="left"/>
        </w:tabs>
        <w:numPr>
          <w:ilvl w:val="0"/>
          <w:numId w:val="40"/>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for any Interest Period with respect to any Eurodollar-based Advance, the per annum rate of interest, expressed on the basis of a year of 360 days, determined by Administrative Agent, which is equal to USD LIBOR (as set forth by any service selected by Administrative Agent that has been nominated by ICE Benchmark Administration as an authorized information vendor for the purpose of displaying such rates) with a term equivalent to such Eurodollar-Interest Period, determined as of approximately 11:00 a.m. (London time) two (2) Business Days prior to the first day of such Eurodollar-Interest Period. If the rates referenced in the preceding sentence are not available, “</w:t>
      </w:r>
      <w:r>
        <w:rPr>
          <w:rFonts w:ascii="Times New Roman" w:cs="Times New Roman" w:eastAsia="Times New Roman" w:hAnsi="Times New Roman"/>
          <w:sz w:val="21"/>
          <w:szCs w:val="21"/>
          <w:u w:val="single" w:color="auto"/>
          <w:color w:val="FF0000"/>
          <w:strike w:val="1"/>
        </w:rPr>
        <w:t>LIBOR Rate</w:t>
      </w:r>
      <w:r>
        <w:rPr>
          <w:rFonts w:ascii="Times New Roman" w:cs="Times New Roman" w:eastAsia="Times New Roman" w:hAnsi="Times New Roman"/>
          <w:sz w:val="21"/>
          <w:szCs w:val="21"/>
          <w:color w:val="FF0000"/>
          <w:strike w:val="1"/>
        </w:rPr>
        <w:t xml:space="preserve">” shall mean the per annum rate of interest determined by Administrative Agent as the rate of interest, expressed on a basis of 360 days, at which deposits in Dollars for delivery on the first day of such Eurodollar-Interest Period in same day funds in the approximate amount of the Eurodollar-based Advance being made, continued or converted by Administrative Agent and with a term and amount comparable to such Eurodollar-Interest Period and principal amount of such Eurodollar-based Advance as would be offered by Administrative Agent’s London Branch to major banks in the offshore Dollar market at their request at approximately 11:00 a.m. (London time) two (2) Business Days prior to the first day of such Eurodollar-Interest Period;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FF0000"/>
          <w:strike w:val="1"/>
        </w:rPr>
        <w:t xml:space="preserve"> that, if any such rate is below zero, the LIBOR Rate will be deemed to be zero; and</w:t>
      </w:r>
    </w:p>
    <w:p>
      <w:pPr>
        <w:spacing w:after="0" w:line="159" w:lineRule="exact"/>
        <w:rPr>
          <w:rFonts w:ascii="Times New Roman" w:cs="Times New Roman" w:eastAsia="Times New Roman" w:hAnsi="Times New Roman"/>
          <w:sz w:val="21"/>
          <w:szCs w:val="21"/>
          <w:color w:val="FF0000"/>
          <w:strike w:val="1"/>
        </w:rPr>
      </w:pPr>
    </w:p>
    <w:p>
      <w:pPr>
        <w:jc w:val="both"/>
        <w:ind w:left="660" w:firstLine="644"/>
        <w:spacing w:after="0" w:line="210" w:lineRule="auto"/>
        <w:tabs>
          <w:tab w:leader="none" w:pos="1819" w:val="left"/>
        </w:tabs>
        <w:numPr>
          <w:ilvl w:val="0"/>
          <w:numId w:val="40"/>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for purposes of determining the Daily Adjusting LIBOR Rate in connection with a Base Rate Advance, the per annum rate of interest, expressed on the basis of a year of 360 days, determined by Administrative Agent, which is equal to USD LIBOR (as set forth by any service selected by Administrative Agent that has been nominated by ICE Benchmark Administration as an authorized information vendor for the purpose of displaying such rates) with a term equivalent to one (1) month, determined as of approximately 11:00 a.m. (London time) on such day, or if such day is not a Business Day, on the immediately preceding Business Day. If the rates referenced in the preceding sentence are not available, “</w:t>
      </w:r>
      <w:r>
        <w:rPr>
          <w:rFonts w:ascii="Times New Roman" w:cs="Times New Roman" w:eastAsia="Times New Roman" w:hAnsi="Times New Roman"/>
          <w:sz w:val="22"/>
          <w:szCs w:val="22"/>
          <w:u w:val="single" w:color="auto"/>
          <w:color w:val="FF0000"/>
          <w:strike w:val="1"/>
        </w:rPr>
        <w:t>LIBOR Rate</w:t>
      </w:r>
      <w:r>
        <w:rPr>
          <w:rFonts w:ascii="Times New Roman" w:cs="Times New Roman" w:eastAsia="Times New Roman" w:hAnsi="Times New Roman"/>
          <w:sz w:val="22"/>
          <w:szCs w:val="22"/>
          <w:color w:val="FF0000"/>
          <w:strike w:val="1"/>
        </w:rPr>
        <w:t>” shall mean the per annum rate of interest determined by Administrative Agent as the rate of interest, expressed on a basis of 360 days, at which deposits in Dollars for delivery on such day in same day funds in the approximate amount of the Base Rate Advance being made or converted by Administrative Agent and with a term equal to one (1) month and amount comparable to the principal amount of such Base Rate Advance as would be offered by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40"/>
          </w:cols>
          <w:pgMar w:left="320" w:top="1395"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22"/>
          <w:szCs w:val="22"/>
          <w:color w:val="FF0000"/>
          <w:strike w:val="1"/>
        </w:rPr>
        <w:t>Agent’s London Branch to major banks in the offshore Dollar market at their request at approximately 11:00 a.m.</w:t>
      </w:r>
    </w:p>
    <w:p>
      <w:pPr>
        <w:ind w:left="660"/>
        <w:spacing w:after="0"/>
        <w:rPr>
          <w:sz w:val="20"/>
          <w:szCs w:val="20"/>
          <w:color w:val="auto"/>
        </w:rPr>
      </w:pPr>
      <w:r>
        <w:rPr>
          <w:rFonts w:ascii="Times New Roman" w:cs="Times New Roman" w:eastAsia="Times New Roman" w:hAnsi="Times New Roman"/>
          <w:sz w:val="22"/>
          <w:szCs w:val="22"/>
          <w:color w:val="FF0000"/>
          <w:strike w:val="1"/>
        </w:rPr>
        <w:t xml:space="preserve">(London time) on such day;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if any such rate is below zero, the LIBOR Rate will be deemed to be zero.</w:t>
      </w:r>
    </w:p>
    <w:p>
      <w:pPr>
        <w:spacing w:after="0" w:line="15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means, at any date of determination, the sum of (a) Unused Revolving Credit Availability and (b) the Consolidated Cash Balance.</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this Agreement, the Notes, the Letter of Credit Agreements, the Letters of Credit, the Guaranty, the Collateral Documents, and any other agreements, instruments and documents executed by the Parent or a Credit Party pursuant to this Agreement, but excluding Commodity Hedge Agreements, Interest Rate Agreements and Lender Products documents.</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Lenders</w:t>
      </w:r>
      <w:r>
        <w:rPr>
          <w:rFonts w:ascii="Times New Roman" w:cs="Times New Roman" w:eastAsia="Times New Roman" w:hAnsi="Times New Roman"/>
          <w:sz w:val="22"/>
          <w:szCs w:val="22"/>
          <w:color w:val="auto"/>
        </w:rPr>
        <w:t xml:space="preserve">” means at any time, the Revolving Credit Lenders holding at least 51.0% of the Revolving Credit Aggregate Commitment (or, if the Revolving Credit Aggregate Commitment has been terminated (whether by maturity, acceleration or otherwise), the aggregate principal amount outstanding under the Revolving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determining Majority Lenders hereunder, the Letter of Credit Obligations shall be allocated among the Revolving Credit Lenders based on their respective Revolving Credit Percentages. The Revolving Credit Commitment Amount of, and portion of the Aggregate Credit Exposure attributable to, any Defaulting Lender shall be excluded for purposes of making a determination of “Majority Lenders”.</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operations, properties or financial condition of the Parent and the Credit Parties taken as a whole, (b) the ability of the Parent, Borrower or any other Credit Party to perform its material obligations under this Agreement or any other Loan Document to which it is a party, or (c) the validity or enforceability of this Agreement or any of the other Loan Documents or the rights or remedies of Administrative Agent or Lenders hereunder or thereunder.</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Debt</w:t>
      </w:r>
      <w:r>
        <w:rPr>
          <w:rFonts w:ascii="Times New Roman" w:cs="Times New Roman" w:eastAsia="Times New Roman" w:hAnsi="Times New Roman"/>
          <w:sz w:val="21"/>
          <w:szCs w:val="21"/>
          <w:color w:val="auto"/>
        </w:rPr>
        <w:t>” means Debt under the Senior Notes (and any Permitted Refinancing thereof) and any other Debt (other than Advances and Letters of Credit), or obligations in respect of Commodity Hedging Agreements or Interest Rate Agreements, of Parent or any one or more of the Credit Parties, in each case in an aggregate principal amount exceeding the Threshold Amount. For purposes of determining Material Debt, the “principal amount” of the obligations of Parent or any Credit Party in respect of any Commodity Hedging Agreement or Interest Rate Agreement at any time shall be the Hedge Termination Value.</w:t>
      </w:r>
    </w:p>
    <w:p>
      <w:pPr>
        <w:spacing w:after="0" w:line="15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Domestic Subsidiary</w:t>
      </w:r>
      <w:r>
        <w:rPr>
          <w:rFonts w:ascii="Times New Roman" w:cs="Times New Roman" w:eastAsia="Times New Roman" w:hAnsi="Times New Roman"/>
          <w:sz w:val="22"/>
          <w:szCs w:val="22"/>
          <w:color w:val="auto"/>
        </w:rPr>
        <w:t xml:space="preserve">” means a wholly-owned Domestic Subsidiary of Borrower having 10% or more of the book value of the consolidated assets of the Parent, Borrower and the Subsidiaries as of the end of the most recent Fiscal Quarter for which Borrower has delivered financial statements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aggregate of all wholly-owned Subsidiaries that are Domestic Subsidiaries of Borrower not considered Material Domestic Subsidiaries herein shall not exceed at any time 20% or more of the book value of the consolidated assets of the Parent, Borrower and its Subsidiaries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40"/>
          </w:cols>
          <w:pgMar w:left="320" w:top="138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 xml:space="preserve">end of the most recent Fiscal Quarter for which Borrower has delivered financial statements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Gas Imbalance</w:t>
      </w:r>
      <w:r>
        <w:rPr>
          <w:rFonts w:ascii="Times New Roman" w:cs="Times New Roman" w:eastAsia="Times New Roman" w:hAnsi="Times New Roman"/>
          <w:sz w:val="22"/>
          <w:szCs w:val="22"/>
          <w:color w:val="auto"/>
        </w:rPr>
        <w:t xml:space="preserve">” means, with respect to all Gas Balancing Agreements to which any Credit Party is a party or by which any Oil and Gas Property owned by any Credit Party is bound, a net gas imbalance to Borrower or any other Credit Party, individually or taken as a whole in excess of $1,000,000. Gas imbalances will be determined based on written agreements, if any, specifying the method of calculation thereof, or, alternatively, if no such agreements are in existence, gas imbalances will be calculated by multiplying (x) the volume of gas imbalance as of the date of calculation (expressed in thousand cubic feet) by (y) the heating value in Btu’s per thousand cubic feet,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the Henry Hub average daily spot price for the month immediately preceding the date of calculation.</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Facility Amount</w:t>
      </w:r>
      <w:r>
        <w:rPr>
          <w:rFonts w:ascii="Times New Roman" w:cs="Times New Roman" w:eastAsia="Times New Roman" w:hAnsi="Times New Roman"/>
          <w:sz w:val="22"/>
          <w:szCs w:val="22"/>
          <w:color w:val="auto"/>
        </w:rPr>
        <w:t xml:space="preserve">” means $1,500,000,000, as such amount may be adjusted from time to time thereafter in accordance with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Properties</w:t>
      </w:r>
      <w:r>
        <w:rPr>
          <w:rFonts w:ascii="Times New Roman" w:cs="Times New Roman" w:eastAsia="Times New Roman" w:hAnsi="Times New Roman"/>
          <w:sz w:val="22"/>
          <w:szCs w:val="22"/>
          <w:color w:val="auto"/>
        </w:rPr>
        <w:t>” means all of the right, title and interest of Borrower and the other Credit Parties in and to those Oil and Gas Properties, whether now owned or hereafter acquired, in which a Lien is created by any Collateral Document in favor of the Administrative Agent for the benefit of the Secured Parties, whether executed prior to, contemporaneous with or after the execution of this 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Mortgages</w:t>
      </w:r>
      <w:r>
        <w:rPr>
          <w:rFonts w:ascii="Times New Roman" w:cs="Times New Roman" w:eastAsia="Times New Roman" w:hAnsi="Times New Roman"/>
          <w:sz w:val="22"/>
          <w:szCs w:val="22"/>
          <w:color w:val="auto"/>
        </w:rPr>
        <w:t xml:space="preserve">” means (a) the Existing Mortgages, and (b) all other mortgages, deeds of trust, amendments to mortgages or deeds of trust, assignments of production, pledge agreements, collateral mortgages, collateral chattel mortgages, collateral assignments, financing statements and other documents, instruments and agreements evidencing, creating, perfecting or otherwise establishing Liens in favor of the Administrative Agent for the benefit of the Secured Parties and securing the Indebtedness pursuant to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or otherwise.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Pension Plan which is a multiemployer plan as defined in Section 4001(a)(3) of ERISA.</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 the aggregate cash payments received by Parent or any Credit Party from any Disposition of property, the issuance of Equity Interests or the issuance of Debt (including the Senior Notes and any Permitted Refinancing thereof), as the case may be, net of all costs and expenses incurred in connection with any such sale or issuance, as the case may be, including, without limitation, legal, accounting and investment banking fees, underwriting discounts, sales commissions, and other third party charges, and net of property taxes, transfer taxes and all other taxes paid or payable by Parent or such Credit Party in respect of any such sale or issuance, and, in the case of a Disposition of property, net of all amounts required to be applied to the repayment of Debt secured by a Lien expressly permitted hereunder on any asset that is the subject of such Disposition (other than any Lien pursuant to a Collateral Document).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13.22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Non-Compliant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13.11(b)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any Lender that is not, as of the date of relevance,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40"/>
          </w:cols>
          <w:pgMar w:left="320" w:top="1395"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means the Revolving Credit Notes.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Oil and Gas Properties</w:t>
      </w:r>
      <w:r>
        <w:rPr>
          <w:rFonts w:ascii="Times New Roman" w:cs="Times New Roman" w:eastAsia="Times New Roman" w:hAnsi="Times New Roman"/>
          <w:sz w:val="22"/>
          <w:szCs w:val="22"/>
          <w:color w:val="auto"/>
        </w:rPr>
        <w:t>” means the Hydrocarbon Interests; the properties now or hereafter pooled or unitized with the Hydrocarbon Interests; all presently existing or future unitization, pooling agreements and declarations of pooled units and the units created thereby (including without limitation all units created under orders, regulations and rules of any Governmental Authority) which may affect all or any portion of the Hydrocarbon Interests; all operating agreements, contracts and other agreements which relate to any of the Hydrocarbon Interests or the production, sale, purchase, exchange or processing of Hydrocarbons from or attributable to such Hydrocarbon Interests; all Hydrocarbons in and under and which may be produced and saved or attributable to the Hydrocarbon Interests, including all oil in tanks, the lands covered thereby and all rents, issues, profits, proceeds, products, revenues and other incomes from or attributable to the Hydrocarbon Interests; all tenements, hereditaments, appurtenances and properties in any manner appertaining, belonging, affixed or incidental to the Hydrocarbon Interests; and all properties, rights, titles, interests and estates described or referred to above, including any and all property, real or personal, now owned or hereinafter acquired and situated upon, used, held for use or useful in connection with the operating, working or development of any of such Hydrocarbon Interests or property (excluding drilling rigs, automotive equipment or other personal property which may be on such premises for the purpose of drilling a well or for other similar temporary uses) and including any and all oil wells, gas wells, injection wells or other wells, buildings,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means (a) with respect to any corporation, the certificate or articles of incorporation and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5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40"/>
          </w:cols>
          <w:pgMar w:left="320" w:top="1395"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Matador Resources Company, a Texas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successor thereto.</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plan established and maintained by the Parent or a Credit Party, or contributed to by the Parent or a Credit Party, which is qualified under Section 401(a) of the Internal Revenue Code and subject to the minimum funding standards of Section 412 of the Internal Revenue Code.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 with respect to any Person:</w:t>
      </w:r>
    </w:p>
    <w:p>
      <w:pPr>
        <w:spacing w:after="0" w:line="179" w:lineRule="exact"/>
        <w:rPr>
          <w:sz w:val="20"/>
          <w:szCs w:val="20"/>
          <w:color w:val="auto"/>
        </w:rPr>
      </w:pPr>
    </w:p>
    <w:p>
      <w:pPr>
        <w:jc w:val="both"/>
        <w:ind w:left="660" w:firstLine="644"/>
        <w:spacing w:after="0" w:line="220" w:lineRule="auto"/>
        <w:tabs>
          <w:tab w:leader="none" w:pos="195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assessments or other governmental charges or levies which are not yet delinquent or which (i) are being contested in good faith by appropriate proceedings, (ii) the relevant Credit Party has set aside on its books adequate reserves with respect thereto in accordance with GAAP, and (iii) the failure to make payment pending such contest would not have a Material Adverse Effect;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vendors’, carriers’, warehousemen’s, mechanics’, materialmen’s, repairmen’s and other like Liens imposed by law, and contractual Liens granted to operators and non-operators under oil and gas operating agreements, in each case, arising in the ordinary course of business or incident to the exploration, development, operation and maintenance of Oil and Gas Properties and securing obligations that are not overdue by more than 60 days or which (i) are being contested in good faith by appropriate proceedings, (ii) the relevant Credit Party has set aside on its books adequate reserves with respect thereto in accordance with GAAP, and (iii) the failure to make payment pending such contest would not have a Material Adverse Effect;</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contractual Liens which arise in the ordinary course of business under operating agreements, oil and gas partnership and joint venture agreements, oil and gas leases, farm-out agreements, division orders, contracts for the sale, transportation or exchange of oil and natural gas, unitization and pooling declarations and agreements, area of mutual interest agreements, overriding royalty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which are usual and customary in the oil and gas business;</w:t>
      </w:r>
    </w:p>
    <w:p>
      <w:pPr>
        <w:spacing w:after="0" w:line="156"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connection with workmen’s compensation, unemployment insurance or other social security, old age, pension or public liability obligations;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Cash Equivalents, securities and deposits to secure the performance of bids, trade contracts, leases, statutory obligations, surety and appeal bonds, performance bonds and other obligations of a like nature, in each case in the ordinary course of business;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and rights of set-off with respect to customary depositary arrangements entered into in the ordinary course of business;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in respect of judgments that do not constitute an Event of Default under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40"/>
          </w:cols>
          <w:pgMar w:left="320" w:top="1395" w:right="339" w:bottom="1440" w:gutter="0" w:footer="0" w:header="0"/>
        </w:sectPr>
      </w:pPr>
    </w:p>
    <w:bookmarkStart w:id="95" w:name="page96"/>
    <w:bookmarkEnd w:id="95"/>
    <w:p>
      <w:pPr>
        <w:jc w:val="both"/>
        <w:ind w:left="660" w:firstLine="644"/>
        <w:spacing w:after="0" w:line="236" w:lineRule="auto"/>
        <w:tabs>
          <w:tab w:leader="none" w:pos="195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zoning restrictions, rights-of-way, servitudes, permits, surface leases, and similar encumbrances on real property imposed by law or arising in the ordinary course of business that, in the aggregate, do not materially detract from the value of the affected property or interfere with the ordinary conduct of business of the Credit Parties;</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20"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royalties, overriding royalties, reversionary interests, calls on production, preferential purchase rights, net profits interests, production payments and other similar burdens with respect to the Oil and Gas Properties owned by the Credit Parties if the net cumulative effect of such burdens does not operate to deprive any Credit Party of any material right in respect of its assets or properties (except for rights customarily granted with respect to such interests);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Uniform Commercial Code financing statement filings regarding operating leases entered into by Borrower or any Restricted Subsidiary in the ordinary course of business covering the property under the lease and not securing any Debt;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unperfected Liens reserved in leases (other than oil and gas leases) or arising by operation of law for rent or compliance with the lease in the case of leasehold estates;</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Liens which are being contested in good faith by appropriate proceedings and which do not and cannot rank in priority above the Liens created under the Collateral Documents; and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Immaterial Title Deficiencies.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Notwithstanding the foregoing, regardless of the language set forth in this definition, no Lien over the Equity Interests of any Restricted Subsidiary granted to any Person other than to Administrative Agent for the benefit of the Secured Parties shall be deemed a “</w:t>
      </w:r>
      <w:r>
        <w:rPr>
          <w:rFonts w:ascii="Times New Roman" w:cs="Times New Roman" w:eastAsia="Times New Roman" w:hAnsi="Times New Roman"/>
          <w:sz w:val="22"/>
          <w:szCs w:val="22"/>
          <w:u w:val="single" w:color="auto"/>
          <w:color w:val="auto"/>
        </w:rPr>
        <w:t>Permitted Encumbrance</w:t>
      </w:r>
      <w:r>
        <w:rPr>
          <w:rFonts w:ascii="Times New Roman" w:cs="Times New Roman" w:eastAsia="Times New Roman" w:hAnsi="Times New Roman"/>
          <w:sz w:val="22"/>
          <w:szCs w:val="22"/>
          <w:color w:val="auto"/>
        </w:rPr>
        <w:t>” under the terms of this Agreement.</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Refinancing</w:t>
      </w:r>
      <w:r>
        <w:rPr>
          <w:rFonts w:ascii="Times New Roman" w:cs="Times New Roman" w:eastAsia="Times New Roman" w:hAnsi="Times New Roman"/>
          <w:sz w:val="22"/>
          <w:szCs w:val="22"/>
          <w:color w:val="auto"/>
        </w:rPr>
        <w:t xml:space="preserve">” means any (1) Debt of Parent or any Credit Party, and Debt constituting guarantees thereof by any Credit Party, incurred or issued in exchange for, or the Net Cash Proceeds of which are used to extend, refinance, renew, replace, repurchase, defease or refund, existing Senior Notes, in whole or in part,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principal amount of such Permitted Refinancing (or if such Permitted Refinancing is issued at a discount, the initial issuance price of such Permitted Refinancing) does not exceed the principal amount of Debt permitted under </w:t>
      </w:r>
      <w:r>
        <w:rPr>
          <w:rFonts w:ascii="Times New Roman" w:cs="Times New Roman" w:eastAsia="Times New Roman" w:hAnsi="Times New Roman"/>
          <w:sz w:val="22"/>
          <w:szCs w:val="22"/>
          <w:u w:val="single" w:color="auto"/>
          <w:color w:val="auto"/>
        </w:rPr>
        <w:t>Section 8.1(q)</w:t>
      </w:r>
      <w:r>
        <w:rPr>
          <w:rFonts w:ascii="Times New Roman" w:cs="Times New Roman" w:eastAsia="Times New Roman" w:hAnsi="Times New Roman"/>
          <w:sz w:val="22"/>
          <w:szCs w:val="22"/>
          <w:color w:val="auto"/>
        </w:rPr>
        <w:t>, (b) such Permitted Refinancing does not provide for any scheduled repayment, mandatory redemption or payment of a sinking fund obligation prior to the date that is six (6) months after the Revolving Credit Maturity Date (except for any offer to redeem such Debt required as a result of asset sales or the occurrence of a “Change of Control” (or any other defined term having a similar purpose) under and as defined in the Indenture), (c) the covenant, default and remedy provisions of such Permitted Refinancing are not materially more onerous, taken as a whole, to the Borrower and its Subsidiaries than those imposed by such existing Senior Notes (as determined in good faith by the board of directors of the Parent or a committee thereof), (d) the mandatory prepayment, repurchase and redemption provisions of such Permitted Refinancing are not materially more onerous, taken as a whole, to the Borrower and its Subsidiaries than those imposed by such existing Senior Notes (as determined in good faith by the board of directors of the Parent or a committee thereof), (e) such Permitted Refinancing is unsecured, (f) no Subsidiary of any Credit Party is required to guarantee such Permitted Refinancing unless such Subsidiary is (or concurrently with any such guarantee becomes) a Guarantor hereunder, and (g) to the extent such Permitted Refinancing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40"/>
          </w:cols>
          <w:pgMar w:left="320" w:top="1395" w:right="339" w:bottom="1440" w:gutter="0" w:footer="0" w:header="0"/>
        </w:sectPr>
      </w:pPr>
    </w:p>
    <w:bookmarkStart w:id="96" w:name="page97"/>
    <w:bookmarkEnd w:id="96"/>
    <w:p>
      <w:pPr>
        <w:jc w:val="both"/>
        <w:spacing w:after="0" w:line="222" w:lineRule="auto"/>
        <w:rPr>
          <w:sz w:val="20"/>
          <w:szCs w:val="20"/>
          <w:color w:val="auto"/>
        </w:rPr>
      </w:pPr>
      <w:r>
        <w:rPr>
          <w:rFonts w:ascii="Times New Roman" w:cs="Times New Roman" w:eastAsia="Times New Roman" w:hAnsi="Times New Roman"/>
          <w:sz w:val="21"/>
          <w:szCs w:val="21"/>
          <w:color w:val="auto"/>
        </w:rPr>
        <w:t>or is intended to be expressly subordinate to the payment in full of all or any portion of the Indebtedness, the subordination provisions contained therein are either (x) on substantially the same terms or at least as favorable to the Lenders as the subordination provisions contained in such existing Senior Notes or (y) reasonably satisfactory to the Administrative Agent and</w:t>
      </w:r>
    </w:p>
    <w:p>
      <w:pPr>
        <w:spacing w:after="0" w:line="2" w:lineRule="exact"/>
        <w:rPr>
          <w:sz w:val="20"/>
          <w:szCs w:val="20"/>
          <w:color w:val="auto"/>
        </w:rPr>
      </w:pPr>
    </w:p>
    <w:p>
      <w:pPr>
        <w:ind w:firstLine="8"/>
        <w:spacing w:after="0" w:line="225" w:lineRule="auto"/>
        <w:tabs>
          <w:tab w:leader="none" w:pos="32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Senior Notes registered with the SEC and issued in exchange for the initial Senior Notes issued by the Parent and any guarantees thereof by any Credit Party.</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set forth in the last paragraph of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 Agreement</w:t>
      </w:r>
      <w:r>
        <w:rPr>
          <w:rFonts w:ascii="Times New Roman" w:cs="Times New Roman" w:eastAsia="Times New Roman" w:hAnsi="Times New Roman"/>
          <w:sz w:val="22"/>
          <w:szCs w:val="22"/>
          <w:color w:val="auto"/>
        </w:rPr>
        <w:t>” means the Third Amended and Restated Pledge and Security Agreement to be executed and delivered by the Credit Parties as of November 18, 2021.</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per annum rate of interest announced by RBC, at its main office from time to time as its “prime rate” (it being acknowledged that such announced rate may not necessarily be the lowest rate charged by RBC to any of its customers), which Prime Rate shall change simultaneously with any change in such announced rate.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Lenders</w:t>
      </w:r>
      <w:r>
        <w:rPr>
          <w:rFonts w:ascii="Times New Roman" w:cs="Times New Roman" w:eastAsia="Times New Roman" w:hAnsi="Times New Roman"/>
          <w:sz w:val="22"/>
          <w:szCs w:val="22"/>
          <w:color w:val="auto"/>
        </w:rPr>
        <w:t xml:space="preserve">” shall have the meaning set forth in the last paragraph of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Lender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13.11(a)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13.25(b)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Moody’s, S&amp;P, their respective successors or any other nationally recognized statistical rating organization which is acceptable to Administrative Agent.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RBC</w:t>
      </w:r>
      <w:r>
        <w:rPr>
          <w:rFonts w:ascii="Times New Roman" w:cs="Times New Roman" w:eastAsia="Times New Roman" w:hAnsi="Times New Roman"/>
          <w:sz w:val="22"/>
          <w:szCs w:val="22"/>
          <w:color w:val="auto"/>
        </w:rPr>
        <w:t>” means Royal Bank of Canada, and its successors or assigns in accordance with the terms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(b) any Lender and (c) any Issuing Lender, as applicable.</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Reference Time</w:t>
      </w:r>
      <w:r>
        <w:rPr>
          <w:rFonts w:ascii="Times New Roman" w:cs="Times New Roman" w:eastAsia="Times New Roman" w:hAnsi="Times New Roman"/>
          <w:sz w:val="22"/>
          <w:szCs w:val="22"/>
          <w:color w:val="FF0000"/>
          <w:strike w:val="1"/>
        </w:rPr>
        <w:t>” with respect to any setting of the then-current Benchmark means (1) if such Benchmark is USD LIBOR, 11:00 a.m. (London time) on the day that is two London banking days preceding the date of such setting, and (2) if such Benchmark is not USD LIBOR, the time determined by Administrative Agent in its reasonable discretion.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13.7(c)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Obligation(s)</w:t>
      </w:r>
      <w:r>
        <w:rPr>
          <w:rFonts w:ascii="Times New Roman" w:cs="Times New Roman" w:eastAsia="Times New Roman" w:hAnsi="Times New Roman"/>
          <w:sz w:val="22"/>
          <w:szCs w:val="22"/>
          <w:color w:val="auto"/>
        </w:rPr>
        <w:t xml:space="preserve">” means the aggregate amount of all unreimbursed drawings under all Letters of Credit (excluding for the avoidance of doubt, reimbursement obligations that are deemed satisfied pursuant to a deemed disbursement under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40"/>
          </w:cols>
          <w:pgMar w:left="320" w:top="1395" w:right="339" w:bottom="1440" w:gutter="0" w:footer="0" w:header="0"/>
        </w:sectPr>
      </w:pPr>
    </w:p>
    <w:bookmarkStart w:id="97" w:name="page98"/>
    <w:bookmarkEnd w:id="97"/>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xml:space="preserve">” means the Board </w:t>
      </w:r>
      <w:r>
        <w:rPr>
          <w:rFonts w:ascii="Times New Roman" w:cs="Times New Roman" w:eastAsia="Times New Roman" w:hAnsi="Times New Roman"/>
          <w:sz w:val="22"/>
          <w:szCs w:val="22"/>
          <w:color w:val="FF0000"/>
          <w:strike w:val="1"/>
        </w:rPr>
        <w:t>of Governors of the Federal Reserve System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auto"/>
        </w:rPr>
        <w:t xml:space="preserve">or the Federal Reserve Bank of New York </w:t>
      </w:r>
      <w:r>
        <w:rPr>
          <w:rFonts w:ascii="Times New Roman" w:cs="Times New Roman" w:eastAsia="Times New Roman" w:hAnsi="Times New Roman"/>
          <w:sz w:val="22"/>
          <w:szCs w:val="22"/>
          <w:color w:val="0000FF"/>
        </w:rPr>
        <w:t>or the Term SOFR Administrator, as applicable</w:t>
      </w:r>
      <w:r>
        <w:rPr>
          <w:rFonts w:ascii="Times New Roman" w:cs="Times New Roman" w:eastAsia="Times New Roman" w:hAnsi="Times New Roman"/>
          <w:sz w:val="22"/>
          <w:szCs w:val="22"/>
          <w:color w:val="auto"/>
        </w:rPr>
        <w:t xml:space="preserve">, or a committee officially endorsed or convened by the Board </w:t>
      </w:r>
      <w:r>
        <w:rPr>
          <w:rFonts w:ascii="Times New Roman" w:cs="Times New Roman" w:eastAsia="Times New Roman" w:hAnsi="Times New Roman"/>
          <w:sz w:val="22"/>
          <w:szCs w:val="22"/>
          <w:color w:val="FF0000"/>
          <w:strike w:val="1"/>
        </w:rPr>
        <w:t>of Governors of the Federal Reserve System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000000"/>
        </w:rPr>
        <w:t>or the Federal Reserve Bank of New York</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w:t>
      </w:r>
      <w:r>
        <w:rPr>
          <w:rFonts w:ascii="Times New Roman" w:cs="Times New Roman" w:eastAsia="Times New Roman" w:hAnsi="Times New Roman"/>
          <w:sz w:val="22"/>
          <w:szCs w:val="22"/>
          <w:u w:val="single" w:color="auto"/>
          <w:color w:val="0000FF"/>
        </w:rPr>
        <w:t>, in each case,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any successor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-305435</wp:posOffset>
            </wp:positionV>
            <wp:extent cx="26454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2645410" cy="8255"/>
                    </a:xfrm>
                    <a:prstGeom prst="rect">
                      <a:avLst/>
                    </a:prstGeom>
                    <a:noFill/>
                  </pic:spPr>
                </pic:pic>
              </a:graphicData>
            </a:graphic>
          </wp:anchor>
        </w:drawing>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Reported Month</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7.2(e)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for Revolving Credit Advance</w:t>
      </w:r>
      <w:r>
        <w:rPr>
          <w:rFonts w:ascii="Times New Roman" w:cs="Times New Roman" w:eastAsia="Times New Roman" w:hAnsi="Times New Roman"/>
          <w:sz w:val="22"/>
          <w:szCs w:val="22"/>
          <w:color w:val="auto"/>
        </w:rPr>
        <w:t xml:space="preserve">” means a request for a Revolving Credit Advance issued by Borrower under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this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or in such other form acceptable to the Administrative Agent.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 of Law</w:t>
      </w:r>
      <w:r>
        <w:rPr>
          <w:rFonts w:ascii="Times New Roman" w:cs="Times New Roman" w:eastAsia="Times New Roman" w:hAnsi="Times New Roman"/>
          <w:sz w:val="22"/>
          <w:szCs w:val="22"/>
          <w:color w:val="auto"/>
        </w:rPr>
        <w:t>” means as to any Person, any law, treaty, rule or regulation or determination of an arbitration or a court or other Governmental Authority, in each case applicable to or binding upon such Person or any of its property or to which such Person or any of its property is subject.</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Report</w:t>
      </w:r>
      <w:r>
        <w:rPr>
          <w:rFonts w:ascii="Times New Roman" w:cs="Times New Roman" w:eastAsia="Times New Roman" w:hAnsi="Times New Roman"/>
          <w:sz w:val="22"/>
          <w:szCs w:val="22"/>
          <w:color w:val="auto"/>
        </w:rPr>
        <w:t>” means a report in form reasonably satisfactory to Administrative Agent evaluating the oil and gas reserves attributable to Hydrocarbon Interests of the Credit Parties in all of their Oil and Gas Properties and which shall, among other things, (a) identify the wells covered thereby, (b) specify such engineers’ opinions with respect to the total volume of proved reserves of Hydrocarbons (using the terms or categories “proved developed producing reserves,” “proved developed nonproducing reserves” and “proved undeveloped reserves”) which Borrower has advised such engineers that the Credit Parties have the right to produce for their own account, (c) set forth such engineers’ opinions with respect to the projected future cash proceeds from the proved reserves, discounted for present value at a rate reasonably acceptable to Administrative Agent, for each calendar year or portion thereof after the date of such findings and data, (d) set forth such engineers’ opinions with respect to the projected future rate of production from the proved reserves, (e) contain such other information as may be reasonably requested by Administrative Agent with respect to the projected rate of production, gross revenues, operating expenses, taxes, capital costs, net revenues and present value of future net revenues attributable to such proved reserves and production therefrom, and (f) contain a statement of the price and escalation parameters, procedures and assumptions upon which such determinations were based.</w:t>
      </w:r>
    </w:p>
    <w:p>
      <w:pPr>
        <w:spacing w:after="0" w:line="16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president, chief financial officer or any executive vice president of Borrower.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on any date of determination, (a) any Subsidiary that is a Material Domestic Subsidiary and (b) any Subsidiary that owns or operates Borrowing Base Properties.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w:t>
      </w:r>
      <w:r>
        <w:rPr>
          <w:rFonts w:ascii="Times New Roman" w:cs="Times New Roman" w:eastAsia="Times New Roman" w:hAnsi="Times New Roman"/>
          <w:sz w:val="22"/>
          <w:szCs w:val="22"/>
          <w:color w:val="auto"/>
        </w:rPr>
        <w:t>” means the Revolving Credit Advances to be advanced to Borrower by the applicable Revolving Credit Lenders, in an aggregate amount (subject to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40"/>
          </w:cols>
          <w:pgMar w:left="320" w:top="139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hereof), not to exceed, at any one time outstanding, the Revolving Credit Aggregate Commitment.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Advance</w:t>
      </w:r>
      <w:r>
        <w:rPr>
          <w:rFonts w:ascii="Times New Roman" w:cs="Times New Roman" w:eastAsia="Times New Roman" w:hAnsi="Times New Roman"/>
          <w:sz w:val="22"/>
          <w:szCs w:val="22"/>
          <w:color w:val="auto"/>
        </w:rPr>
        <w:t xml:space="preserve">” means a borrowing requested by Borrower and made by the Revolving Credit Lenders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this Agreement, including without limitation any readvance, refunding or conversion of such borrowing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any deemed disbursement of an Advance in respect of a Letter of Credit under </w:t>
      </w:r>
      <w:r>
        <w:rPr>
          <w:rFonts w:ascii="Times New Roman" w:cs="Times New Roman" w:eastAsia="Times New Roman" w:hAnsi="Times New Roman"/>
          <w:sz w:val="22"/>
          <w:szCs w:val="22"/>
          <w:u w:val="single" w:color="auto"/>
          <w:color w:val="auto"/>
        </w:rPr>
        <w:t>Section 3.6(c)</w:t>
      </w:r>
      <w:r>
        <w:rPr>
          <w:rFonts w:ascii="Times New Roman" w:cs="Times New Roman" w:eastAsia="Times New Roman" w:hAnsi="Times New Roman"/>
          <w:sz w:val="22"/>
          <w:szCs w:val="22"/>
          <w:color w:val="auto"/>
        </w:rPr>
        <w:t xml:space="preserve">, and may include, subject to the terms hereof,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Advances and </w:t>
      </w: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auto"/>
        </w:rPr>
        <w:t xml:space="preserve"> Advances.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Aggregate Commitment</w:t>
      </w:r>
      <w:r>
        <w:rPr>
          <w:rFonts w:ascii="Times New Roman" w:cs="Times New Roman" w:eastAsia="Times New Roman" w:hAnsi="Times New Roman"/>
          <w:sz w:val="21"/>
          <w:szCs w:val="21"/>
          <w:color w:val="auto"/>
        </w:rPr>
        <w:t xml:space="preserve">” means, on any date of determination, the least of the aggregate Revolving Credit Commitment Amounts, the Maximum Facility Amount and the Borrowing Base on such date, subject to reduction or termination under </w:t>
      </w:r>
      <w:r>
        <w:rPr>
          <w:rFonts w:ascii="Times New Roman" w:cs="Times New Roman" w:eastAsia="Times New Roman" w:hAnsi="Times New Roman"/>
          <w:sz w:val="21"/>
          <w:szCs w:val="21"/>
          <w:u w:val="single" w:color="auto"/>
          <w:color w:val="auto"/>
        </w:rPr>
        <w:t>Section 2.11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and redetermination or adjustments under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8.4(k)</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Commitment Amount</w:t>
      </w:r>
      <w:r>
        <w:rPr>
          <w:rFonts w:ascii="Times New Roman" w:cs="Times New Roman" w:eastAsia="Times New Roman" w:hAnsi="Times New Roman"/>
          <w:sz w:val="22"/>
          <w:szCs w:val="22"/>
          <w:color w:val="auto"/>
        </w:rPr>
        <w:t>” means with respect to any Revolving Credit Lender, (a) if the Revolving Credit Aggregate Commitment has not been terminated, the amount specified opposite such Revolving Credit Lender’s name in the column entitled “</w:t>
      </w:r>
      <w:r>
        <w:rPr>
          <w:rFonts w:ascii="Times New Roman" w:cs="Times New Roman" w:eastAsia="Times New Roman" w:hAnsi="Times New Roman"/>
          <w:sz w:val="22"/>
          <w:szCs w:val="22"/>
          <w:u w:val="single" w:color="auto"/>
          <w:color w:val="auto"/>
        </w:rPr>
        <w:t>Revolving Credit Allocations</w:t>
      </w:r>
      <w:r>
        <w:rPr>
          <w:rFonts w:ascii="Times New Roman" w:cs="Times New Roman" w:eastAsia="Times New Roman" w:hAnsi="Times New Roman"/>
          <w:sz w:val="22"/>
          <w:szCs w:val="22"/>
          <w:color w:val="auto"/>
        </w:rPr>
        <w:t xml:space="preserve">”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as adjusted from time to time in accordance with the terms hereof; and (b) if the Revolving Credit Aggregate Commitment has been terminated (whether by maturity, acceleration or otherwise), the amount equal to its Revolving Credit Percentage of the Aggregate Credit Exposure.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Lenders</w:t>
      </w:r>
      <w:r>
        <w:rPr>
          <w:rFonts w:ascii="Times New Roman" w:cs="Times New Roman" w:eastAsia="Times New Roman" w:hAnsi="Times New Roman"/>
          <w:sz w:val="21"/>
          <w:szCs w:val="21"/>
          <w:color w:val="auto"/>
        </w:rPr>
        <w:t>” means the financial institutions from time to time parties hereto as lenders of the Revolving</w:t>
      </w:r>
    </w:p>
    <w:p>
      <w:pPr>
        <w:spacing w:after="0"/>
        <w:rPr>
          <w:sz w:val="20"/>
          <w:szCs w:val="20"/>
          <w:color w:val="auto"/>
        </w:rPr>
      </w:pPr>
      <w:r>
        <w:rPr>
          <w:rFonts w:ascii="Times New Roman" w:cs="Times New Roman" w:eastAsia="Times New Roman" w:hAnsi="Times New Roman"/>
          <w:sz w:val="22"/>
          <w:szCs w:val="22"/>
          <w:color w:val="auto"/>
        </w:rPr>
        <w:t>Credit.</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Maturity Date</w:t>
      </w:r>
      <w:r>
        <w:rPr>
          <w:rFonts w:ascii="Times New Roman" w:cs="Times New Roman" w:eastAsia="Times New Roman" w:hAnsi="Times New Roman"/>
          <w:sz w:val="22"/>
          <w:szCs w:val="22"/>
          <w:color w:val="auto"/>
        </w:rPr>
        <w:t>” means, at any time a determination is to be made, the earlier of (i) the date that is one hundred eighty (180) days prior to the earliest stated redemption date of any series of Senior Notes having an aggregate principal amount in excess of $25,000,000, or (ii) October 31, 2026.</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Notes</w:t>
      </w:r>
      <w:r>
        <w:rPr>
          <w:rFonts w:ascii="Times New Roman" w:cs="Times New Roman" w:eastAsia="Times New Roman" w:hAnsi="Times New Roman"/>
          <w:sz w:val="22"/>
          <w:szCs w:val="22"/>
          <w:color w:val="auto"/>
        </w:rPr>
        <w:t xml:space="preserve"> ” means the revolving credit notes described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made by Borrower to each of the Revolving Credit Lenders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as such notes may be amended or supplemented from time to time, and any other notes issued in substitution, replacement or renewal thereof from time to time.</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Percentage</w:t>
      </w:r>
      <w:r>
        <w:rPr>
          <w:rFonts w:ascii="Times New Roman" w:cs="Times New Roman" w:eastAsia="Times New Roman" w:hAnsi="Times New Roman"/>
          <w:sz w:val="22"/>
          <w:szCs w:val="22"/>
          <w:color w:val="auto"/>
        </w:rPr>
        <w:t>” means, with respect to any Revolving Credit Lender, the percentage specified opposite such Revolving Credit Lender’s name in the column entitled “</w:t>
      </w:r>
      <w:r>
        <w:rPr>
          <w:rFonts w:ascii="Times New Roman" w:cs="Times New Roman" w:eastAsia="Times New Roman" w:hAnsi="Times New Roman"/>
          <w:sz w:val="22"/>
          <w:szCs w:val="22"/>
          <w:u w:val="single" w:color="auto"/>
          <w:color w:val="auto"/>
        </w:rPr>
        <w:t>Revolving Credit Percentage</w:t>
      </w:r>
      <w:r>
        <w:rPr>
          <w:rFonts w:ascii="Times New Roman" w:cs="Times New Roman" w:eastAsia="Times New Roman" w:hAnsi="Times New Roman"/>
          <w:sz w:val="22"/>
          <w:szCs w:val="22"/>
          <w:color w:val="auto"/>
        </w:rPr>
        <w:t xml:space="preserve">”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as adjusted from time to time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FF0000"/>
          <w:strike w:val="1"/>
        </w:rPr>
        <w:t>Sanction(s)</w:t>
      </w:r>
      <w:r>
        <w:rPr>
          <w:rFonts w:ascii="Times New Roman" w:cs="Times New Roman" w:eastAsia="Times New Roman" w:hAnsi="Times New Roman"/>
          <w:sz w:val="21"/>
          <w:szCs w:val="21"/>
          <w:u w:val="single" w:color="auto"/>
          <w:color w:val="0000FF"/>
        </w:rPr>
        <w:t>Sanctioned Country” means, at any time, a country, region, or territory that is the subject of a general export,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import, financial, investment or other trade-related embargo under any Sanctions, which as of the date of this Agreement consist of Cuba, Iran, North Korea, Syria and the Crimea and Donbas Regions of Ukraine (including Donetsk and Luhansk).</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“Sanctioned Person” means, at any time, any Person with whom dealings are restricted or prohibited under Sanctions, including (a) any Person listed in any Sanctions-related list of designated Persons maintained by the United States (including by OFAC, the U.S. Department of State, or the U.S. Department of Commerce), or by the United Nations Security Council, the European Union or any EU member state, or Her Majesty’s Treasury, (b) any Person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40"/>
          </w:cols>
          <w:pgMar w:left="320" w:top="1395" w:right="339" w:bottom="1440" w:gutter="0" w:footer="0" w:header="0"/>
        </w:sectPr>
      </w:pPr>
    </w:p>
    <w:bookmarkStart w:id="99" w:name="page100"/>
    <w:bookmarkEnd w:id="99"/>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0000FF"/>
        </w:rPr>
        <w:t>operating, organized or resident in a Sanctioned Country or (c) any Person directly or indirectly owned or controlled by any such Person or Persons.</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“Sanctions</w:t>
      </w:r>
      <w:r>
        <w:rPr>
          <w:rFonts w:ascii="Times New Roman" w:cs="Times New Roman" w:eastAsia="Times New Roman" w:hAnsi="Times New Roman"/>
          <w:sz w:val="22"/>
          <w:szCs w:val="22"/>
          <w:color w:val="000000"/>
        </w:rPr>
        <w:t>” means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rPr>
        <w:t>any international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economic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sanction</w:t>
      </w:r>
      <w:r>
        <w:rPr>
          <w:rFonts w:ascii="Times New Roman" w:cs="Times New Roman" w:eastAsia="Times New Roman" w:hAnsi="Times New Roman"/>
          <w:sz w:val="22"/>
          <w:szCs w:val="22"/>
          <w:u w:val="single" w:color="auto"/>
          <w:color w:val="0000FF"/>
        </w:rPr>
        <w:t>or financial sanctions or trade embargoes or restricted measures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imposed,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administered or enforced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from time to time by (a) the U.S. government, including those administered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by OFAC</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FF"/>
        </w:rPr>
        <w:t xml:space="preserve"> or the </w:t>
      </w:r>
      <w:r>
        <w:rPr>
          <w:rFonts w:ascii="Times New Roman" w:cs="Times New Roman" w:eastAsia="Times New Roman" w:hAnsi="Times New Roman"/>
          <w:sz w:val="22"/>
          <w:szCs w:val="22"/>
          <w:u w:val="single" w:color="auto"/>
          <w:color w:val="0000FF"/>
        </w:rPr>
        <w:t>U.S. Department of State, or (b)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United Nations Security Council, the European Union</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FF"/>
        </w:rPr>
        <w:t xml:space="preserve"> or </w:t>
      </w:r>
      <w:r>
        <w:rPr>
          <w:rFonts w:ascii="Times New Roman" w:cs="Times New Roman" w:eastAsia="Times New Roman" w:hAnsi="Times New Roman"/>
          <w:sz w:val="22"/>
          <w:szCs w:val="22"/>
          <w:color w:val="000000"/>
        </w:rPr>
        <w:t>Her Majesty’s Treasury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or other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relevant sanctions authority</w:t>
      </w:r>
      <w:r>
        <w:rPr>
          <w:rFonts w:ascii="Times New Roman" w:cs="Times New Roman" w:eastAsia="Times New Roman" w:hAnsi="Times New Roman"/>
          <w:sz w:val="22"/>
          <w:szCs w:val="22"/>
          <w:u w:val="single" w:color="auto"/>
          <w:color w:val="0000FF"/>
        </w:rPr>
        <w:t>of the United Kingdom</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1464945</wp:posOffset>
            </wp:positionH>
            <wp:positionV relativeFrom="paragraph">
              <wp:posOffset>-494030</wp:posOffset>
            </wp:positionV>
            <wp:extent cx="9855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985520" cy="8890"/>
                    </a:xfrm>
                    <a:prstGeom prst="rect">
                      <a:avLst/>
                    </a:prstGeom>
                    <a:noFill/>
                  </pic:spPr>
                </pic:pic>
              </a:graphicData>
            </a:graphic>
          </wp:anchor>
        </w:drawing>
        <w:drawing>
          <wp:anchor simplePos="0" relativeHeight="251657728" behindDoc="1" locked="0" layoutInCell="0" allowOverlap="1">
            <wp:simplePos x="0" y="0"/>
            <wp:positionH relativeFrom="column">
              <wp:posOffset>6769735</wp:posOffset>
            </wp:positionH>
            <wp:positionV relativeFrom="paragraph">
              <wp:posOffset>-305435</wp:posOffset>
            </wp:positionV>
            <wp:extent cx="3676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6766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-168275</wp:posOffset>
            </wp:positionV>
            <wp:extent cx="156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 Services.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of the United States.</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xml:space="preserve">” means each of the Administrative Agent, any Lender, any Lender Counterparty, or any Affiliate of any Lender to which any Indebtedness is owed, including any Lender Hedging Obligations and Lender Product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a Lender Counterparty and Lenders and Affiliates of Lenders to whom Lender Product Obligations or Lender Hedging Obligations are owed shall be a Secured Party (a) in the case of Lender Product Obligations, only while such Person (or, in the case of an Affiliate of a Lender, such Lender) is a Lender under this Agreement and (b) in the case of Lender Hedging Obligations, only with respect to obligations arising from transactions and confirmations entered into under Commodity Hedging Agreements and Interest Rate Agreements at any time such Person (or, in the case of an Affiliate of a Lender, such Lender) is a Lender under this Agreement.</w:t>
      </w:r>
    </w:p>
    <w:p>
      <w:pPr>
        <w:spacing w:after="0" w:line="15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w:t>
      </w:r>
      <w:r>
        <w:rPr>
          <w:rFonts w:ascii="Times New Roman" w:cs="Times New Roman" w:eastAsia="Times New Roman" w:hAnsi="Times New Roman"/>
          <w:sz w:val="22"/>
          <w:szCs w:val="22"/>
          <w:color w:val="auto"/>
        </w:rPr>
        <w:t xml:space="preserve">” means any senior or senior subordinated notes issued by Parent or any Credit Party pursuant to and in accordance with the terms of the applicable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terms of such Senior Notes do not provide for any scheduled repayment, mandatory redemption (including any required offer to redeem) or payment of a sinking fund obligation prior to the date that is six (6) months after the Revolving Credit Maturity Date (except for any offer to redeem such Senior Notes required as a result of asset sales or the occurrence of a “Change of Control” (or any other defined term having a similar purpose) under and as defined in the applicable Indenture), (b) such Senior Notes are unsecured and (c) no Subsidiary of any Credit Party is required to guarantee the Debt evidenced by such Senior Notes unless such Subsidiary is (or concurrently with any such guarantee becomes) a Guarantor hereunder.</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 Documents</w:t>
      </w:r>
      <w:r>
        <w:rPr>
          <w:rFonts w:ascii="Times New Roman" w:cs="Times New Roman" w:eastAsia="Times New Roman" w:hAnsi="Times New Roman"/>
          <w:sz w:val="22"/>
          <w:szCs w:val="22"/>
          <w:color w:val="auto"/>
        </w:rPr>
        <w:t>” means the Senior Notes, the Indenture and any documents or instruments executed in connection with any of them, in each case, as amended, restated, supplemented or otherwise modified from time to time to the extent not prohibited by this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color w:val="FF0000"/>
          <w:strike w:val="1"/>
        </w:rPr>
        <w:t>, with respect to any Business Day,</w:t>
      </w:r>
      <w:r>
        <w:rPr>
          <w:rFonts w:ascii="Times New Roman" w:cs="Times New Roman" w:eastAsia="Times New Roman" w:hAnsi="Times New Roman"/>
          <w:sz w:val="22"/>
          <w:szCs w:val="22"/>
          <w:color w:val="auto"/>
        </w:rPr>
        <w:t xml:space="preserve"> a rate </w:t>
      </w:r>
      <w:r>
        <w:rPr>
          <w:rFonts w:ascii="Times New Roman" w:cs="Times New Roman" w:eastAsia="Times New Roman" w:hAnsi="Times New Roman"/>
          <w:sz w:val="22"/>
          <w:szCs w:val="22"/>
          <w:color w:val="FF0000"/>
          <w:strike w:val="1"/>
        </w:rPr>
        <w:t>per annum</w:t>
      </w:r>
      <w:r>
        <w:rPr>
          <w:rFonts w:ascii="Times New Roman" w:cs="Times New Roman" w:eastAsia="Times New Roman" w:hAnsi="Times New Roman"/>
          <w:sz w:val="22"/>
          <w:szCs w:val="22"/>
          <w:color w:val="auto"/>
        </w:rPr>
        <w:t xml:space="preserve"> equal to the secured overnight financing rate </w:t>
      </w:r>
      <w:r>
        <w:rPr>
          <w:rFonts w:ascii="Times New Roman" w:cs="Times New Roman" w:eastAsia="Times New Roman" w:hAnsi="Times New Roman"/>
          <w:sz w:val="22"/>
          <w:szCs w:val="22"/>
          <w:color w:val="FF0000"/>
          <w:strike w:val="1"/>
        </w:rPr>
        <w:t>for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Business Day published</w:t>
      </w:r>
      <w:r>
        <w:rPr>
          <w:rFonts w:ascii="Times New Roman" w:cs="Times New Roman" w:eastAsia="Times New Roman" w:hAnsi="Times New Roman"/>
          <w:sz w:val="22"/>
          <w:szCs w:val="22"/>
          <w:u w:val="single" w:color="auto"/>
          <w:color w:val="0000FF"/>
        </w:rPr>
        <w:t>as administered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by the SOFR Administrator</w:t>
      </w:r>
      <w:r>
        <w:rPr>
          <w:rFonts w:ascii="Times New Roman" w:cs="Times New Roman" w:eastAsia="Times New Roman" w:hAnsi="Times New Roman"/>
          <w:sz w:val="22"/>
          <w:szCs w:val="22"/>
          <w:color w:val="FF0000"/>
        </w:rPr>
        <w:t xml:space="preserve"> on the SOFR Administrator’s Website on the immediately </w:t>
      </w:r>
      <w:r>
        <w:rPr>
          <w:rFonts w:ascii="Times New Roman" w:cs="Times New Roman" w:eastAsia="Times New Roman" w:hAnsi="Times New Roman"/>
          <w:sz w:val="22"/>
          <w:szCs w:val="22"/>
          <w:color w:val="FF0000"/>
          <w:strike w:val="1"/>
        </w:rPr>
        <w:t>succeeding Business Day</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-219710</wp:posOffset>
            </wp:positionV>
            <wp:extent cx="33197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319780" cy="8890"/>
                    </a:xfrm>
                    <a:prstGeom prst="rect">
                      <a:avLst/>
                    </a:prstGeom>
                    <a:noFill/>
                  </pic:spPr>
                </pic:pic>
              </a:graphicData>
            </a:graphic>
          </wp:anchor>
        </w:drawing>
      </w:r>
    </w:p>
    <w:p>
      <w:pPr>
        <w:spacing w:after="0" w:line="1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rPr>
        <w:t>Administrator’s Website</w:t>
      </w:r>
      <w:r>
        <w:rPr>
          <w:rFonts w:ascii="Times New Roman" w:cs="Times New Roman" w:eastAsia="Times New Roman" w:hAnsi="Times New Roman"/>
          <w:sz w:val="22"/>
          <w:szCs w:val="22"/>
          <w:color w:val="FF0000"/>
        </w:rPr>
        <w:t>” means the website of the Federal Reserve Bank of New York, currently 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http://www.newyorkfed.org, or any successor source for the secured overnight financing rate identified as such by the SOFR Administrator from time to time</w:t>
      </w:r>
      <w:r>
        <w:rPr>
          <w:rFonts w:ascii="Times New Roman" w:cs="Times New Roman" w:eastAsia="Times New Roman" w:hAnsi="Times New Roman"/>
          <w:sz w:val="22"/>
          <w:szCs w:val="22"/>
          <w:u w:val="single" w:color="auto"/>
          <w:color w:val="0000FF"/>
          <w:strike w:val="1"/>
        </w:rPr>
        <w:t>Advance”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-356870</wp:posOffset>
            </wp:positionV>
            <wp:extent cx="62306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230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40"/>
          </w:cols>
          <w:pgMar w:left="320" w:top="1395" w:right="339" w:bottom="1440" w:gutter="0" w:footer="0" w:header="0"/>
        </w:sectPr>
      </w:pPr>
    </w:p>
    <w:bookmarkStart w:id="100" w:name="page101"/>
    <w:bookmarkEnd w:id="100"/>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0000FF"/>
        </w:rPr>
        <w:t>an Advance that bears interest at a rate based on Adjusted Term SOFR, other than pursuant to clause (c) of the definition of “Alternate Base Rate”.</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“SOFR Borrowing” means a Borrowing that bears interest at a rate based on Adjusted Term SOFR, other than pursuant to clause (c) of the definition of “Alternate Base Rate”</w:t>
      </w:r>
      <w:r>
        <w:rPr>
          <w:rFonts w:ascii="Times New Roman" w:cs="Times New Roman" w:eastAsia="Times New Roman" w:hAnsi="Times New Roman"/>
          <w:sz w:val="22"/>
          <w:szCs w:val="22"/>
          <w:color w:val="000000"/>
        </w:rPr>
        <w: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other corporation, association, joint stock company, business trust, limited liability company, partnership or any other business entity of which more than 50% of the outstanding voting stock, share capital, membership, partnership or other interests, as the case may be, is owned either directly or indirectly by any Person or one or more of its Subsidiaries, or the management of which is otherwise controlled, directly, or indirectly through one or more intermediaries, or both, by any Person and/or its Subsidiaries. Unless otherwise specified to the contrary herein or the context otherwise requires, Subsidiary shall refer to a Subsidiary of Borrower.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 xml:space="preserve">” has the meaning ascribed to such term in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Supermajority Lenders</w:t>
      </w:r>
      <w:r>
        <w:rPr>
          <w:rFonts w:ascii="Times New Roman" w:cs="Times New Roman" w:eastAsia="Times New Roman" w:hAnsi="Times New Roman"/>
          <w:sz w:val="22"/>
          <w:szCs w:val="22"/>
          <w:color w:val="auto"/>
        </w:rPr>
        <w:t xml:space="preserve">” means at any time, the Revolving Credit Lenders holding at least 66-2/3% of the Revolving Credit Aggregate Commitment (or, if the Revolving Credit Aggregate Commitment has been terminated (whether by maturity, acceleration or otherwise), the aggregate principal amount outstanding under the Revolving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determining Supermajority Lenders hereunder, the Letter of Credit Obligations shall be allocated among the Revolving Credit Lenders based on their respective Revolving Credit Percentages. The Revolving Credit Commitment Amount of, and portion of the Aggregate Credit Exposure attributable to, any Defaulting Lender shall be excluded for purposes of making a determination of “Supermajority Lenders”.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w:t>
      </w:r>
      <w:r>
        <w:rPr>
          <w:rFonts w:ascii="Times New Roman" w:cs="Times New Roman" w:eastAsia="Times New Roman" w:hAnsi="Times New Roman"/>
          <w:sz w:val="22"/>
          <w:szCs w:val="22"/>
          <w:color w:val="auto"/>
        </w:rPr>
        <w:t>” means, with respect to any Guarantor, any obligation to pay or perform under any agreement, contract or transaction that constitutes a “swap” within the meaning of section 1a(47) of the Commodity Exchange Act.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color w:val="FF0000"/>
          <w:strike w:val="1"/>
        </w:rPr>
        <w:t>for the applicable Corresponding Tenor as of the applicable Reference Time,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C000"/>
        </w:rPr>
        <w:t>the forward-looking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C000"/>
          <w:strike w:val="1"/>
        </w:rPr>
        <w:t xml:space="preserve">term rate based on </w:t>
      </w:r>
      <w:r>
        <w:rPr>
          <w:rFonts w:ascii="Times New Roman" w:cs="Times New Roman" w:eastAsia="Times New Roman" w:hAnsi="Times New Roman"/>
          <w:sz w:val="21"/>
          <w:szCs w:val="21"/>
          <w:color w:val="FF0000"/>
          <w:strike w:val="1"/>
        </w:rPr>
        <w:t>SOFR that has been selected or recommended by the Relevant Governmental Body</w:t>
      </w:r>
      <w:r>
        <w:rPr>
          <w:rFonts w:ascii="Times New Roman" w:cs="Times New Roman" w:eastAsia="Times New Roman" w:hAnsi="Times New Roman"/>
          <w:sz w:val="21"/>
          <w:szCs w:val="21"/>
          <w:u w:val="single" w:color="auto"/>
          <w:color w:val="0000FF"/>
          <w:strike w:val="1"/>
        </w:rPr>
        <w:t>(a) for any Interest Period</w:t>
      </w:r>
      <w:r>
        <w:rPr>
          <w:rFonts w:ascii="Times New Roman" w:cs="Times New Roman" w:eastAsia="Times New Roman" w:hAnsi="Times New Roman"/>
          <w:sz w:val="21"/>
          <w:szCs w:val="21"/>
          <w:color w:val="00C000"/>
          <w:strike w:val="1"/>
        </w:rPr>
        <w:t xml:space="preserve"> </w:t>
      </w:r>
      <w:r>
        <w:rPr>
          <w:rFonts w:ascii="Times New Roman" w:cs="Times New Roman" w:eastAsia="Times New Roman" w:hAnsi="Times New Roman"/>
          <w:sz w:val="21"/>
          <w:szCs w:val="21"/>
          <w:u w:val="single" w:color="auto"/>
          <w:color w:val="0000FF"/>
          <w:strike w:val="1"/>
        </w:rPr>
        <w:t>for a SOFR Borrowing, the Term SOFR Reference Rate (rounded upward to the next one-one hundredth (1/100th) of one percent (0.01%), if necessary) for a tenor comparable to the applicable Interest Period on the day (the “Term SOFR Determination Day”) that is two (2) U.S. Government Securities Business Days prior to the first day of such Interest Period, as such rate is published by the Term SOFR Administrator; provided, however, that if as of</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C000"/>
          <w:strike w:val="1"/>
        </w:rPr>
        <w:t>5:00 p.m. (New York City time) on</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any Term SOFR</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-1450975</wp:posOffset>
            </wp:positionV>
            <wp:extent cx="1151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1151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-713740</wp:posOffset>
            </wp:positionV>
            <wp:extent cx="22459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40"/>
          </w:cols>
          <w:pgMar w:left="320" w:top="1395" w:right="339" w:bottom="1440" w:gutter="0" w:footer="0" w:header="0"/>
        </w:sectPr>
      </w:pPr>
    </w:p>
    <w:bookmarkStart w:id="101" w:name="page102"/>
    <w:bookmarkEnd w:id="101"/>
    <w:p>
      <w:pPr>
        <w:jc w:val="both"/>
        <w:spacing w:after="0" w:line="210" w:lineRule="auto"/>
        <w:rPr>
          <w:sz w:val="20"/>
          <w:szCs w:val="20"/>
          <w:color w:val="auto"/>
        </w:rPr>
      </w:pPr>
      <w:r>
        <w:rPr>
          <w:rFonts w:ascii="Times New Roman" w:cs="Times New Roman" w:eastAsia="Times New Roman" w:hAnsi="Times New Roman"/>
          <w:sz w:val="22"/>
          <w:szCs w:val="22"/>
          <w:u w:val="single" w:color="auto"/>
          <w:color w:val="0000FF"/>
        </w:rPr>
        <w:t>Government Securities Business Days prior to such Term SOFR Determination Day, and (b) with respect to any ABR Borrowing on any day, the Term SOFR Reference Rate (rounded upward to the next one-one hundredth (1/100th) of one percent (0.01%), if necessary) for a tenor of one month on the day (such day, the “ABR Term SOFR Determination Day”) that is two (2) U.S. Government Securities Business Days prior to such day, as such rate is published by the Term SOFR Administrator; provided, however,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r>
        <w:rPr>
          <w:rFonts w:ascii="Times New Roman" w:cs="Times New Roman" w:eastAsia="Times New Roman" w:hAnsi="Times New Roman"/>
          <w:sz w:val="22"/>
          <w:szCs w:val="22"/>
          <w:color w:val="000000"/>
        </w:rPr>
        <w:t>.</w:t>
      </w:r>
    </w:p>
    <w:p>
      <w:pPr>
        <w:spacing w:after="0" w:line="15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Notice</w:t>
      </w:r>
      <w:r>
        <w:rPr>
          <w:rFonts w:ascii="Times New Roman" w:cs="Times New Roman" w:eastAsia="Times New Roman" w:hAnsi="Times New Roman"/>
          <w:sz w:val="22"/>
          <w:szCs w:val="22"/>
          <w:u w:val="single" w:color="auto"/>
          <w:color w:val="0000FF"/>
        </w:rPr>
        <w:t>Administrator</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a notification</w:t>
      </w:r>
      <w:r>
        <w:rPr>
          <w:rFonts w:ascii="Times New Roman" w:cs="Times New Roman" w:eastAsia="Times New Roman" w:hAnsi="Times New Roman"/>
          <w:sz w:val="22"/>
          <w:szCs w:val="22"/>
          <w:u w:val="single" w:color="auto"/>
          <w:color w:val="0000FF"/>
        </w:rPr>
        <w:t>CME Group Benchmark Administration Limited (CBA) (or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successor administrator of the Term SOFR Reference Rate selected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Administrative Agent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to the Lenders and Borrower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the occurrence of a Term SOFR Transition Event</w:t>
      </w:r>
      <w:r>
        <w:rPr>
          <w:rFonts w:ascii="Times New Roman" w:cs="Times New Roman" w:eastAsia="Times New Roman" w:hAnsi="Times New Roman"/>
          <w:sz w:val="22"/>
          <w:szCs w:val="22"/>
          <w:u w:val="single" w:color="auto"/>
          <w:color w:val="0000FF"/>
        </w:rPr>
        <w:t>in its reasonable discretion)</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Transition Event</w:t>
      </w:r>
      <w:r>
        <w:rPr>
          <w:rFonts w:ascii="Times New Roman" w:cs="Times New Roman" w:eastAsia="Times New Roman" w:hAnsi="Times New Roman"/>
          <w:sz w:val="22"/>
          <w:szCs w:val="22"/>
          <w:color w:val="FF0000"/>
          <w:strike w:val="1"/>
        </w:rPr>
        <w:t>” means the determination by Administrative Agent that (a) Term SOFR has been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recommended for use by the Relevant Governmental Body, and is determinable for each Available Tenor, (b) the administration of Term SOFR is administratively feasible for Administrative Agent and (c) a Benchmark Transition Event has previously occurred resulting in a Benchmark Replacement in accordance with </w:t>
      </w:r>
      <w:r>
        <w:rPr>
          <w:rFonts w:ascii="Times New Roman" w:cs="Times New Roman" w:eastAsia="Times New Roman" w:hAnsi="Times New Roman"/>
          <w:sz w:val="22"/>
          <w:szCs w:val="22"/>
          <w:u w:val="single" w:color="auto"/>
          <w:color w:val="FF0000"/>
          <w:strike w:val="1"/>
        </w:rPr>
        <w:t>Section 11.3</w:t>
      </w:r>
      <w:r>
        <w:rPr>
          <w:rFonts w:ascii="Times New Roman" w:cs="Times New Roman" w:eastAsia="Times New Roman" w:hAnsi="Times New Roman"/>
          <w:sz w:val="22"/>
          <w:szCs w:val="22"/>
          <w:color w:val="FF0000"/>
          <w:strike w:val="1"/>
        </w:rPr>
        <w:t xml:space="preserve"> that is not </w:t>
      </w:r>
      <w:r>
        <w:rPr>
          <w:rFonts w:ascii="Times New Roman" w:cs="Times New Roman" w:eastAsia="Times New Roman" w:hAnsi="Times New Roman"/>
          <w:sz w:val="22"/>
          <w:szCs w:val="22"/>
          <w:u w:val="single" w:color="auto"/>
          <w:color w:val="0000FF"/>
          <w:strike w:val="1"/>
        </w:rPr>
        <w:t>Determination Day” has the meaning</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assigned to it under the definition of Term SOFR.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u w:val="single" w:color="auto"/>
          <w:color w:val="000000"/>
        </w:rPr>
        <w:t>Term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SOFR Reference Rate” means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C000"/>
        </w:rPr>
        <w:t>the forward-looking term rate based 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-13970</wp:posOffset>
            </wp:positionV>
            <wp:extent cx="21786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217868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means, at any time, the four consecutive Fiscal Quarters of Borrower then last ended (in each case taken as one accounting period) for which financial statements have been or are required to be delivered pursuant to this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Threshold Amount</w:t>
      </w:r>
      <w:r>
        <w:rPr>
          <w:rFonts w:ascii="Times New Roman" w:cs="Times New Roman" w:eastAsia="Times New Roman" w:hAnsi="Times New Roman"/>
          <w:sz w:val="21"/>
          <w:szCs w:val="21"/>
          <w:color w:val="auto"/>
        </w:rPr>
        <w:t>” means, at any time, an amount equal to the greater of (a) $50,000,000 and (b) 5% of the Borrowing</w:t>
      </w:r>
    </w:p>
    <w:p>
      <w:pPr>
        <w:spacing w:after="0"/>
        <w:rPr>
          <w:sz w:val="20"/>
          <w:szCs w:val="20"/>
          <w:color w:val="auto"/>
        </w:rPr>
      </w:pPr>
      <w:r>
        <w:rPr>
          <w:rFonts w:ascii="Times New Roman" w:cs="Times New Roman" w:eastAsia="Times New Roman" w:hAnsi="Times New Roman"/>
          <w:sz w:val="22"/>
          <w:szCs w:val="22"/>
          <w:color w:val="auto"/>
        </w:rPr>
        <w:t>Base.</w:t>
      </w:r>
    </w:p>
    <w:p>
      <w:pPr>
        <w:spacing w:after="0" w:line="15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Debt to Consolidated EBITDA Ratio</w:t>
      </w:r>
      <w:r>
        <w:rPr>
          <w:rFonts w:ascii="Times New Roman" w:cs="Times New Roman" w:eastAsia="Times New Roman" w:hAnsi="Times New Roman"/>
          <w:sz w:val="22"/>
          <w:szCs w:val="22"/>
          <w:color w:val="auto"/>
        </w:rPr>
        <w:t xml:space="preserve">” means, for any Test Period, the ratio of (a) the amount equal to (i) total Debt of the Parent and its Subsidiaries (other than Unrestricted Subsidiaries) as of the last day of such Test Period minus (ii) unrestricted cash and cash equivalents of the Parent and its Subsidiaries (other than Unrestricted Subsidiaries) as of the last day of such Test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the aggregate amount of cash and Cash Equivalents shall not exceed $75,000,000, to (b) Consolidated EBITDA of the Parent and its Subsidiaries (other than Unrestricted Subsidiaries) for such Test Period.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“Truist” means Truist Bank, and its successors or assigns in accordance with the terms of this Agreement.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“Type”, when used in reference to any Advance or Borrowing, refers to whether the rate of interest on such Advance, or on the Advances comprising such Borrowing, is determined by reference to the Alternate Base Rate or the Adjusted Term SOFR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40"/>
          </w:cols>
          <w:pgMar w:left="320" w:top="1395" w:right="339" w:bottom="1440" w:gutter="0" w:footer="0" w:header="0"/>
        </w:sectPr>
      </w:pPr>
    </w:p>
    <w:bookmarkStart w:id="102" w:name="page103"/>
    <w:bookmarkEnd w:id="102"/>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in any applicable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specified otherwise or the context otherwise requires, such terms shall refer to the Uniform Commercial Code as in effect in the State of Texas.</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2" w:lineRule="exact"/>
        <w:rPr>
          <w:sz w:val="20"/>
          <w:szCs w:val="20"/>
          <w:color w:val="auto"/>
        </w:rPr>
      </w:pPr>
    </w:p>
    <w:p>
      <w:pPr>
        <w:ind w:left="80" w:firstLine="56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xml:space="preserve">” means (i) as of the Effective Date, any Subsidiary listed as an “Unrestricted Subsidiary” on </w:t>
      </w:r>
      <w:r>
        <w:rPr>
          <w:rFonts w:ascii="Times New Roman" w:cs="Times New Roman" w:eastAsia="Times New Roman" w:hAnsi="Times New Roman"/>
          <w:sz w:val="22"/>
          <w:szCs w:val="22"/>
          <w:u w:val="single" w:color="auto"/>
          <w:color w:val="auto"/>
        </w:rPr>
        <w:t>Schedule 6.15</w:t>
      </w:r>
      <w:r>
        <w:rPr>
          <w:rFonts w:ascii="Times New Roman" w:cs="Times New Roman" w:eastAsia="Times New Roman" w:hAnsi="Times New Roman"/>
          <w:sz w:val="22"/>
          <w:szCs w:val="22"/>
          <w:color w:val="auto"/>
        </w:rPr>
        <w:t xml:space="preserve"> hereto and (ii) any Subsidiary that at the time of the determination shall be designated an Unrestricted Subsidiary of Borrower in a manner provided below. Borrower may designate any Subsidiary (including any newly acquired or newly formed Subsidiary) to be an Unrestricted Subsidiary unless such Subsidiary or any of its Subsidiaries at the time of such designation or at any time thereafter (a) is a Material Domestic Subsidiary, (b) owns or operates Borrowing Base Properties or (c) is a guarantor or the primary obligor with respect to any indebtedness, liabilities or other obligations under any Senior Notes (or any Permitted Refinancing thereof).</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Revolving Credit Availability</w:t>
      </w:r>
      <w:r>
        <w:rPr>
          <w:rFonts w:ascii="Times New Roman" w:cs="Times New Roman" w:eastAsia="Times New Roman" w:hAnsi="Times New Roman"/>
          <w:sz w:val="22"/>
          <w:szCs w:val="22"/>
          <w:color w:val="auto"/>
        </w:rPr>
        <w:t xml:space="preserve">” means, on any date of determination, the amount equal to the positive difference (if any) between (a) the Revolving Credit Aggregate Commitment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Aggregate Credit Exposure.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Internal Revenue Code.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11.9(g)(ii)(C)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means the USA PATRIOT Act, Title III of Pub. L. 107-56 (signed into law October 26, 2001).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13.25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USD LIBOR</w:t>
      </w:r>
      <w:r>
        <w:rPr>
          <w:rFonts w:ascii="Times New Roman" w:cs="Times New Roman" w:eastAsia="Times New Roman" w:hAnsi="Times New Roman"/>
          <w:sz w:val="22"/>
          <w:szCs w:val="22"/>
          <w:color w:val="FF0000"/>
          <w:strike w:val="1"/>
        </w:rPr>
        <w:t>” means the London interbank offered rate for U.S. dollars.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40"/>
          </w:cols>
          <w:pgMar w:left="320" w:top="1395" w:right="339" w:bottom="1440" w:gutter="0" w:footer="0" w:header="0"/>
        </w:sectPr>
      </w:pPr>
    </w:p>
    <w:bookmarkStart w:id="103" w:name="page104"/>
    <w:bookmarkEnd w:id="103"/>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Withdrawing Lender</w:t>
      </w:r>
      <w:r>
        <w:rPr>
          <w:rFonts w:ascii="Times New Roman" w:cs="Times New Roman" w:eastAsia="Times New Roman" w:hAnsi="Times New Roman"/>
          <w:sz w:val="22"/>
          <w:szCs w:val="22"/>
          <w:color w:val="auto"/>
        </w:rPr>
        <w:t xml:space="preserve">” means any Person who (a) is a Lender under the Existing Credit Agreement immediately prior to the Effective Date but is not a Lender under this Agreement and (b) is identified on </w:t>
      </w:r>
      <w:r>
        <w:rPr>
          <w:rFonts w:ascii="Times New Roman" w:cs="Times New Roman" w:eastAsia="Times New Roman" w:hAnsi="Times New Roman"/>
          <w:sz w:val="22"/>
          <w:szCs w:val="22"/>
          <w:u w:val="single" w:color="auto"/>
          <w:color w:val="auto"/>
        </w:rPr>
        <w:t>Schedule 6.22(b)</w:t>
      </w:r>
      <w:r>
        <w:rPr>
          <w:rFonts w:ascii="Times New Roman" w:cs="Times New Roman" w:eastAsia="Times New Roman" w:hAnsi="Times New Roman"/>
          <w:sz w:val="22"/>
          <w:szCs w:val="22"/>
          <w:color w:val="auto"/>
        </w:rPr>
        <w:t xml:space="preserve"> hereto.</w:t>
      </w:r>
    </w:p>
    <w:p>
      <w:pPr>
        <w:spacing w:after="0" w:line="1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Withdrawing Lender Commodity Hedging Agreements</w:t>
      </w:r>
      <w:r>
        <w:rPr>
          <w:rFonts w:ascii="Times New Roman" w:cs="Times New Roman" w:eastAsia="Times New Roman" w:hAnsi="Times New Roman"/>
          <w:sz w:val="21"/>
          <w:szCs w:val="21"/>
          <w:color w:val="auto"/>
        </w:rPr>
        <w:t xml:space="preserve">” means, to the extent constituting “Lender Hedging Obligations” under the Existing Credit Agreement, the Existing Commodity Hedging Agreements set forth on </w:t>
      </w:r>
      <w:r>
        <w:rPr>
          <w:rFonts w:ascii="Times New Roman" w:cs="Times New Roman" w:eastAsia="Times New Roman" w:hAnsi="Times New Roman"/>
          <w:sz w:val="21"/>
          <w:szCs w:val="21"/>
          <w:u w:val="single" w:color="auto"/>
          <w:color w:val="auto"/>
        </w:rPr>
        <w:t>Schedule 6.22(c)</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Credit Party and the Administrative Agent.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Terms, Generally</w:t>
      </w:r>
    </w:p>
    <w:p>
      <w:pPr>
        <w:spacing w:after="0" w:line="179" w:lineRule="exact"/>
        <w:rPr>
          <w:sz w:val="20"/>
          <w:szCs w:val="20"/>
          <w:color w:val="auto"/>
        </w:rPr>
      </w:pPr>
    </w:p>
    <w:p>
      <w:pPr>
        <w:jc w:val="both"/>
        <w:ind w:firstLine="8"/>
        <w:spacing w:after="0" w:line="210" w:lineRule="auto"/>
        <w:tabs>
          <w:tab w:leader="none" w:pos="10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Exhibits and Schedules shall be construed to refer to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Oil and Gas Definitions</w:t>
      </w:r>
    </w:p>
    <w:p>
      <w:pPr>
        <w:spacing w:after="0" w:line="179" w:lineRule="exact"/>
        <w:rPr>
          <w:sz w:val="20"/>
          <w:szCs w:val="20"/>
          <w:color w:val="auto"/>
        </w:rPr>
      </w:pPr>
    </w:p>
    <w:p>
      <w:pPr>
        <w:jc w:val="both"/>
        <w:ind w:firstLine="8"/>
        <w:spacing w:after="0" w:line="236" w:lineRule="auto"/>
        <w:tabs>
          <w:tab w:leader="none" w:pos="121"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the terms “proved reserves,” “proved developed reserves,” “proved undeveloped reserves,” “proved developed nonproducing reserves” and “proved developed producing reserves,” have the meaning given such terms from time to time and at the time in question by the Society of Petroleum Engineers of the American Institute of Mining Engineers.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Divisions</w:t>
      </w:r>
    </w:p>
    <w:p>
      <w:pPr>
        <w:spacing w:after="0" w:line="179" w:lineRule="exact"/>
        <w:rPr>
          <w:sz w:val="20"/>
          <w:szCs w:val="20"/>
          <w:color w:val="auto"/>
        </w:rPr>
      </w:pPr>
    </w:p>
    <w:p>
      <w:pPr>
        <w:jc w:val="both"/>
        <w:ind w:firstLine="8"/>
        <w:spacing w:after="0" w:line="225" w:lineRule="auto"/>
        <w:tabs>
          <w:tab w:leader="none" w:pos="12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40"/>
          </w:cols>
          <w:pgMar w:left="320" w:top="1395" w:right="339" w:bottom="1440" w:gutter="0" w:footer="0" w:header="0"/>
        </w:sectPr>
      </w:pPr>
    </w:p>
    <w:bookmarkStart w:id="104" w:name="page105"/>
    <w:bookmarkEnd w:id="104"/>
    <w:p>
      <w:pPr>
        <w:jc w:val="both"/>
        <w:spacing w:after="0" w:line="225" w:lineRule="auto"/>
        <w:rPr>
          <w:sz w:val="20"/>
          <w:szCs w:val="20"/>
          <w:color w:val="auto"/>
        </w:rPr>
      </w:pPr>
      <w:r>
        <w:rPr>
          <w:rFonts w:ascii="Times New Roman" w:cs="Times New Roman" w:eastAsia="Times New Roman" w:hAnsi="Times New Roman"/>
          <w:sz w:val="22"/>
          <w:szCs w:val="22"/>
          <w:color w:val="auto"/>
        </w:rPr>
        <w:t>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0000FF"/>
        </w:rPr>
        <w:t>1.5</w:t>
      </w:r>
      <w:r>
        <w:rPr>
          <w:sz w:val="20"/>
          <w:szCs w:val="20"/>
          <w:color w:val="auto"/>
        </w:rPr>
        <w:tab/>
      </w:r>
      <w:r>
        <w:rPr>
          <w:rFonts w:ascii="Times New Roman" w:cs="Times New Roman" w:eastAsia="Times New Roman" w:hAnsi="Times New Roman"/>
          <w:sz w:val="21"/>
          <w:szCs w:val="21"/>
          <w:u w:val="single" w:color="auto"/>
          <w:color w:val="0000FF"/>
        </w:rPr>
        <w:t>Types of Advances and Borrowings</w:t>
      </w:r>
    </w:p>
    <w:p>
      <w:pPr>
        <w:spacing w:after="0" w:line="179" w:lineRule="exact"/>
        <w:rPr>
          <w:sz w:val="20"/>
          <w:szCs w:val="20"/>
          <w:color w:val="auto"/>
        </w:rPr>
      </w:pPr>
    </w:p>
    <w:p>
      <w:pPr>
        <w:ind w:right="20" w:firstLine="8"/>
        <w:spacing w:after="0" w:line="236" w:lineRule="auto"/>
        <w:tabs>
          <w:tab w:leader="none" w:pos="135" w:val="left"/>
        </w:tabs>
        <w:numPr>
          <w:ilvl w:val="0"/>
          <w:numId w:val="4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For purposes of this Agreement, Advances and Borrowings, respectively, may be classified and referred to by Type (e.g., a “SOFR Advance”, a or a “SOFR Borrowing”).</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0000FF"/>
        </w:rPr>
        <w:t>1.6</w:t>
      </w:r>
      <w:r>
        <w:rPr>
          <w:sz w:val="20"/>
          <w:szCs w:val="20"/>
          <w:color w:val="auto"/>
        </w:rPr>
        <w:tab/>
      </w:r>
      <w:r>
        <w:rPr>
          <w:rFonts w:ascii="Times New Roman" w:cs="Times New Roman" w:eastAsia="Times New Roman" w:hAnsi="Times New Roman"/>
          <w:sz w:val="21"/>
          <w:szCs w:val="21"/>
          <w:u w:val="single" w:color="auto"/>
          <w:color w:val="0000FF"/>
        </w:rPr>
        <w:t>Interest Rates; Benchmark Notification</w:t>
      </w:r>
    </w:p>
    <w:p>
      <w:pPr>
        <w:spacing w:after="0" w:line="179" w:lineRule="exact"/>
        <w:rPr>
          <w:sz w:val="20"/>
          <w:szCs w:val="20"/>
          <w:color w:val="auto"/>
        </w:rPr>
      </w:pPr>
    </w:p>
    <w:p>
      <w:pPr>
        <w:jc w:val="both"/>
        <w:ind w:firstLine="8"/>
        <w:spacing w:after="0" w:line="229" w:lineRule="auto"/>
        <w:tabs>
          <w:tab w:leader="none" w:pos="148" w:val="left"/>
        </w:tabs>
        <w:numPr>
          <w:ilvl w:val="0"/>
          <w:numId w:val="4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The interest rate on an Advance denominated in dollars may be derived from an interest rate benchmark that may be discontinued or is, or may in the future become, the subject of regulatory reform. Upon the occurrence of a Benchmark Transition Event, Section 11.3(b) provides a mechanism for determining an alternative rate of interest. The Administrative Agent does not warrant or accept any responsibility for, and shall not have any liability with respect to, (a) the continuation of, the administration of, submission of, calculation of, performance of or any other matter related to any interest rate used in this Agreement (including, without limitation, the Alternate Base Rate, SOFR, the Term SOFR Reference Rate, Adjusted Term SOFR or Term SOFR) or any component definition thereof or rates referred to in the definition thereof, or with respect to any alternative or successor rate thereto, or replacement rate thereof (including any Benchmark Replacement), including without limitation, whether the composition or characteristics of any such alternative, successor or replacement reference rate will be similar to, or produce the same value or economic equivalence of, or have the same value or economic equivalence of as the existing interest rate (or any component thereof) being replaced or have the same volume or liquidity as did any existing interest rate (or any component thereof) prior to its discontinuance or unavailability. The Administrative Agent and its affiliates and/or other related entities may engage in transactions that affect the calculation of any interest rate (or component thereof)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0000FF"/>
        </w:rPr>
        <w:t>1.7</w:t>
      </w:r>
      <w:r>
        <w:rPr>
          <w:sz w:val="20"/>
          <w:szCs w:val="20"/>
          <w:color w:val="auto"/>
        </w:rPr>
        <w:tab/>
      </w:r>
      <w:r>
        <w:rPr>
          <w:rFonts w:ascii="Times New Roman" w:cs="Times New Roman" w:eastAsia="Times New Roman" w:hAnsi="Times New Roman"/>
          <w:sz w:val="21"/>
          <w:szCs w:val="21"/>
          <w:u w:val="single" w:color="auto"/>
          <w:color w:val="0000FF"/>
        </w:rPr>
        <w:t>Letter of Credit Amounts</w:t>
      </w:r>
    </w:p>
    <w:p>
      <w:pPr>
        <w:spacing w:after="0" w:line="179" w:lineRule="exact"/>
        <w:rPr>
          <w:sz w:val="20"/>
          <w:szCs w:val="20"/>
          <w:color w:val="auto"/>
        </w:rPr>
      </w:pPr>
    </w:p>
    <w:p>
      <w:pPr>
        <w:jc w:val="both"/>
        <w:ind w:firstLine="8"/>
        <w:spacing w:after="0" w:line="217" w:lineRule="auto"/>
        <w:tabs>
          <w:tab w:leader="none" w:pos="108" w:val="left"/>
        </w:tabs>
        <w:numPr>
          <w:ilvl w:val="0"/>
          <w:numId w:val="4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Unless otherwise specified herein, the amount of a Letter of Credit at any time shall be deemed to be the amount of such Letter of Credit available to be drawn at such time;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2. REVOLVING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40"/>
          </w:cols>
          <w:pgMar w:left="320" w:top="1395" w:right="339" w:bottom="1440" w:gutter="0" w:footer="0" w:header="0"/>
        </w:sectPr>
      </w:pPr>
    </w:p>
    <w:bookmarkStart w:id="105" w:name="page106"/>
    <w:bookmarkEnd w:id="105"/>
    <w:p>
      <w:pPr>
        <w:jc w:val="both"/>
        <w:ind w:firstLine="8"/>
        <w:spacing w:after="0" w:line="225" w:lineRule="auto"/>
        <w:tabs>
          <w:tab w:leader="none" w:pos="10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of this Agreement (including without limitation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each Revolving Credit Lender severally and for itself alone agrees to make Advances of the Revolving Credit in Dollars to Borrower from time to time on any Business Day during the period from the Effective Date hereof until (but excluding) the Revolving Credit Maturity Date in an aggregate principal amount that will not result in (a) such Lender’s Credit Exposure exceeding such Lender’s Revolving Credit Commitment Amount or (b) the Aggregate Credit Exposure exceeding the Revolving Credit Aggregate Commitment. Subject to the terms and conditions set forth herein, advances, repayments and readvances may be made under the Revolving Credit.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Accrual of Interest and Maturity; Evidence of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hereby unconditionally promises to pay to Administrative Agent for the account of each Revolving Credit Lender the then unpaid principal amount of each Revolving Credit Advance (plus all accrued and unpaid interest) of such Revolving Credit Lender to Borrower on the Revolving Credit Maturity Date and on such other dates and in such other amounts as may be required from time to time pursuant to this Agreement. Subject to the terms and conditions hereof, each Revolving Credit Advance shall, from time to time from and after the date of such Advance (until paid), bear interest at its Applicable Interest Rate.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Revolving Credit Lender shall maintain in accordance with its usual practice an account or accounts evidencing indebtedness of Borrower to the appropriate lending office of such Revolving Credit Lender resulting from each Revolving Credit Advance made by such lending office of such Revolving Credit Lender from time to time, including the amounts of principal and interest payable thereon and paid to such Revolving Credit Lender from time to time under this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Register shall be maintained pursuant to </w:t>
      </w:r>
      <w:r>
        <w:rPr>
          <w:rFonts w:ascii="Times New Roman" w:cs="Times New Roman" w:eastAsia="Times New Roman" w:hAnsi="Times New Roman"/>
          <w:sz w:val="22"/>
          <w:szCs w:val="22"/>
          <w:u w:val="single" w:color="auto"/>
          <w:color w:val="auto"/>
        </w:rPr>
        <w:t>Section 13.7(g)</w:t>
      </w:r>
      <w:r>
        <w:rPr>
          <w:rFonts w:ascii="Times New Roman" w:cs="Times New Roman" w:eastAsia="Times New Roman" w:hAnsi="Times New Roman"/>
          <w:sz w:val="22"/>
          <w:szCs w:val="22"/>
          <w:color w:val="auto"/>
        </w:rPr>
        <w:t xml:space="preserve">, and a subaccount therein for each Revolving Credit Lender, in which Register and subaccounts (taken together) shall be recorded (i) the amount of each Revolving Credit Advance made hereunder, the type thereof and each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auto"/>
        </w:rPr>
        <w:t xml:space="preserve">Interest Period applicable to any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 (ii) the amount of any principal or interest due and payable or to become due and payable from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Borrower to each Revolving Credit Lender hereunder in respect of the Revolving Credit Advances and (iii) both the amount of any sum received by Administrative Agent hereunder from Borrower in respect of the Revolving Credit Advances and each Revolving Credit Lender’s share thereof.</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Register maintained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shall, absent manifest error, to the extent permitted by applicable law, be prima facie evidence of the existence and amounts of the obligations of Borrower therein recorded;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any Revolving Credit Lender or Administrative Agent to maintain the Register or any account, as applicable, or any error therein, shall not in any manner affect the obligation of Borrower to repay the Revolving Credit Advances (and all other amounts owing with respect thereto) made to Borrower by the Revolving Credit Lenders in accordance with the terms of this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agrees that, upon written request to Administrative Agent by any Revolving Credit Lender, Borrower will execute and deliver, to such Revolving Credit Lender, at Borrower’s own expense, a Revolving Credit Note evidencing the outstanding Revolving Credit Advances owing to such Revolving Credit Lender, with appropriate insertions as to date and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40"/>
          </w:cols>
          <w:pgMar w:left="320" w:top="1395" w:right="339" w:bottom="1440" w:gutter="0" w:footer="0" w:header="0"/>
        </w:sectPr>
      </w:pPr>
    </w:p>
    <w:bookmarkStart w:id="106" w:name="page107"/>
    <w:bookmarkEnd w:id="106"/>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Requests for Advances and for Continuations and Conversions of Advances</w:t>
      </w:r>
    </w:p>
    <w:p>
      <w:pPr>
        <w:spacing w:after="0" w:line="179" w:lineRule="exact"/>
        <w:rPr>
          <w:sz w:val="20"/>
          <w:szCs w:val="20"/>
          <w:color w:val="auto"/>
        </w:rPr>
      </w:pPr>
    </w:p>
    <w:p>
      <w:pPr>
        <w:jc w:val="both"/>
        <w:ind w:firstLine="8"/>
        <w:spacing w:after="0" w:line="220" w:lineRule="auto"/>
        <w:tabs>
          <w:tab w:leader="none" w:pos="1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may request an Advance of the Revolving Credit, a continuation of any Revolving Credit Advance in the same type of Advance or to convert any Revolving Credit Advance to any other type of Revolving Credit Advance only by delivery to Administrative Agent of a Request for Revolving Credit Advance executed by a Responsible Officer for Borrower, subject to the following:</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Request for Revolving Credit Advance shall set forth the information required on the Request for Revolving Credit Advance, including without limitation:</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date of such Revolving Credit Advance (or the continuation or conversion date of an outstanding Revolving Credit Advance), which must be a Business Day;</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9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Advance is a new Revolving Credit Advance or a continuation or conversion of an outstanding Revolving Credit Advance;</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such Revolving Credit Advance is to be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auto"/>
        </w:rPr>
        <w:t xml:space="preserve"> Advance or a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 and, except in the case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 the first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000000"/>
        </w:rPr>
        <w:t>Interest Period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applicable thereto;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84"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any Request for Revolving Credit Advance not delivered to Administrative Agent by 12:00 p.m. (New York time) two (2) Business Days prior to the proposed date of the Revolving Credit Advance (but not, for avoidance of doubt any continuation or conversion of Revolving Credit Advances), the Consolidated Cash Balance (without regard to the requested Revolving Credit Advance) and the pro forma Consolidated Cash Balance (giving effect to the requested Revolving Credit Advance and any other transactions occurring prior to, or substantially simultaneously with, such Advance);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such Request for Revolving Credit Advance (including without limitation any request for Advances to be made on the Effective Date) shall be delivered to Administrative Agent by 12:00 p.m. (New York time) three (3) Business Days prior to the proposed date of the Revolving Credit Advance, except in the case of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auto"/>
        </w:rPr>
        <w:t xml:space="preserve"> Advance, for which the Request for Revolving Credit Advance must be delivered by 12:00 p.m. (New York time) one (1) Business Day prior to the proposed date for such Revolving Credit Advance;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proposed date of the borrowing of such Revolving Credit Advance, after giving effect to all borrowings and repayments on such date, the Aggregate Credit Exposure shall not exceed the Revolving Credit Aggregate Commitment;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auto"/>
        </w:rPr>
        <w:t xml:space="preserve"> Advance, the principal amount of the initial funding of such Advance, as opposed to any continuation or conversion thereof, shall be at least $1,000,000 or the remainder available under the Revolving Credit Aggregate Commitment if less than $1,000,000;</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 the principal amount of such Advance, plus the amount of any other outstanding Revolving Credit Advance to be then combined therewith having the same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auto"/>
        </w:rPr>
        <w:t>Interest Period, if any, shall be at least $1,500,000 (or a larger integral multiple of $100,000) or the remainder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40"/>
          </w:cols>
          <w:pgMar w:left="320" w:top="1395" w:right="339" w:bottom="1440" w:gutter="0" w:footer="0" w:header="0"/>
        </w:sectPr>
      </w:pPr>
    </w:p>
    <w:bookmarkStart w:id="107" w:name="page108"/>
    <w:bookmarkEnd w:id="107"/>
    <w:p>
      <w:pPr>
        <w:ind w:left="660"/>
        <w:spacing w:after="0" w:line="236" w:lineRule="auto"/>
        <w:rPr>
          <w:sz w:val="20"/>
          <w:szCs w:val="20"/>
          <w:color w:val="auto"/>
        </w:rPr>
      </w:pPr>
      <w:r>
        <w:rPr>
          <w:rFonts w:ascii="Times New Roman" w:cs="Times New Roman" w:eastAsia="Times New Roman" w:hAnsi="Times New Roman"/>
          <w:sz w:val="22"/>
          <w:szCs w:val="22"/>
          <w:color w:val="auto"/>
        </w:rPr>
        <w:t xml:space="preserve">under the Revolving Credit Aggregate Commitment if less than $1,500,000 and at any one time there shall not be in effect more than ten (10) different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auto"/>
        </w:rPr>
        <w:t>Interest Periods;</w:t>
      </w:r>
    </w:p>
    <w:p>
      <w:pPr>
        <w:spacing w:after="0" w:line="150" w:lineRule="exact"/>
        <w:rPr>
          <w:sz w:val="20"/>
          <w:szCs w:val="20"/>
          <w:color w:val="auto"/>
        </w:rPr>
      </w:pPr>
    </w:p>
    <w:p>
      <w:pPr>
        <w:jc w:val="both"/>
        <w:ind w:left="660" w:firstLine="644"/>
        <w:spacing w:after="0" w:line="213" w:lineRule="auto"/>
        <w:tabs>
          <w:tab w:leader="none" w:pos="195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such Request for Revolving Credit Advance, once delivered to Administrative Agent, shall not be revocable by Borrower and shall constitute a certification by Borrower that, as of the date of borrowing of the requested Advance, (i) each of the conditions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will be satisfied and (ii) with respect to any Revolving Credit Advance made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(but not, for avoidance of doubt any continuation or conversion of Revolving Credit Advances), the Consolidated Cash Balance after giving pro forma effect to the requested Revolving Credit Advance and any other transactions occurring prior to, or substantially simultaneously with, such Advance, shall not exceed the Consolidated Cash Balance Threshold; and</w:t>
      </w:r>
    </w:p>
    <w:p>
      <w:pPr>
        <w:spacing w:after="0" w:line="156"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Revolving Credit Advances to be made on the Effective Date pursuant to a Request for Revolving Credit Advance shall be </w:t>
      </w: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auto"/>
        </w:rPr>
        <w:t xml:space="preserve"> Advances;</w:t>
      </w:r>
    </w:p>
    <w:p>
      <w:pPr>
        <w:spacing w:after="0" w:line="15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Administrative Agent, acting on behalf of the Revolving Credit Lenders, may also, at its option, lend under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upon the telephone or email request of a Responsible Officer of Borrower and, in the event Administrative Agent, acting on behalf of the Revolving Credit Lenders, makes any such Advance upon a telephone or email request, a Responsible Officer shall fax or send by email to Administrative Agent, on the same day as such telephone or email request, an executed Request for Revolving Credit Advance. Borrower hereby authorizes Administrative Agent to disburse Advances under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pursuant to the telephone or email instructions of any person purporting to be a Responsible Officer. Notwithstanding the foregoing, Borrower acknowledges that Borrower shall bear all risk of loss resulting from disbursements made upon any telephone or email request. Each telephone or email request for an Advance from a Responsible Officer shall constitute a certification of the matters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Disbursement of Advances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1" w:lineRule="auto"/>
        <w:tabs>
          <w:tab w:leader="none" w:pos="195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receiving any Request for Revolving Credit Advance in accordance with the terms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Administrative Agent shall promptly notify each Revolving Credit Lender by wire, telex or telephone (confirmed by wire, telecopy or telex) of the amount of such Advance being requested and the date such Advance is to be made by each Revolving Credit Lender in an amount equal to its Revolving Credit Percentage of such Advance. Unless such Revolving Credit Lender’s commitment to make Revolving Credit Advances hereunder shall have been suspended or terminated in accordance with this Agreement, each such Revolving Credit Lender shall make available the amount of its Revolving Credit Percentage of each Revolving Credit Advance in immediately available funds by 1:00 p.m. (New York time) on the date of such Revolving Credit Advance to the account of Administrative Agent most recently designated by it for such purpose by notice to the Lenders.</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receipt by the Administrative Agent of an executed Request for Revolving Credit Advance from a Responsible Officer, Administrative Agent shall make available to Borrower the aggregate of the amounts so received by it from the Revolving Credit Lenders in like funds and currencies not later than 4:00 p.m. (New York time) on the date of such Revolving Credit Advance, by credit to an account of Borrower maintained with Administrative Agent or to such other account or third party as Borrower may reasonably direct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direction is timely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40"/>
          </w:cols>
          <w:pgMar w:left="320" w:top="1395" w:right="339" w:bottom="1440" w:gutter="0" w:footer="0" w:header="0"/>
        </w:sectPr>
      </w:pPr>
    </w:p>
    <w:bookmarkStart w:id="108" w:name="page109"/>
    <w:bookmarkEnd w:id="108"/>
    <w:p>
      <w:pPr>
        <w:jc w:val="both"/>
        <w:ind w:left="660" w:firstLine="644"/>
        <w:spacing w:after="0" w:line="207" w:lineRule="auto"/>
        <w:tabs>
          <w:tab w:leader="none" w:pos="195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Administrative Agent shall have been notified by any Revolving Credit Lender prior to the date of any proposed Revolving Credit Advance that such Revolving Credit Lender does not intend to make available to Administrative Agent such Revolving Credit Lender’s Revolving Credit Percentage of such Advance, Administrative Agent may assume that such Revolving Credit Lender has made such amount available to Administrative Agent on such date, as aforesaid. Administrative Agent may, but shall not be obligated to, make available to Borrower the amount of such payment in reliance on such assumption. If such amount is not in fact made available to Administrative Agent by such Revolving Credit Lender, as aforesaid, Administrative Agent shall be entitled to recover such amount on demand from such Revolving Credit Lender. If such Revolving Credit Lender does not pay such amount forthwith upon Administrative Agent’s demand therefor and Administrative Agent has in fact made a corresponding amount available to Borrower, Administrative Agent shall promptly notify Borrower and Borrower shall pay such amount to Administrative Agent, if such notice is delivered to Borrower prior to 1:00 p.m. (New York time) on a Business Day, on the day such notice is received, and otherwise on the next Business Day, and such amount paid by Borrower shall be applied as a prepayment of the Revolving Credit (without any corresponding reduction in the Revolving Credit Aggregate Commitment), reimbursing Administrative Agent for having funded said amounts on behalf of such Revolving Credit Lender. Borrower shall retain without prejudice its claim against such Revolving Credit Lender with respect to the amounts repaid by it to Administrative Agent and, if such Revolving Credit Lender subsequently makes such amounts available to Administrative Agent, Administrative Agent shall promptly make such amounts available to Borrower as a Revolving Credit Advance. Administrative Agent shall also be entitled to recover from such Revolving Credit Lender or Borrower, as the case may be, but without duplication, interest on such amount in respect of each day from the date such amount was made available by Administrative Agent to Borrower, to the date such amount is recovered by Administrative Agent, at a rate per annum equal to:</w:t>
      </w:r>
    </w:p>
    <w:p>
      <w:pPr>
        <w:spacing w:after="0" w:line="16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such Revolving Credit Lender, for the first two (2) Business Days such amount remains unpaid, the Federal Funds Effective Rate, and thereafter, at the rate of interest then applicable to such Revolving Credit Advance; and</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Borrower, the rate of interest then applicable to such Advance of the Revolving</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w:t>
      </w:r>
    </w:p>
    <w:p>
      <w:pPr>
        <w:spacing w:after="0" w:line="15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Until such Revolving Credit Lender has paid Administrative Agent such amount, such Revolving Credit Lender shall have no interest in or rights with respect to such Advance for any purpose whatsoever. The obligation of any Revolving Credit Lender to make any Revolving Credit Advance hereunder shall not be affected by the failure of any other Revolving Credit Lender to make any Advance hereunder, and no Revolving Credit Lender shall have any liability to Borrower, the Parent or any of its Subsidiaries, Administrative Agent, any other Revolving Credit Lender, or any other party for another Revolving Credit Lender’s failure to make any loan or Advance hereunder.</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Interest Payments; Default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40"/>
          </w:cols>
          <w:pgMar w:left="320" w:top="1395" w:right="339" w:bottom="1440" w:gutter="0" w:footer="0" w:header="0"/>
        </w:sectPr>
      </w:pPr>
    </w:p>
    <w:bookmarkStart w:id="109" w:name="page110"/>
    <w:bookmarkEnd w:id="109"/>
    <w:p>
      <w:pPr>
        <w:jc w:val="both"/>
        <w:ind w:left="660" w:firstLine="644"/>
        <w:spacing w:after="0" w:line="222" w:lineRule="auto"/>
        <w:tabs>
          <w:tab w:leader="none" w:pos="195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Interest on the unpaid balance of all </w:t>
      </w:r>
      <w:r>
        <w:rPr>
          <w:rFonts w:ascii="Times New Roman" w:cs="Times New Roman" w:eastAsia="Times New Roman" w:hAnsi="Times New Roman"/>
          <w:sz w:val="21"/>
          <w:szCs w:val="21"/>
          <w:color w:val="FF0000"/>
          <w:strike w:val="1"/>
        </w:rPr>
        <w:t>Base Rate</w:t>
      </w:r>
      <w:r>
        <w:rPr>
          <w:rFonts w:ascii="Times New Roman" w:cs="Times New Roman" w:eastAsia="Times New Roman" w:hAnsi="Times New Roman"/>
          <w:sz w:val="21"/>
          <w:szCs w:val="21"/>
          <w:u w:val="single" w:color="auto"/>
          <w:color w:val="0000FF"/>
        </w:rPr>
        <w:t>ABR</w:t>
      </w:r>
      <w:r>
        <w:rPr>
          <w:rFonts w:ascii="Times New Roman" w:cs="Times New Roman" w:eastAsia="Times New Roman" w:hAnsi="Times New Roman"/>
          <w:sz w:val="21"/>
          <w:szCs w:val="21"/>
          <w:color w:val="auto"/>
        </w:rPr>
        <w:t xml:space="preserve"> Advances of the Revolving Credit from time to time outstanding shall accrue from the date of such Advance to the date repaid, at a per annum interest rate equal to the </w:t>
      </w:r>
      <w:r>
        <w:rPr>
          <w:rFonts w:ascii="Times New Roman" w:cs="Times New Roman" w:eastAsia="Times New Roman" w:hAnsi="Times New Roman"/>
          <w:sz w:val="21"/>
          <w:szCs w:val="21"/>
          <w:u w:val="single" w:color="auto"/>
          <w:color w:val="0000FF"/>
        </w:rPr>
        <w:t>Alternate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Base Rate</w:t>
      </w:r>
      <w:r>
        <w:rPr>
          <w:rFonts w:ascii="Times New Roman" w:cs="Times New Roman" w:eastAsia="Times New Roman" w:hAnsi="Times New Roman"/>
          <w:sz w:val="21"/>
          <w:szCs w:val="21"/>
          <w:color w:val="0000FF"/>
        </w:rPr>
        <w:t xml:space="preserve"> plus the Applicable Margin</w:t>
      </w:r>
      <w:r>
        <w:rPr>
          <w:rFonts w:ascii="Times New Roman" w:cs="Times New Roman" w:eastAsia="Times New Roman" w:hAnsi="Times New Roman"/>
          <w:sz w:val="21"/>
          <w:szCs w:val="21"/>
          <w:color w:val="000000"/>
        </w:rPr>
        <w:t>, and shall be payable in immediately available funds quarterly in arrears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on the last day of each March, June, September and December. Whenever any payment under this </w:t>
      </w:r>
      <w:r>
        <w:rPr>
          <w:rFonts w:ascii="Times New Roman" w:cs="Times New Roman" w:eastAsia="Times New Roman" w:hAnsi="Times New Roman"/>
          <w:sz w:val="21"/>
          <w:szCs w:val="21"/>
          <w:u w:val="single" w:color="auto"/>
          <w:color w:val="000000"/>
        </w:rPr>
        <w:t>Section 2.6(a)</w:t>
      </w:r>
      <w:r>
        <w:rPr>
          <w:rFonts w:ascii="Times New Roman" w:cs="Times New Roman" w:eastAsia="Times New Roman" w:hAnsi="Times New Roman"/>
          <w:sz w:val="21"/>
          <w:szCs w:val="21"/>
          <w:color w:val="000000"/>
        </w:rPr>
        <w:t xml:space="preserve"> shall become due on a day which is not a Business Day, the date for payment thereof shall be extended to the next Business Day. Interest accruing at the </w:t>
      </w:r>
      <w:r>
        <w:rPr>
          <w:rFonts w:ascii="Times New Roman" w:cs="Times New Roman" w:eastAsia="Times New Roman" w:hAnsi="Times New Roman"/>
          <w:sz w:val="21"/>
          <w:szCs w:val="21"/>
          <w:u w:val="single" w:color="auto"/>
          <w:color w:val="0000FF"/>
        </w:rPr>
        <w:t>Alternate</w:t>
      </w:r>
      <w:r>
        <w:rPr>
          <w:rFonts w:ascii="Times New Roman" w:cs="Times New Roman" w:eastAsia="Times New Roman" w:hAnsi="Times New Roman"/>
          <w:sz w:val="21"/>
          <w:szCs w:val="21"/>
          <w:color w:val="000000"/>
        </w:rPr>
        <w:t xml:space="preserve"> Base Rate shall be computed on the basis of a 365 or 366, as the case may be, day year and assessed for the actual number of days elapsed, and in such computation effect shall be given to any change in the interest rate resulting from a change in the </w:t>
      </w:r>
      <w:r>
        <w:rPr>
          <w:rFonts w:ascii="Times New Roman" w:cs="Times New Roman" w:eastAsia="Times New Roman" w:hAnsi="Times New Roman"/>
          <w:sz w:val="21"/>
          <w:szCs w:val="21"/>
          <w:u w:val="single" w:color="auto"/>
          <w:color w:val="0000FF"/>
        </w:rPr>
        <w:t>Alternate</w:t>
      </w:r>
      <w:r>
        <w:rPr>
          <w:rFonts w:ascii="Times New Roman" w:cs="Times New Roman" w:eastAsia="Times New Roman" w:hAnsi="Times New Roman"/>
          <w:sz w:val="21"/>
          <w:szCs w:val="21"/>
          <w:color w:val="000000"/>
        </w:rPr>
        <w:t xml:space="preserve"> Base Rate on the date of such change in the </w:t>
      </w:r>
      <w:r>
        <w:rPr>
          <w:rFonts w:ascii="Times New Roman" w:cs="Times New Roman" w:eastAsia="Times New Roman" w:hAnsi="Times New Roman"/>
          <w:sz w:val="21"/>
          <w:szCs w:val="21"/>
          <w:u w:val="single" w:color="auto"/>
          <w:color w:val="0000FF"/>
        </w:rPr>
        <w:t>Alternate</w:t>
      </w:r>
      <w:r>
        <w:rPr>
          <w:rFonts w:ascii="Times New Roman" w:cs="Times New Roman" w:eastAsia="Times New Roman" w:hAnsi="Times New Roman"/>
          <w:sz w:val="21"/>
          <w:szCs w:val="21"/>
          <w:color w:val="000000"/>
        </w:rPr>
        <w:t xml:space="preserve"> Base Rate.</w:t>
      </w:r>
    </w:p>
    <w:p>
      <w:pPr>
        <w:spacing w:after="0" w:line="157" w:lineRule="exact"/>
        <w:rPr>
          <w:rFonts w:ascii="Times New Roman" w:cs="Times New Roman" w:eastAsia="Times New Roman" w:hAnsi="Times New Roman"/>
          <w:sz w:val="21"/>
          <w:szCs w:val="21"/>
          <w:color w:val="auto"/>
        </w:rPr>
      </w:pPr>
    </w:p>
    <w:p>
      <w:pPr>
        <w:jc w:val="both"/>
        <w:ind w:left="660" w:firstLine="644"/>
        <w:spacing w:after="0" w:line="213" w:lineRule="auto"/>
        <w:tabs>
          <w:tab w:leader="none" w:pos="195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on each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 of the Revolving Credit shall accrue at </w:t>
      </w:r>
      <w:r>
        <w:rPr>
          <w:rFonts w:ascii="Times New Roman" w:cs="Times New Roman" w:eastAsia="Times New Roman" w:hAnsi="Times New Roman"/>
          <w:sz w:val="22"/>
          <w:szCs w:val="22"/>
          <w:color w:val="FF0000"/>
          <w:strike w:val="1"/>
        </w:rPr>
        <w:t>its Eurodollar-based Rate</w:t>
      </w:r>
      <w:r>
        <w:rPr>
          <w:rFonts w:ascii="Times New Roman" w:cs="Times New Roman" w:eastAsia="Times New Roman" w:hAnsi="Times New Roman"/>
          <w:sz w:val="22"/>
          <w:szCs w:val="22"/>
          <w:u w:val="single" w:color="auto"/>
          <w:color w:val="0000FF"/>
        </w:rPr>
        <w:t>the Adjusted Term SOFR Rate plus the Applicable Margin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shall be payable in immediately available funds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on the last day of the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000000"/>
        </w:rPr>
        <w:t xml:space="preserve">Interest Period applicable thereto (and, if any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000000"/>
        </w:rPr>
        <w:t xml:space="preserve">Interest Period shall exceed three months, then on the last Business Day of the third month of such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000000"/>
        </w:rPr>
        <w:t xml:space="preserve">Interest Period, and at three month intervals thereafter). Interest accruing at the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000000"/>
        </w:rPr>
        <w:t xml:space="preserve"> Rate shall be computed on the basis of a 360 day year and assessed for the actual number of days elapsed from the first day of the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000000"/>
        </w:rPr>
        <w:t>Interest Period applicable thereto to but not including the last day thereof.</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the preceding sections, all accrued and unpaid interest on any Advance continued or converted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be due and payable in full on the date such Revolving Credit Advance is continued, refunded or converted.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Event of Default under </w:t>
      </w:r>
      <w:r>
        <w:rPr>
          <w:rFonts w:ascii="Times New Roman" w:cs="Times New Roman" w:eastAsia="Times New Roman" w:hAnsi="Times New Roman"/>
          <w:sz w:val="22"/>
          <w:szCs w:val="22"/>
          <w:u w:val="single" w:color="auto"/>
          <w:color w:val="auto"/>
        </w:rPr>
        <w:t>Section 9.1(j)</w:t>
      </w:r>
      <w:r>
        <w:rPr>
          <w:rFonts w:ascii="Times New Roman" w:cs="Times New Roman" w:eastAsia="Times New Roman" w:hAnsi="Times New Roman"/>
          <w:sz w:val="22"/>
          <w:szCs w:val="22"/>
          <w:color w:val="auto"/>
        </w:rPr>
        <w:t>, immediately upon the occurrence thereof (and for so long as such Event of Default is continuing), and in the case of any other Event of Default (and for so long as such Event of Default is continuing), immediately upon receipt by Administrative Agent of notice from the Majority Lenders (with a copy to Borrower), interest shall be payable on demand on all Revolving Credit Advances from time to time outstanding at a per annum rate equal to the Applicable Interest Rate in respect of each such Advance plus two percent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-3597275</wp:posOffset>
            </wp:positionV>
            <wp:extent cx="15621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spacing w:after="0" w:line="13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Optional Prepayments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2" w:lineRule="auto"/>
        <w:tabs>
          <w:tab w:leader="none" w:pos="195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Borrower may prepay all or part of the outstanding principal of any </w:t>
      </w: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auto"/>
        </w:rPr>
        <w:t xml:space="preserve"> Advance(s) of the Revolving Credit at any time (subject to not less than one (1) Business Day prior notice to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any partial prepayment, the aggregate balance of </w:t>
      </w: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auto"/>
        </w:rPr>
        <w:t xml:space="preserve"> Advance(s) of the Revolving Credit remaining outstanding shall be at least $250,000 and (ii) subject to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xml:space="preserve">, Borrower may prepay all or part of the outstanding principal of any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 of the Revolving Credit at any time (subject to not less than three (3) Business Days’ prior notice to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any partial prepayment, the unpaid portion of any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 of the Revolving Credit which is to be continued or converted under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be at least $250,000.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40"/>
          </w:cols>
          <w:pgMar w:left="320" w:top="1395" w:right="339" w:bottom="1440" w:gutter="0" w:footer="0" w:header="0"/>
        </w:sectPr>
      </w:pPr>
    </w:p>
    <w:bookmarkStart w:id="110" w:name="page111"/>
    <w:bookmarkEnd w:id="110"/>
    <w:p>
      <w:pPr>
        <w:jc w:val="both"/>
        <w:ind w:left="660" w:firstLine="644"/>
        <w:spacing w:after="0" w:line="225" w:lineRule="auto"/>
        <w:tabs>
          <w:tab w:leader="none" w:pos="195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partial prepayment of the outstanding principal of any </w:t>
      </w: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auto"/>
        </w:rPr>
        <w:t xml:space="preserve"> Advance(s) or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Advance(s) shall be in an amount that would be permitted in the case of a borrowing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Advance or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000000"/>
        </w:rPr>
        <w:t xml:space="preserve"> Advance, as applicable, pursuant to </w:t>
      </w:r>
      <w:r>
        <w:rPr>
          <w:rFonts w:ascii="Times New Roman" w:cs="Times New Roman" w:eastAsia="Times New Roman" w:hAnsi="Times New Roman"/>
          <w:sz w:val="22"/>
          <w:szCs w:val="22"/>
          <w:u w:val="single" w:color="auto"/>
          <w:color w:val="000000"/>
        </w:rPr>
        <w:t>Section 2.3</w:t>
      </w:r>
      <w:r>
        <w:rPr>
          <w:rFonts w:ascii="Times New Roman" w:cs="Times New Roman" w:eastAsia="Times New Roman" w:hAnsi="Times New Roman"/>
          <w:sz w:val="22"/>
          <w:szCs w:val="22"/>
          <w:color w:val="000000"/>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prepayment of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auto"/>
        </w:rPr>
        <w:t xml:space="preserve"> Advance made in accordance with this Section shall be without premium or penalty and any prepayment of any other type of Advance shall be subject to the provisions of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but otherwise without premium or penalty.</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notice of prepayment pursuant to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shall be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or such other form reasonably acceptable to the Administrative Agent.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FF0000"/>
          <w:strike w:val="1"/>
        </w:rPr>
        <w:t>Base Rate</w:t>
      </w:r>
      <w:r>
        <w:rPr>
          <w:rFonts w:ascii="Times New Roman" w:cs="Times New Roman" w:eastAsia="Times New Roman" w:hAnsi="Times New Roman"/>
          <w:sz w:val="21"/>
          <w:szCs w:val="21"/>
          <w:u w:val="single" w:color="auto"/>
          <w:color w:val="0000FF"/>
          <w:strike w:val="1"/>
        </w:rPr>
        <w:t>ABR</w:t>
      </w:r>
      <w:r>
        <w:rPr>
          <w:rFonts w:ascii="Times New Roman" w:cs="Times New Roman" w:eastAsia="Times New Roman" w:hAnsi="Times New Roman"/>
          <w:sz w:val="21"/>
          <w:szCs w:val="21"/>
          <w:u w:val="single" w:color="auto"/>
          <w:color w:val="FF0000"/>
          <w:strike w:val="1"/>
        </w:rPr>
        <w:t xml:space="preserve"> </w:t>
      </w:r>
      <w:r>
        <w:rPr>
          <w:rFonts w:ascii="Times New Roman" w:cs="Times New Roman" w:eastAsia="Times New Roman" w:hAnsi="Times New Roman"/>
          <w:sz w:val="21"/>
          <w:szCs w:val="21"/>
          <w:u w:val="single" w:color="auto"/>
          <w:color w:val="000000"/>
          <w:strike w:val="1"/>
        </w:rPr>
        <w:t>Advance in Absence of Election or Upon Default</w:t>
      </w:r>
    </w:p>
    <w:p>
      <w:pPr>
        <w:spacing w:after="0" w:line="179" w:lineRule="exact"/>
        <w:rPr>
          <w:sz w:val="20"/>
          <w:szCs w:val="20"/>
          <w:color w:val="auto"/>
        </w:rPr>
      </w:pPr>
    </w:p>
    <w:p>
      <w:pPr>
        <w:jc w:val="both"/>
        <w:ind w:firstLine="8"/>
        <w:spacing w:after="0" w:line="211" w:lineRule="auto"/>
        <w:tabs>
          <w:tab w:leader="none" w:pos="12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as to any outstanding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 of the Revolving Credit, Administrative Agent has not received payment of all outstanding principal and accrued interest on the last day of the Interest Period applicable thereto, or does not receive a timely Request for Revolving Credit Advance meeting the requirements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with respect to the continuation, refunding or conversion of such Advance, or (b) if on the last day of the applicable Interest Period a Default or an Event of Default shall have occurred and be continuing, then, on the last day of the applicable Interest Period the principal amount of any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 which has not been prepaid shall, absent a contrary election of the Majority Lenders, be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converted automatically to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000000"/>
        </w:rPr>
        <w:t xml:space="preserve"> Advance and Administrative Agent shall thereafter promptly notify Borrower of said action. All accrued and unpaid interest on any Advance converted to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000000"/>
        </w:rPr>
        <w:t xml:space="preserve"> Advance under this </w:t>
      </w:r>
      <w:r>
        <w:rPr>
          <w:rFonts w:ascii="Times New Roman" w:cs="Times New Roman" w:eastAsia="Times New Roman" w:hAnsi="Times New Roman"/>
          <w:sz w:val="22"/>
          <w:szCs w:val="22"/>
          <w:u w:val="single" w:color="auto"/>
          <w:color w:val="000000"/>
        </w:rPr>
        <w:t>Section 2.8</w:t>
      </w:r>
      <w:r>
        <w:rPr>
          <w:rFonts w:ascii="Times New Roman" w:cs="Times New Roman" w:eastAsia="Times New Roman" w:hAnsi="Times New Roman"/>
          <w:sz w:val="22"/>
          <w:szCs w:val="22"/>
          <w:color w:val="000000"/>
        </w:rPr>
        <w:t xml:space="preserve"> shall be due and payable in full on the date such Advance is converted.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Commitment Fees</w:t>
      </w:r>
    </w:p>
    <w:p>
      <w:pPr>
        <w:spacing w:after="0" w:line="179" w:lineRule="exact"/>
        <w:rPr>
          <w:sz w:val="20"/>
          <w:szCs w:val="20"/>
          <w:color w:val="auto"/>
        </w:rPr>
      </w:pPr>
    </w:p>
    <w:p>
      <w:pPr>
        <w:jc w:val="both"/>
        <w:ind w:firstLine="8"/>
        <w:spacing w:after="0" w:line="210" w:lineRule="auto"/>
        <w:tabs>
          <w:tab w:leader="none" w:pos="10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10.4(c),</w:t>
      </w:r>
      <w:r>
        <w:rPr>
          <w:rFonts w:ascii="Times New Roman" w:cs="Times New Roman" w:eastAsia="Times New Roman" w:hAnsi="Times New Roman"/>
          <w:sz w:val="22"/>
          <w:szCs w:val="22"/>
          <w:color w:val="auto"/>
        </w:rPr>
        <w:t xml:space="preserve"> from the Effective Date to the Revolving Credit Maturity Date, Borrower shall pay to Administrative Agent for distribution to the Revolving Credit Lenders pro-rata in accordance with their respective Revolving Credit Percentages, a Commitment Fee in arrears on the last day of each March, June, September and December (in respect of the prior three months or any portion thereof) and on the Revolving Credit Maturity Date. The Commitment Fee payable to each Revolving Credit Lender shall be determined by multiplying the Applicable Fee Percentage times such Lender’s Revolving Credit Percentage of the average daily amount of the Unused Revolving Credit Availability. The Commitment Fee shall be computed on the basis of a year of three hundred sixty (360) days and assessed for the actual number of days elapsed. Whenever any payment of the Commitment Fee shall be due on a day which is not a Business Day, the date for payment thereof shall be extended to the next Business Day. Upon receipt of such payment, Administrative Agent shall make prompt payment to each Revolving Credit Lender of its share of the Commitment Fee based upon its respective Revolving Credit Percentage. It is expressly understood that the Commitment Fee described in this Section is not refundable.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Mandatory Prepayment of Advances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termination or reduction of the Maximum Facility Amount or the Borrowing Base, as the case may be,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the Aggregate Credit Exposure exceeds the Revolving Credit Aggregate Commitment,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40"/>
          </w:cols>
          <w:pgMar w:left="320" w:top="1395" w:right="339" w:bottom="1440" w:gutter="0" w:footer="0" w:header="0"/>
        </w:sectPr>
      </w:pPr>
    </w:p>
    <w:bookmarkStart w:id="111" w:name="page112"/>
    <w:bookmarkEnd w:id="111"/>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 xml:space="preserve">Borrower shall immediately (and in any event on the Business Day of such termination or reduction) prepay, subject to any funding indemnification amounts required by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the principal amount of the Advances to the extent necessary to eliminate such excess.</w:t>
      </w:r>
    </w:p>
    <w:p>
      <w:pPr>
        <w:spacing w:after="0" w:line="140" w:lineRule="exact"/>
        <w:rPr>
          <w:sz w:val="20"/>
          <w:szCs w:val="20"/>
          <w:color w:val="auto"/>
        </w:rPr>
      </w:pPr>
    </w:p>
    <w:p>
      <w:pPr>
        <w:ind w:left="1940" w:hanging="636"/>
        <w:spacing w:after="0"/>
        <w:tabs>
          <w:tab w:leader="none" w:pos="1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and for any reason a Borrowing Base Deficiency exists, then Borrower shall comply with</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5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clauses (e)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below, no later than the second Business Day following receipt by (w) any Credit Party of Net Cash Proceeds from the issuance of any Equity Interests by any Credit Party in an amount in excess of $5,000,000 (other than Equity Interests issued (A) under any stock option or employee incentive plans or (B) to a Credit Party), (x) any Credit Party of Net Cash Proceeds of any Debt issuance in excess of $5,000,000 under </w:t>
      </w:r>
      <w:r>
        <w:rPr>
          <w:rFonts w:ascii="Times New Roman" w:cs="Times New Roman" w:eastAsia="Times New Roman" w:hAnsi="Times New Roman"/>
          <w:sz w:val="22"/>
          <w:szCs w:val="22"/>
          <w:u w:val="single" w:color="auto"/>
          <w:color w:val="auto"/>
        </w:rPr>
        <w:t>Section 8.1(s)</w:t>
      </w:r>
      <w:r>
        <w:rPr>
          <w:rFonts w:ascii="Times New Roman" w:cs="Times New Roman" w:eastAsia="Times New Roman" w:hAnsi="Times New Roman"/>
          <w:sz w:val="22"/>
          <w:szCs w:val="22"/>
          <w:color w:val="auto"/>
        </w:rPr>
        <w:t xml:space="preserve">, (y) any Credit Party of Net Cash Proceeds of any Senior Notes issuance (other than a Permitted Refinancing that extends, refinances, renews, replaces, repurchases, defeases or refunds outstanding Senior Notes) or (z) any Credit Party of Net Cash Proceeds from the Disposition of Borrowing Base Properties pursuant to </w:t>
      </w:r>
      <w:r>
        <w:rPr>
          <w:rFonts w:ascii="Times New Roman" w:cs="Times New Roman" w:eastAsia="Times New Roman" w:hAnsi="Times New Roman"/>
          <w:sz w:val="22"/>
          <w:szCs w:val="22"/>
          <w:u w:val="single" w:color="auto"/>
          <w:color w:val="auto"/>
        </w:rPr>
        <w:t>Section 8.4(k)</w:t>
      </w:r>
      <w:r>
        <w:rPr>
          <w:rFonts w:ascii="Times New Roman" w:cs="Times New Roman" w:eastAsia="Times New Roman" w:hAnsi="Times New Roman"/>
          <w:sz w:val="22"/>
          <w:szCs w:val="22"/>
          <w:color w:val="auto"/>
        </w:rPr>
        <w:t xml:space="preserve">, Borrower shall prepay the Revolving Credit by an amount equal to 100% of such Net Cash Proceeds, but with respect to clauses (w), (x) and (z), only to the extent that the Aggregate Credit Exposure exceeds the Revolving Credit Aggregate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clause (z) and so long as such Disposition of Borrowing Base Properties did not result in an automatic reduction of the Borrowing Base pursuant to </w:t>
      </w:r>
      <w:r>
        <w:rPr>
          <w:rFonts w:ascii="Times New Roman" w:cs="Times New Roman" w:eastAsia="Times New Roman" w:hAnsi="Times New Roman"/>
          <w:sz w:val="22"/>
          <w:szCs w:val="22"/>
          <w:u w:val="single" w:color="auto"/>
          <w:color w:val="auto"/>
        </w:rPr>
        <w:t>Section 8.4(k)</w:t>
      </w:r>
      <w:r>
        <w:rPr>
          <w:rFonts w:ascii="Times New Roman" w:cs="Times New Roman" w:eastAsia="Times New Roman" w:hAnsi="Times New Roman"/>
          <w:sz w:val="22"/>
          <w:szCs w:val="22"/>
          <w:color w:val="auto"/>
        </w:rPr>
        <w:t>, Borrower shall not be required to prepay the Revolving Credit in accordance with clause (z) until the fair market value of all Borrowing Base Properties Disposed of (whether pursuant to a Disposition of Equity Interests of any Restricted Subsidiary owning Borrowing Base Properties or otherwise) since the most recent scheduled redetermination of the Borrowing Base is greater than or equal to $5,000,000 in the aggregate.</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any prepayment required pursuant to this </w:t>
      </w:r>
      <w:r>
        <w:rPr>
          <w:rFonts w:ascii="Times New Roman" w:cs="Times New Roman" w:eastAsia="Times New Roman" w:hAnsi="Times New Roman"/>
          <w:sz w:val="21"/>
          <w:szCs w:val="21"/>
          <w:u w:val="single" w:color="auto"/>
          <w:color w:val="auto"/>
        </w:rPr>
        <w:t>Section 2.10</w:t>
      </w:r>
      <w:r>
        <w:rPr>
          <w:rFonts w:ascii="Times New Roman" w:cs="Times New Roman" w:eastAsia="Times New Roman" w:hAnsi="Times New Roman"/>
          <w:sz w:val="21"/>
          <w:szCs w:val="21"/>
          <w:color w:val="auto"/>
        </w:rPr>
        <w:t xml:space="preserve"> shall be applied first to outstanding </w:t>
      </w:r>
      <w:r>
        <w:rPr>
          <w:rFonts w:ascii="Times New Roman" w:cs="Times New Roman" w:eastAsia="Times New Roman" w:hAnsi="Times New Roman"/>
          <w:sz w:val="21"/>
          <w:szCs w:val="21"/>
          <w:color w:val="FF0000"/>
          <w:strike w:val="1"/>
        </w:rPr>
        <w:t>Base Rate</w:t>
      </w:r>
      <w:r>
        <w:rPr>
          <w:rFonts w:ascii="Times New Roman" w:cs="Times New Roman" w:eastAsia="Times New Roman" w:hAnsi="Times New Roman"/>
          <w:sz w:val="21"/>
          <w:szCs w:val="21"/>
          <w:u w:val="single" w:color="auto"/>
          <w:color w:val="0000FF"/>
        </w:rPr>
        <w:t>ABR</w:t>
      </w:r>
      <w:r>
        <w:rPr>
          <w:rFonts w:ascii="Times New Roman" w:cs="Times New Roman" w:eastAsia="Times New Roman" w:hAnsi="Times New Roman"/>
          <w:sz w:val="21"/>
          <w:szCs w:val="21"/>
          <w:color w:val="auto"/>
        </w:rPr>
        <w:t xml:space="preserve"> Advances under the Revolving Credit and then to </w:t>
      </w:r>
      <w:r>
        <w:rPr>
          <w:rFonts w:ascii="Times New Roman" w:cs="Times New Roman" w:eastAsia="Times New Roman" w:hAnsi="Times New Roman"/>
          <w:sz w:val="21"/>
          <w:szCs w:val="21"/>
          <w:color w:val="FF0000"/>
          <w:strike w:val="1"/>
        </w:rPr>
        <w:t>Eurodollar-based</w:t>
      </w:r>
      <w:r>
        <w:rPr>
          <w:rFonts w:ascii="Times New Roman" w:cs="Times New Roman" w:eastAsia="Times New Roman" w:hAnsi="Times New Roman"/>
          <w:sz w:val="21"/>
          <w:szCs w:val="21"/>
          <w:u w:val="single" w:color="auto"/>
          <w:color w:val="0000FF"/>
        </w:rPr>
        <w:t>SOFR</w:t>
      </w:r>
      <w:r>
        <w:rPr>
          <w:rFonts w:ascii="Times New Roman" w:cs="Times New Roman" w:eastAsia="Times New Roman" w:hAnsi="Times New Roman"/>
          <w:sz w:val="21"/>
          <w:szCs w:val="21"/>
          <w:color w:val="auto"/>
        </w:rPr>
        <w:t xml:space="preserve"> Advances under the Revolving Credit at the discretion of Borrower. If any amounts remain thereafter, a portion of such prepayment equivalent to the undrawn amount of any outstanding Letters of Credit shall be held by Administrative Agent as cash collateral for the Reimbursement Obligations, with any additional prepayment monies being applied to any Fees, costs or expenses due and outstanding under this Agreement, and with the remainder of such prepayment thereafter being returned to Borrower.</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11" w:lineRule="auto"/>
        <w:tabs>
          <w:tab w:leader="none" w:pos="19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on the date any mandatory prepayment of the Revolving Credit Advances under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or payment pursuant to the terms of any of the Loan Documents is due, the Advances under the Revolving Credit to be prepaid is being carried, in whole or in part, at the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Adjusted Term SOFR</w:t>
      </w:r>
      <w:r>
        <w:rPr>
          <w:rFonts w:ascii="Times New Roman" w:cs="Times New Roman" w:eastAsia="Times New Roman" w:hAnsi="Times New Roman"/>
          <w:sz w:val="22"/>
          <w:szCs w:val="22"/>
          <w:color w:val="auto"/>
        </w:rPr>
        <w:t xml:space="preserve"> Rate and no Default or Event of Default has occurred and is continuing, Borrower may, at Borrower’s election, deposit the amount of such mandatory prepayment in a non-interest bearing cash collateral account to be held by Administrative Agent, for and on behalf of the Revolving Credit Lenders, on such terms and conditions as are reasonably acceptable to Administrative Agent and upon such deposit the obligation of Borrower to make such mandatory prepayment shall be deemed satisfied. Subject to the terms and conditions of said cash collateral account, sums on deposit in said cash collateral account shall be applied (until exhausted) to reduce the principal balance of the Revolving Credit on the last day of each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auto"/>
        </w:rPr>
        <w:t xml:space="preserve">Interest Period attributable to the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40"/>
          </w:cols>
          <w:pgMar w:left="320" w:top="1395" w:right="339" w:bottom="1440" w:gutter="0" w:footer="0" w:header="0"/>
        </w:sectPr>
      </w:pPr>
    </w:p>
    <w:bookmarkStart w:id="112" w:name="page113"/>
    <w:bookmarkEnd w:id="112"/>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 xml:space="preserve">Advances, thereby avoiding breakage costs 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a Default or Event of Default shall have occurred at any time while sums are on deposit in the cash collateral account, Administrative Agent may, in its sole discretion, elect to apply such sums to reduce the principal balance of such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Advances prior to the last day of the applicable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auto"/>
        </w:rPr>
        <w:t xml:space="preserve">Interest Period, and Borrower will be obligated to pay any resulting breakage costs 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Optional Reduction or Termination of Commitments</w:t>
      </w:r>
    </w:p>
    <w:p>
      <w:pPr>
        <w:spacing w:after="0" w:line="179" w:lineRule="exact"/>
        <w:rPr>
          <w:sz w:val="20"/>
          <w:szCs w:val="20"/>
          <w:color w:val="auto"/>
        </w:rPr>
      </w:pPr>
    </w:p>
    <w:p>
      <w:pPr>
        <w:jc w:val="both"/>
        <w:ind w:firstLine="8"/>
        <w:spacing w:after="0" w:line="208" w:lineRule="auto"/>
        <w:tabs>
          <w:tab w:leader="none" w:pos="12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may, upon at least three (3) Business Days’ prior written notice to Administrative Agent, at any time terminate, or from time to time permanently reduce, the Maximum Facility Amount or the Borrowing Base in whole or in part,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each partial reduction of the Maximum Facility Amount or the Borrowing Base, as applicable, shall be in an aggregate amount equal to at least One Million Dollars ($1,000,000); (ii) Borrower shall prepay in accordance with the terms hereof the amount, if any, by which the Aggregate Credit Exposure exceeds either or both (A) the Maximum Facility Amount and/or (B) the Borrowing Base, in each case after such reduction, together with interest thereon to the date of prepayment; and (iii) no reduction shall reduce the Maximum Facility Amount or the Borrowing Base to an amount which is less than the aggregate undrawn amount of any Letters of Credit outstanding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the termination or reduction of the Maximum Facility Amount or the Borrowing Base requires the prepayment of a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 and such termination or reduction is made on a day other than the last Business Day of the then current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Interest Period applicable to such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000000"/>
        </w:rPr>
        <w:t xml:space="preserve"> Advance, then Borrower shall compensate the Revolving Credit Lenders in accordance with </w:t>
      </w:r>
      <w:r>
        <w:rPr>
          <w:rFonts w:ascii="Times New Roman" w:cs="Times New Roman" w:eastAsia="Times New Roman" w:hAnsi="Times New Roman"/>
          <w:sz w:val="22"/>
          <w:szCs w:val="22"/>
          <w:u w:val="single" w:color="auto"/>
          <w:color w:val="000000"/>
        </w:rPr>
        <w:t>Section 11.1</w:t>
      </w:r>
      <w:r>
        <w:rPr>
          <w:rFonts w:ascii="Times New Roman" w:cs="Times New Roman" w:eastAsia="Times New Roman" w:hAnsi="Times New Roman"/>
          <w:sz w:val="22"/>
          <w:szCs w:val="22"/>
          <w:color w:val="000000"/>
        </w:rPr>
        <w:t xml:space="preserve"> or, so long as no Default or Event of Default has occurred and is continuing, Borrower may deposit the amount of such prepayment in a non-interest bearing cash collateral account as provided in </w:t>
      </w:r>
      <w:r>
        <w:rPr>
          <w:rFonts w:ascii="Times New Roman" w:cs="Times New Roman" w:eastAsia="Times New Roman" w:hAnsi="Times New Roman"/>
          <w:sz w:val="22"/>
          <w:szCs w:val="22"/>
          <w:u w:val="single" w:color="auto"/>
          <w:color w:val="000000"/>
        </w:rPr>
        <w:t>Section 2.10(f)</w:t>
      </w:r>
      <w:r>
        <w:rPr>
          <w:rFonts w:ascii="Times New Roman" w:cs="Times New Roman" w:eastAsia="Times New Roman" w:hAnsi="Times New Roman"/>
          <w:sz w:val="22"/>
          <w:szCs w:val="22"/>
          <w:color w:val="000000"/>
        </w:rPr>
        <w:t xml:space="preserve">. Any reductions of the Maximum Facility Amount or the Borrowing Base pursuant to this </w:t>
      </w:r>
      <w:r>
        <w:rPr>
          <w:rFonts w:ascii="Times New Roman" w:cs="Times New Roman" w:eastAsia="Times New Roman" w:hAnsi="Times New Roman"/>
          <w:sz w:val="22"/>
          <w:szCs w:val="22"/>
          <w:u w:val="single" w:color="auto"/>
          <w:color w:val="000000"/>
        </w:rPr>
        <w:t>Section 2.11</w:t>
      </w:r>
      <w:r>
        <w:rPr>
          <w:rFonts w:ascii="Times New Roman" w:cs="Times New Roman" w:eastAsia="Times New Roman" w:hAnsi="Times New Roman"/>
          <w:sz w:val="22"/>
          <w:szCs w:val="22"/>
          <w:color w:val="000000"/>
        </w:rPr>
        <w:t xml:space="preserve"> shall be permanent and irrevocable. Any payments made pursuant to this Section shall be applied first to outstanding </w:t>
      </w: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000000"/>
        </w:rPr>
        <w:t xml:space="preserve"> Advances under the Revolving Credit and then to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000000"/>
        </w:rPr>
        <w:t xml:space="preserve"> Advances of the Revolving Credit.</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Use of Proceeds of Advances</w:t>
      </w:r>
    </w:p>
    <w:p>
      <w:pPr>
        <w:spacing w:after="0" w:line="179" w:lineRule="exact"/>
        <w:rPr>
          <w:sz w:val="20"/>
          <w:szCs w:val="20"/>
          <w:color w:val="auto"/>
        </w:rPr>
      </w:pPr>
    </w:p>
    <w:p>
      <w:pPr>
        <w:jc w:val="both"/>
        <w:ind w:firstLine="8"/>
        <w:spacing w:after="0" w:line="225" w:lineRule="auto"/>
        <w:tabs>
          <w:tab w:leader="none" w:pos="12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shall be used for acquisition financing and general corporate purposes, including capital expenditures, development and operational activities, ongoing working capital, and payment of fees and expenses incurred in connection with this Agreement and the other Loan Documents.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3. LETTERS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Letters of Credit</w:t>
      </w:r>
    </w:p>
    <w:p>
      <w:pPr>
        <w:spacing w:after="0" w:line="179" w:lineRule="exact"/>
        <w:rPr>
          <w:sz w:val="20"/>
          <w:szCs w:val="20"/>
          <w:color w:val="auto"/>
        </w:rPr>
      </w:pPr>
    </w:p>
    <w:p>
      <w:pPr>
        <w:jc w:val="both"/>
        <w:ind w:firstLine="8"/>
        <w:spacing w:after="0" w:line="212" w:lineRule="auto"/>
        <w:tabs>
          <w:tab w:leader="none" w:pos="12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each Issuing Lender may through the Issuing Office, at any time and from time to time from and after the date hereof until thirty (30) days prior to the Revolving Credit Maturity Date, upon the written request of Borrower accompanied by a duly executed Letter of Credit Agreement and such other documentation related to the requested Letter of Credit as such Issuing Lender may reasonably require, issue Letters of Credit in Dollars for the account of Borrower, in an aggregate amount </w:t>
      </w:r>
      <w:r>
        <w:rPr>
          <w:rFonts w:ascii="Times New Roman" w:cs="Times New Roman" w:eastAsia="Times New Roman" w:hAnsi="Times New Roman"/>
          <w:sz w:val="22"/>
          <w:szCs w:val="22"/>
          <w:color w:val="0000FF"/>
        </w:rPr>
        <w:t>(a) for all Letters of Credit issued by such Issuing Lender at any one time outstanding not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exceed such Issuing Lender’s Letter of Credit Commitment and (b)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for all Letters of Credit issued hereunder at any one time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outstanding not to exceed the Letter of Credit Maximum Amount. Each Letter of Credit shall be in a minimum face amount of Ten Thousand Dollars ($10,000) (or such lesser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-440055</wp:posOffset>
            </wp:positionV>
            <wp:extent cx="5227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5227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240"/>
          </w:cols>
          <w:pgMar w:left="320" w:top="1395" w:right="339" w:bottom="1440" w:gutter="0" w:footer="0" w:header="0"/>
        </w:sectPr>
      </w:pPr>
    </w:p>
    <w:bookmarkStart w:id="113" w:name="page114"/>
    <w:bookmarkEnd w:id="113"/>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amount as may be agreed to by such Issuing Lender) and each Letter of Credit (including any </w:t>
      </w:r>
      <w:r>
        <w:rPr>
          <w:rFonts w:ascii="Times New Roman" w:cs="Times New Roman" w:eastAsia="Times New Roman" w:hAnsi="Times New Roman"/>
          <w:sz w:val="22"/>
          <w:szCs w:val="22"/>
          <w:color w:val="FF0000"/>
          <w:strike w:val="1"/>
        </w:rPr>
        <w:t>renewal</w:t>
      </w:r>
      <w:r>
        <w:rPr>
          <w:rFonts w:ascii="Times New Roman" w:cs="Times New Roman" w:eastAsia="Times New Roman" w:hAnsi="Times New Roman"/>
          <w:sz w:val="22"/>
          <w:szCs w:val="22"/>
          <w:u w:val="single" w:color="auto"/>
          <w:color w:val="0000FF"/>
        </w:rPr>
        <w:t>extension</w:t>
      </w:r>
      <w:r>
        <w:rPr>
          <w:rFonts w:ascii="Times New Roman" w:cs="Times New Roman" w:eastAsia="Times New Roman" w:hAnsi="Times New Roman"/>
          <w:sz w:val="22"/>
          <w:szCs w:val="22"/>
          <w:color w:val="auto"/>
        </w:rPr>
        <w:t xml:space="preserve"> thereof) shall expire not later than the first to occur of (i) twelve (12) months after the date of issuance thereof and (ii) ten (10) Business Days prior to the Revolving Credit Maturity Date in effect on the date of issuance thereof; provided, however, in connection with the request for the initial issuance of a Letter of Credit, Borrower may request that the Letter of Credit will be automatically </w:t>
      </w:r>
      <w:r>
        <w:rPr>
          <w:rFonts w:ascii="Times New Roman" w:cs="Times New Roman" w:eastAsia="Times New Roman" w:hAnsi="Times New Roman"/>
          <w:sz w:val="22"/>
          <w:szCs w:val="22"/>
          <w:color w:val="FF0000"/>
          <w:strike w:val="1"/>
        </w:rPr>
        <w:t>renewed</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for similar successive periods of time unless and until Borrower provides a notice no later than 10 days prior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its expiration to the applicable Issuing Lender that the Letter of Credit should not be </w:t>
      </w:r>
      <w:r>
        <w:rPr>
          <w:rFonts w:ascii="Times New Roman" w:cs="Times New Roman" w:eastAsia="Times New Roman" w:hAnsi="Times New Roman"/>
          <w:sz w:val="22"/>
          <w:szCs w:val="22"/>
          <w:color w:val="FF0000"/>
          <w:strike w:val="1"/>
        </w:rPr>
        <w:t>renewed</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000000"/>
        </w:rPr>
        <w:t xml:space="preserve">. Notwithstanding anything to the contrary contained herein, no Letter of Credit shall be </w:t>
      </w:r>
      <w:r>
        <w:rPr>
          <w:rFonts w:ascii="Times New Roman" w:cs="Times New Roman" w:eastAsia="Times New Roman" w:hAnsi="Times New Roman"/>
          <w:sz w:val="22"/>
          <w:szCs w:val="22"/>
          <w:color w:val="FF0000"/>
          <w:strike w:val="1"/>
        </w:rPr>
        <w:t>renewed</w:t>
      </w:r>
      <w:r>
        <w:rPr>
          <w:rFonts w:ascii="Times New Roman" w:cs="Times New Roman" w:eastAsia="Times New Roman" w:hAnsi="Times New Roman"/>
          <w:sz w:val="22"/>
          <w:szCs w:val="22"/>
          <w:u w:val="single" w:color="auto"/>
          <w:color w:val="0000FF"/>
        </w:rPr>
        <w:t>extended</w:t>
      </w:r>
      <w:r>
        <w:rPr>
          <w:rFonts w:ascii="Times New Roman" w:cs="Times New Roman" w:eastAsia="Times New Roman" w:hAnsi="Times New Roman"/>
          <w:sz w:val="22"/>
          <w:szCs w:val="22"/>
          <w:color w:val="000000"/>
        </w:rPr>
        <w:t xml:space="preserve"> for a similar successive period of time if its expiration is later than ten (10) Business Days before the Revolving Credit Maturity Date. The submission of all applications in respect of and the issuance of each Letter of Credit hereunder shall be subject in all respects to such industry rules and governing laws as are acceptable to the applicable Issuing Lender. In the event of any conflict between this Agreement and any Letter of Credit Document other than any Letter of Credit, this Agreement shall control. All Existing Letters of Credit shall be deemed to have been issued pursuant hereto, and from and after the Effective Date shall be subject to and governed by the terms and conditions hereof.</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Conditions to Issuance</w:t>
      </w:r>
    </w:p>
    <w:p>
      <w:pPr>
        <w:spacing w:after="0" w:line="179" w:lineRule="exact"/>
        <w:rPr>
          <w:sz w:val="20"/>
          <w:szCs w:val="20"/>
          <w:color w:val="auto"/>
        </w:rPr>
      </w:pPr>
    </w:p>
    <w:p>
      <w:pPr>
        <w:ind w:right="20" w:firstLine="8"/>
        <w:spacing w:after="0" w:line="236" w:lineRule="auto"/>
        <w:tabs>
          <w:tab w:leader="none" w:pos="10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Letter of Credit shall be issued (including the </w:t>
      </w:r>
      <w:r>
        <w:rPr>
          <w:rFonts w:ascii="Times New Roman" w:cs="Times New Roman" w:eastAsia="Times New Roman" w:hAnsi="Times New Roman"/>
          <w:sz w:val="22"/>
          <w:szCs w:val="22"/>
          <w:color w:val="FF0000"/>
          <w:strike w:val="1"/>
        </w:rPr>
        <w:t>renewal or</w:t>
      </w:r>
      <w:r>
        <w:rPr>
          <w:rFonts w:ascii="Times New Roman" w:cs="Times New Roman" w:eastAsia="Times New Roman" w:hAnsi="Times New Roman"/>
          <w:sz w:val="22"/>
          <w:szCs w:val="22"/>
          <w:color w:val="auto"/>
        </w:rPr>
        <w:t xml:space="preserve"> extension of any Letter of Credit previously issued) at the request and for the account of Borrower unless, as of the date of issuance (</w:t>
      </w:r>
      <w:r>
        <w:rPr>
          <w:rFonts w:ascii="Times New Roman" w:cs="Times New Roman" w:eastAsia="Times New Roman" w:hAnsi="Times New Roman"/>
          <w:sz w:val="22"/>
          <w:szCs w:val="22"/>
          <w:color w:val="FF0000"/>
          <w:strike w:val="1"/>
        </w:rPr>
        <w:t>or renewal</w:t>
      </w:r>
      <w:r>
        <w:rPr>
          <w:rFonts w:ascii="Times New Roman" w:cs="Times New Roman" w:eastAsia="Times New Roman" w:hAnsi="Times New Roman"/>
          <w:sz w:val="22"/>
          <w:szCs w:val="22"/>
          <w:color w:val="auto"/>
        </w:rPr>
        <w:t xml:space="preserve"> or extension) of such Letter of Credit: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Letter of Credit requested, (i) the Letter of Credit Obligations do not exceed the Letter of Credit Maximum Amount; and (ii) the Aggregate Credit Exposure does not exceed the Revolving Credit Aggregate Commitment;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Credit Parties contained in this Agreement and the other Loan Documents are true and correct in all material respects and shall be true and correct in all material respects as of date of the issuance of such Letter of Credit (both before and immediately after the issuance of such Letter of Credit), other than any representation or warranty that expressly speaks only as of a different date;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Default or Event of Default in existence, and none will exist upon the issuance of such Letter of</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Credit;</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17" w:lineRule="auto"/>
        <w:tabs>
          <w:tab w:leader="none" w:pos="195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delivered to the applicable Issuing Lender at its Issuing Office, not less than three (3) Business Days prior to the requested date for issuance (or such shorter time as the applicable Issuing Lender, in its sole discretion, may permit), the Letter of Credit Agreement related thereto, together with such other documents and materials as may be reasonably required pursuant to the terms thereof, and the terms of the proposed Letter of Credit shall be reasonably satisfactory to the applicable Issuing Lender;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to the applicable Issuing Lender of the Letter of Credit Agreement pursuant to clause (d) above, Borrower shall have delivered to the Administrative Agent notice of the request for such Letter of Credit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or in such other form reasonably acceptable to the Administrative Agent, together with a copy of the Letter of Credit Agreement delivered to the applicable Issuing Lender in respect of such Letter of Credit;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order, judgment or decree of any court, arbitrator or Governmental Authority shall purport by its terms to enjoin or restrain the applicable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240"/>
          </w:cols>
          <w:pgMar w:left="320" w:top="1395" w:right="339" w:bottom="1440" w:gutter="0" w:footer="0" w:header="0"/>
        </w:sectPr>
      </w:pPr>
    </w:p>
    <w:bookmarkStart w:id="114" w:name="page115"/>
    <w:bookmarkEnd w:id="114"/>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 xml:space="preserve">from issuing the Letter of Credit requested, or any Revolving Credit Lender from taking its participation interest therein in accordance with the terms of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and no law, rule, regulation, request or directive (whether or not having the force of law) shall prohibit the applicable Issuing Lender from issuing, or any Revolving Credit Lender from acquiring a participation in, the Letter of Credit requested or letters of credit generally;</w:t>
      </w:r>
    </w:p>
    <w:p>
      <w:pPr>
        <w:spacing w:after="0" w:line="152" w:lineRule="exact"/>
        <w:rPr>
          <w:sz w:val="20"/>
          <w:szCs w:val="20"/>
          <w:color w:val="auto"/>
        </w:rPr>
      </w:pPr>
    </w:p>
    <w:p>
      <w:pPr>
        <w:jc w:val="both"/>
        <w:ind w:left="660" w:firstLine="644"/>
        <w:spacing w:after="0" w:line="212" w:lineRule="auto"/>
        <w:tabs>
          <w:tab w:leader="none" w:pos="195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after the Effective Date, there shall have been (i) no introduction of or change in the interpretation of any law or regulation, (ii) no declaration of a general banking moratorium by banking authorities in the United States, Texas or the respective jurisdictions in which the Revolving Credit Lenders, Borrower and the beneficiary of the requested Letter of Credit are located, and (iii) no establishment of any new restrictions by any central bank or other Governmental Authority on transactions involving letters of credit or on banks generally that, in any case described in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would make it unlawful for the applicable Issuing Lender to issue or any Revolving Credit Lender to acquire its participation interest in accordance with the terms of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in the requested Letter of Credit or letters of credit generally;</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Revolving Credit Lender is a Defaulting Lender, the applicable Issuing Lender has entered into arrangements satisfactory to it to eliminate the Fronting Exposure with respect to the participation in the Letter of Credit Obligations by such Defaulting Lender, including creation by such Defaulting Lender of a cash collateral account on terms reasonably satisfactory to Administrative Agent or delivery of other security by such Defaulting Lender to assure payment of such Defaulting Lender’s Revolving Credit Percentage of all outstanding Letter of Credit Obligations; and</w:t>
      </w:r>
    </w:p>
    <w:p>
      <w:pPr>
        <w:spacing w:after="0" w:line="153" w:lineRule="exact"/>
        <w:rPr>
          <w:rFonts w:ascii="Times New Roman" w:cs="Times New Roman" w:eastAsia="Times New Roman" w:hAnsi="Times New Roman"/>
          <w:sz w:val="21"/>
          <w:szCs w:val="21"/>
          <w:color w:val="auto"/>
        </w:rPr>
      </w:pPr>
    </w:p>
    <w:p>
      <w:pPr>
        <w:ind w:left="660" w:firstLine="644"/>
        <w:spacing w:after="0" w:line="236" w:lineRule="auto"/>
        <w:tabs>
          <w:tab w:leader="none" w:pos="19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Issuing Lender shall have received the issuance fees required in connection with the issuance of such Letter of Credit pursuant to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Each Letter of Credit Agreement submitted to an Issuing Lender pursuant hereto shall constitute the certification by Borrower of the matters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Notice</w:t>
      </w:r>
    </w:p>
    <w:p>
      <w:pPr>
        <w:spacing w:after="0" w:line="179" w:lineRule="exact"/>
        <w:rPr>
          <w:sz w:val="20"/>
          <w:szCs w:val="20"/>
          <w:color w:val="auto"/>
        </w:rPr>
      </w:pPr>
    </w:p>
    <w:p>
      <w:pPr>
        <w:jc w:val="both"/>
        <w:ind w:firstLine="8"/>
        <w:spacing w:after="0" w:line="220" w:lineRule="auto"/>
        <w:tabs>
          <w:tab w:leader="none" w:pos="10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Issuing Lender shall deliver to Administrative Agent, concurrently with or promptly following its issuance of any Letter of Credit, a true and complete copy of each Letter of Credit. Promptly upon its receipt thereof, Administrative Agent shall give notice to each Revolving Credit Lender of the issuance of each Letter of Credit, specifying the amount thereof and the amount of such Revolving Credit Lender’s Revolving Credit Percentage thereof.</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Letter of Credit Fees; Increased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letter of credit fees as follows: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per annum letter of credit fee with respect to the undrawn amount of each Letter of Credit issued pursuant hereto (based on the amount of each Letter of Credit) in the amount of the Applicable Fee Percentage (determined with reference to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to this Agreement) shall be paid to Administrative Agent for distribution to the Revolving Credit Lenders in accordance with their Revolving Credit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240"/>
          </w:cols>
          <w:pgMar w:left="320" w:top="1395" w:right="339" w:bottom="1440" w:gutter="0" w:footer="0" w:header="0"/>
        </w:sectPr>
      </w:pPr>
    </w:p>
    <w:bookmarkStart w:id="115" w:name="page116"/>
    <w:bookmarkEnd w:id="115"/>
    <w:p>
      <w:pPr>
        <w:ind w:left="1300" w:firstLine="652"/>
        <w:spacing w:after="0" w:line="236" w:lineRule="auto"/>
        <w:tabs>
          <w:tab w:leader="none" w:pos="259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of credit facing fee on the face amount of each Letter of Credit shall be paid to the appropriate Issuing Lender for its own account, in accordance with the terms of the Fee Letter.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by Borrower to Administrative Agent for distribution to any Issuing Lender or the Revolving Credit Lenders under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shall be made in Dollars in immediately available funds at the Issuing Office or such other office of Administrative Agent as may be designated from time to time by written notice to Borrower by Administrative Agent. The fees described in </w:t>
      </w:r>
      <w:r>
        <w:rPr>
          <w:rFonts w:ascii="Times New Roman" w:cs="Times New Roman" w:eastAsia="Times New Roman" w:hAnsi="Times New Roman"/>
          <w:sz w:val="22"/>
          <w:szCs w:val="22"/>
          <w:u w:val="single" w:color="auto"/>
          <w:color w:val="auto"/>
        </w:rPr>
        <w:t>clauses (a)(i)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(i) shall be nonrefundable under all circumstances, (ii) in the case of fees due under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above, shall be payable quarterly in arrears on the last day of each March, June, September and December and on the Revolving Credit Maturity Date and (iii) in the case of fees due under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shall be payable upon the issuance of such Letter of Credit and quarterly in arrears thereafter and on the Revolving Credit Maturity Date. The fees due under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above shall be determined by multiplying the Applicable Fee Percentage times the undrawn amount of the face amount of each such Letter of Credit on the date of determination, and shall be calculated on the basis of a 360 day year and assessed for the actual number of days from the date of the issuance thereof to the stated expiration thereof. The parties hereto acknowledge that, unless the applicable Issuing Lender otherwise agrees, any material amendment and any extension to a Letter of Credit issued hereunder shall be treated as a new Letter of Credit for the purposes of the letter of credit facing fee.</w:t>
      </w:r>
    </w:p>
    <w:p>
      <w:pPr>
        <w:spacing w:after="0" w:line="16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Change in Law shall either (i) impose, modify or cause to be deemed applicable any reserve, special deposit, limitation or similar requirement against letters of credit issued or participated in by, or assets held by, or deposits in or for the account of, any Issuing Lender or any Revolving Credit Lender or (ii) impose on any Issuing Lender or any Revolving Credit Lender any other condition regarding this Agreement, the Letters of Credit or any participations in such Letters of Credit, and the result of any event referred to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shall be to increase the cost or expense to such Issuing Lender or such Revolving Credit Lender of issuing or maintaining or participating in any of the Letters of Credit (which increase in cost or expense shall be determined by such Issuing Lender’s or such Revolving Credit Lender’s reasonable allocation of the aggregate of such cost increases and expenses resulting from such events), then, upon demand by such Issuing Lender or such Revolving Credit Lender, as the case may be, Borrower shall, within thirty (30) days following demand for payment, pay to such Issuing Lender or such Revolving Credit Lender, as the case may be, from time to time as specified by such Issuing Lender or such Revolving Credit Lender, additional amounts which shall be sufficient to compensate such Issuing Lender or such Revolving Credit Lender for such increased cost and expense,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Issuing Lender or such Revolving Credit Lender could take any reasonable action, without cost or administrative or other burden or restriction to such Lender, to mitigate or eliminate such cost or expense, it agrees to do so within a reasonable time after becoming aware of the foregoing matters. Each demand for payment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3.4(c)</w:t>
      </w:r>
      <w:r>
        <w:rPr>
          <w:rFonts w:ascii="Times New Roman" w:cs="Times New Roman" w:eastAsia="Times New Roman" w:hAnsi="Times New Roman"/>
          <w:sz w:val="21"/>
          <w:szCs w:val="21"/>
          <w:color w:val="auto"/>
        </w:rPr>
        <w:t xml:space="preserve"> shall be accompanied by a certificate of the applicable Issuing Lender or the applicable Revolving Credit Lender setting forth the amount of such increased cost or expense incurred by such Issuing Lender or such Revolving Credit Lender, as the case may be, as a result of any event mentioned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and in reasonable detail, the methodology for calculating and the calculation of such amount, which certificate shall be prepared in good faith and shall be conclusive evidence, absent manifest error, as to the amount thereof.</w:t>
      </w:r>
    </w:p>
    <w:p>
      <w:pPr>
        <w:spacing w:after="0" w:line="169" w:lineRule="exact"/>
        <w:rPr>
          <w:rFonts w:ascii="Times New Roman" w:cs="Times New Roman" w:eastAsia="Times New Roman" w:hAnsi="Times New Roman"/>
          <w:sz w:val="21"/>
          <w:szCs w:val="21"/>
          <w:color w:val="auto"/>
        </w:rPr>
      </w:pPr>
    </w:p>
    <w:p>
      <w:pPr>
        <w:ind w:left="660" w:firstLine="644"/>
        <w:spacing w:after="0" w:line="236" w:lineRule="auto"/>
        <w:tabs>
          <w:tab w:leader="none" w:pos="19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w:t>
      </w:r>
      <w:r>
        <w:rPr>
          <w:rFonts w:ascii="Times New Roman" w:cs="Times New Roman" w:eastAsia="Times New Roman" w:hAnsi="Times New Roman"/>
          <w:sz w:val="22"/>
          <w:szCs w:val="22"/>
          <w:u w:val="single" w:color="auto"/>
          <w:color w:val="auto"/>
        </w:rPr>
        <w:t>Section 3.4(c)</w:t>
      </w:r>
      <w:r>
        <w:rPr>
          <w:rFonts w:ascii="Times New Roman" w:cs="Times New Roman" w:eastAsia="Times New Roman" w:hAnsi="Times New Roman"/>
          <w:sz w:val="22"/>
          <w:szCs w:val="22"/>
          <w:color w:val="auto"/>
        </w:rPr>
        <w:t>, Borrower shall not be required to reimburse or pay any costs or expenses to any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40"/>
          </w:cols>
          <w:pgMar w:left="320" w:top="1395" w:right="339" w:bottom="1440" w:gutter="0" w:footer="0" w:header="0"/>
        </w:sectPr>
      </w:pPr>
    </w:p>
    <w:bookmarkStart w:id="116" w:name="page117"/>
    <w:bookmarkEnd w:id="116"/>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 xml:space="preserve">Lender or any Revolving Credit Lender as required by </w:t>
      </w:r>
      <w:r>
        <w:rPr>
          <w:rFonts w:ascii="Times New Roman" w:cs="Times New Roman" w:eastAsia="Times New Roman" w:hAnsi="Times New Roman"/>
          <w:sz w:val="22"/>
          <w:szCs w:val="22"/>
          <w:u w:val="single" w:color="auto"/>
          <w:color w:val="auto"/>
        </w:rPr>
        <w:t>Section 3.4(c)</w:t>
      </w:r>
      <w:r>
        <w:rPr>
          <w:rFonts w:ascii="Times New Roman" w:cs="Times New Roman" w:eastAsia="Times New Roman" w:hAnsi="Times New Roman"/>
          <w:sz w:val="22"/>
          <w:szCs w:val="22"/>
          <w:color w:val="auto"/>
        </w:rPr>
        <w:t xml:space="preserve"> which have accrued more than 180 days prior to such Lender’s giving notice to Borrower that such Lender has suffered or incurred such costs or expenses. None of the Lenders shall be permitted to pass through to Borrower costs and expenses under </w:t>
      </w:r>
      <w:r>
        <w:rPr>
          <w:rFonts w:ascii="Times New Roman" w:cs="Times New Roman" w:eastAsia="Times New Roman" w:hAnsi="Times New Roman"/>
          <w:sz w:val="22"/>
          <w:szCs w:val="22"/>
          <w:u w:val="single" w:color="auto"/>
          <w:color w:val="auto"/>
        </w:rPr>
        <w:t>Section 3.4(c)</w:t>
      </w:r>
      <w:r>
        <w:rPr>
          <w:rFonts w:ascii="Times New Roman" w:cs="Times New Roman" w:eastAsia="Times New Roman" w:hAnsi="Times New Roman"/>
          <w:sz w:val="22"/>
          <w:szCs w:val="22"/>
          <w:color w:val="auto"/>
        </w:rPr>
        <w:t xml:space="preserve"> which are not also passed through by such Lender to other customers of such Lender similarly situated when such customer is subject to documents containing substantively similar provisions as those contained in this Section.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Other Fees</w:t>
      </w:r>
    </w:p>
    <w:p>
      <w:pPr>
        <w:spacing w:after="0" w:line="179" w:lineRule="exact"/>
        <w:rPr>
          <w:sz w:val="20"/>
          <w:szCs w:val="20"/>
          <w:color w:val="auto"/>
        </w:rPr>
      </w:pPr>
    </w:p>
    <w:p>
      <w:pPr>
        <w:jc w:val="both"/>
        <w:ind w:firstLine="8"/>
        <w:spacing w:after="0" w:line="220" w:lineRule="auto"/>
        <w:tabs>
          <w:tab w:leader="none" w:pos="10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Letters of Credit, and in addition to the Letter of Credit Fees, Borrower shall pay, for the sole account of the applicable Issuing Lender, standard documentation, administration, payment and cancellation charges assessed by such Issuing Lender or the Issuing Office, at the times, in the amounts and on the terms set forth or to be set forth from time to time in the standard fee schedule of the Issuing Office in effect from time to time.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Participation Interests in and Drawings and Demands for Payment Under Letters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issuance by an Issuing Lender of each Letter of Credit hereunder, each Revolving Credit Lender shall automatically acquire a pro rata participation interest in such Letter of Credit and each related Letter of Credit Payment based on its respective Revolving Credit Percentage.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9" w:lineRule="auto"/>
        <w:tabs>
          <w:tab w:leader="none" w:pos="1951"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Issuing Lender shall honor a draft or other demand for payment presented or made under any Letter of Credit, Borrower agrees to pay to such Issuing Lender an amount equal to the amount paid by such Issuing Lender in respect of such draft or other demand under such Letter of Credit and all reasonable expenses paid or incurred by Administrative Agent relative thereto not later than 1:00 p.m. (New York time), in Dollars, on (i) the Business Day that Borrower received notice of such presentment and honor, if such notice is received prior to 11:00 a.m. (New York time) or</w:t>
      </w:r>
    </w:p>
    <w:p>
      <w:pPr>
        <w:spacing w:after="0" w:line="2" w:lineRule="exact"/>
        <w:rPr>
          <w:rFonts w:ascii="Times New Roman" w:cs="Times New Roman" w:eastAsia="Times New Roman" w:hAnsi="Times New Roman"/>
          <w:sz w:val="21"/>
          <w:szCs w:val="21"/>
          <w:color w:val="auto"/>
        </w:rPr>
      </w:pPr>
    </w:p>
    <w:p>
      <w:pPr>
        <w:ind w:left="660" w:hanging="4"/>
        <w:spacing w:after="0" w:line="225" w:lineRule="auto"/>
        <w:tabs>
          <w:tab w:leader="none" w:pos="9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Day immediately following the day that Borrower received such notice, if such notice is received after 11:00 a.m. (New York time).</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Issuing Lender shall honor a draft or other demand for payment presented or made under any Letter of Credit, but Borrower does not reimburse such Issuing Lender as required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and the Revolving Credit Aggregate Commitment has not been terminated (whether by maturity, acceleration or otherwise), Borrower shall be deemed to have immediately requested that the Revolving Credit Lenders make </w:t>
      </w:r>
      <w:r>
        <w:rPr>
          <w:rFonts w:ascii="Times New Roman" w:cs="Times New Roman" w:eastAsia="Times New Roman" w:hAnsi="Times New Roman"/>
          <w:sz w:val="22"/>
          <w:szCs w:val="22"/>
          <w:color w:val="FF0000"/>
          <w:strike w:val="1"/>
        </w:rPr>
        <w:t>a Base Rate</w:t>
      </w:r>
      <w:r>
        <w:rPr>
          <w:rFonts w:ascii="Times New Roman" w:cs="Times New Roman" w:eastAsia="Times New Roman" w:hAnsi="Times New Roman"/>
          <w:sz w:val="22"/>
          <w:szCs w:val="22"/>
          <w:u w:val="single" w:color="auto"/>
          <w:color w:val="0000FF"/>
        </w:rPr>
        <w:t>an ABR</w:t>
      </w:r>
      <w:r>
        <w:rPr>
          <w:rFonts w:ascii="Times New Roman" w:cs="Times New Roman" w:eastAsia="Times New Roman" w:hAnsi="Times New Roman"/>
          <w:sz w:val="22"/>
          <w:szCs w:val="22"/>
          <w:color w:val="auto"/>
        </w:rPr>
        <w:t xml:space="preserve"> Advance of the Revolving Credit (which Advance may be subsequently converted at any time into a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in the principal amount equal to the amount paid by such Issuing Lender in respect of such draft or other demand under such Letter of Credit and all reasonable expenses paid or incurred by Administrative Agent relative thereto. Administrative Agent will promptly notify the Revolving Credit Lenders of such deemed request, and each such Lender shall make available to Administrative Agent an amount equal to its pro rata share (based on its Revolving Credit Percentage) of the amount of such Advance.</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Issuing Lender shall honor a draft or other demand for payment presented or made under any Letter of Credit, but Borrower does not reimburse such Issuing Lender as required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and (i) the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240"/>
          </w:cols>
          <w:pgMar w:left="320" w:top="1395" w:right="339" w:bottom="1440" w:gutter="0" w:footer="0" w:header="0"/>
        </w:sectPr>
      </w:pPr>
    </w:p>
    <w:bookmarkStart w:id="117" w:name="page118"/>
    <w:bookmarkEnd w:id="117"/>
    <w:p>
      <w:pPr>
        <w:jc w:val="both"/>
        <w:ind w:left="660"/>
        <w:spacing w:after="0" w:line="209" w:lineRule="auto"/>
        <w:rPr>
          <w:sz w:val="20"/>
          <w:szCs w:val="20"/>
          <w:color w:val="auto"/>
        </w:rPr>
      </w:pPr>
      <w:r>
        <w:rPr>
          <w:rFonts w:ascii="Times New Roman" w:cs="Times New Roman" w:eastAsia="Times New Roman" w:hAnsi="Times New Roman"/>
          <w:sz w:val="22"/>
          <w:szCs w:val="22"/>
          <w:color w:val="auto"/>
        </w:rPr>
        <w:t>Aggregate Commitment has been terminated (whether by maturity, acceleration or otherwise), or (ii) any reimbursement received by such Issuing Lender from Borrower is or must be returned or rescinded upon or during any bankruptcy or reorganization of any Credit Party or otherwise, then Administrative Agent shall notify each Revolving Credit Lender, and each Revolving Credit Lender will be obligated to pay Administrative Agent for the account of such Issuing Lender its pro rata share (based on its Revolving Credit Percentage) of the amount paid by such Issuing Lender in respect of such draft or other demand under such Letter of Credit and all reasonable expenses paid or incurred by Administrative Agent relative thereto (but no such payment shall diminish the obligations of Borrower hereunder). To the extent that a Revolving Credit Lender fails to make such amount available to Administrative Agent by 11:00 a.m. (New York time) on the Business Day next succeeding the date such notice is given, such Revolving Credit Lender shall pay interest on such amount in respect of each day from the date such amount was required to be paid, to the date paid to Administrative Agent, at a rate per annum equal to the Federal Funds Effective Rate. The failure of any Revolving Credit Lender to make its pro rata portion of any such amount available under to Administrative Agent shall not relieve any other Revolving Credit Lender of its obligation to make available its pro rata portion of such amount, but no Revolving Credit Lender shall be responsible for failure of any other Revolving Credit Lender to make such pro rata portion available to Administrative Agent.</w:t>
      </w:r>
    </w:p>
    <w:p>
      <w:pPr>
        <w:spacing w:after="0" w:line="151" w:lineRule="exact"/>
        <w:rPr>
          <w:sz w:val="20"/>
          <w:szCs w:val="20"/>
          <w:color w:val="auto"/>
        </w:rPr>
      </w:pPr>
    </w:p>
    <w:p>
      <w:pPr>
        <w:jc w:val="both"/>
        <w:ind w:left="660" w:firstLine="644"/>
        <w:spacing w:after="0" w:line="217" w:lineRule="auto"/>
        <w:tabs>
          <w:tab w:leader="none" w:pos="195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Advance made under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each such Advance shall be disbursed notwithstanding any failure to satisfy any conditions for disbursement of any Advance set forth in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and, to the extent of the Advance so disbursed, the Reimbursement Obligation of Borrower to Administrative Agent under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shall be deemed satisfied (unless, in each case, taking into account any such deemed Advances, the Aggregate Credit Exposure exceeds the then applicable Revolving Credit Aggregate Commitment).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Issuing Lender shall honor a draft or other demand for payment presented or made under any Letter of Credit, Such Issuing Lender shall provide notice thereof to Borrower on the date such draft or demand is honored, and to each Revolving Credit Lender on such date unless Borrower shall have satisfied its reimbursement obligations by payment to Administrative Agent (for the benefit of Such Issuing Lender) as required under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Each Issuing Lender shall further use reasonable efforts to provide notice to Borrower prior to honoring any such draft or other demand for payment, but such notice, or the failure to provide such notice, shall not affect the rights or obligations of such Issuing Lender with respect to any Letter of Credit or the rights and obligations of the parties hereto, including without limitation the obligations of Borrower under this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be construed to require or authorize any Revolving Credit Lender to issue any Letter of Credit, it being recognized that the Issuing Lenders shall be the sole issuer of Letters of Credit under this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Revolving Credit Lender becomes a Defaulting Lender, and the reallocation of Fronting Exposure pursuant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cannot be achieved, each Issuing Lender may, at its option, require that Borrower enter into arrangements satisfactory to such Issuing Lender to eliminate the Fronting Exposure with respect to the participation in the Letter of Credit Obligations by such Defaulting Lender, including creation of a cash collateral account on terms reasonably satisfactory to Administrative Agent or delivery of other security to assure payment of such Defaulting Lender’s Revolving Credit Percentage of all outstanding Letter of Credit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240"/>
          </w:cols>
          <w:pgMar w:left="320" w:top="1395" w:right="339" w:bottom="1440" w:gutter="0" w:footer="0" w:header="0"/>
        </w:sectPr>
      </w:pPr>
    </w:p>
    <w:bookmarkStart w:id="118" w:name="page119"/>
    <w:bookmarkEnd w:id="118"/>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Obligations Irrevocable and Absolute</w:t>
      </w:r>
    </w:p>
    <w:p>
      <w:pPr>
        <w:spacing w:after="0" w:line="179" w:lineRule="exact"/>
        <w:rPr>
          <w:sz w:val="20"/>
          <w:szCs w:val="20"/>
          <w:color w:val="auto"/>
        </w:rPr>
      </w:pPr>
    </w:p>
    <w:p>
      <w:pPr>
        <w:jc w:val="both"/>
        <w:ind w:firstLine="8"/>
        <w:spacing w:after="0" w:line="225" w:lineRule="auto"/>
        <w:tabs>
          <w:tab w:leader="none" w:pos="14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Borrower to make payments to Administrative Agent for the account of each Issuing Lender or the Revolving Credit Lenders with respect to Letter of Credit Obligations under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shall be unconditional, irrevocable and absolute and not subject to any qualification or exception whatsoever, including, without limitation: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Letter of Credit, any Letter of Credit Agreement, any other documentation relating to any Letter of Credit, this Agreement or any of the other Loan Documents (the “</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modification, waiver, consent, or any substitution, exchange or release of or failure to perfect any interest in collateral or security, with respect to or under any Letter of Credit Document;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defense or other right which Borrower may have at any time against any beneficiary or any transferee of any Letter of Credit (or any persons or entities for whom any such beneficiary or any such transferee may be acting), Administrative Agent, the Issuing Lenders or any Revolving Credit Lender or any other Person, whether in connection with this Agreement, any of the Letter of Credit Documents, the transactions contemplated herein or therein or any unrelated transactions;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or other statement or document presented under any Letter of Credit proving to be forged, fraudulent, invalid or insufficient in any respect or any statement therein being untrue or inaccurate in any respect;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the Issuing Lenders to the beneficiary under any Letter of Credit against presentation of documents which do not comply with the terms of such Letter of Credit, including failure of any documents to bear any reference or adequate reference to such Letter of Credit;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omission, delay or lack on the part of Administrative Agent, any Issuing Lender or any Revolving Credit Lender or any party to any of the Letter of Credit Documents or any other Loan Document to enforce, assert or exercise any right, power or remedy conferred upon Administrative Agent, any Issuing Lender, any Revolving Credit Lender or any such party under this Agreement, any of the other Loan Documents or any of the Letter of Credit Documents, or any other acts or omissions on the part of Administrative Agent, any Issuing Lender, any Revolving Credit Lender or any such party;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or circumstance that would, in the absence of this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result in the release or discharge by operation of law or otherwise of Borrower from the performance or observance of any obligation, covenant or agreement contained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(other than the defense of payment or performance).</w:t>
      </w:r>
    </w:p>
    <w:p>
      <w:pPr>
        <w:spacing w:after="0" w:line="15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No setoff, counterclaim, reduction or diminution of any obligation or any defense of any kind or nature which Borrower has or may have against the beneficiary of any Letter of Credit shall be available hereunder to Borrower against Administrative Agent, any Issuing Lender or any Revolving Credit Lender. With respect to any Letter of Credit, nothing contained in this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shall be deemed to prevent Borrower, after satisfaction in full of the absolute and unconditional obligations of Borrower hereunder with respect to such Letter of Credit, from asserting in a separate action any claim, defense, set off or other right which it may have against Administrative Agent, any Issuing Lender or any Revolving Credit Lender in connection with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240"/>
          </w:cols>
          <w:pgMar w:left="320" w:top="1395" w:right="339" w:bottom="1440" w:gutter="0" w:footer="0" w:header="0"/>
        </w:sectPr>
      </w:pPr>
    </w:p>
    <w:bookmarkStart w:id="119" w:name="page120"/>
    <w:bookmarkEnd w:id="119"/>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Risk Under Letters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administration and handling of Letters of Credit and any security therefor, or any documents or instruments given in connection therewith, each Issuing Lender shall have the sole right to take or refrain from taking any and all actions under or upon the Letters of Credit.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other terms and conditions of this Agreement, each Issuing Lender shall issue the Letters of Credit and shall hold the documents related thereto in its own name and shall make all collections thereunder and otherwise administer the Letters of Credit in accordance with such Issuing Lender’s regularly established practices and procedures and will have no further obligation with respect thereto. In the administration of Letters of Credit, no Issuing Lender shall be liable for any action taken or omitted on the advice of counsel, accountants, appraisers or other experts selected by such Issuing Lender with due care and such Issuing Lender may rely upon any notice, communication, certificate or other statement from Borrower, beneficiaries of Letters of Credit, or any other Person which such Issuing Lender believes to be authentic. Each Issuing Lender will, upon request, furnish the Revolving Credit Lenders with copies of Letter of Credit Documents related thereto.</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issuance and administration of Letters of Credit and the assignments hereunder, the Issuing Lenders make no representation and shall have no responsibility with respect to (i) the obligations of Borrower or the validity, sufficiency or enforceability of any document or instrument given in connection therewith, or the taking of any action with respect to same, (ii) the financial condition of, any representations made by, or any act or omission of Borrower or any other Person, or (iii) any failure or delay in exercising any rights or powers possessed by the Issuing Lenders in their capacity as issuers of Letters of Credit in the absence of its gross negligence or willful misconduct. Each of the Revolving Credit Lenders expressly acknowledges that it has made and will continue to make its own evaluations of Borrower’s creditworthiness without reliance on any representation of any Issuing Lender or such Issuing Lender’s officers, agents and employees.</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any Issuing Lender shall recover any part of any unreimbursed amount for any draw or other demand for payment under a Letter of Credit, or any interest thereon, Administrative Agent or such Issuing Lender, as the case may be, shall receive same for the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benefit of the Revolving Credit Lenders in accordance with their respective Revolving Credit Percentages and shall promptly deliver to each Revolving Credit Lender its share thereof, less such Revolving Credit Lender’s pro rata share of the costs of such recovery, including court costs and attorney’s fees. If at any time any Revolving Credit Lender shall receive from any source whatsoever any payment on any such unreimbursed amount or interest thereon in excess of such Revolving Credit Lender’s Revolving Credit Percentage of such payment, such Revolving Credit Lender will promptly pay over such excess to Administrative Agent, for redistribution in accordance with this Agreement.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Indemnification</w:t>
      </w:r>
    </w:p>
    <w:p>
      <w:pPr>
        <w:spacing w:after="0" w:line="179" w:lineRule="exact"/>
        <w:rPr>
          <w:sz w:val="20"/>
          <w:szCs w:val="20"/>
          <w:color w:val="auto"/>
        </w:rPr>
      </w:pPr>
    </w:p>
    <w:p>
      <w:pPr>
        <w:jc w:val="both"/>
        <w:ind w:firstLine="8"/>
        <w:spacing w:after="0" w:line="220" w:lineRule="auto"/>
        <w:tabs>
          <w:tab w:leader="none" w:pos="18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hereby indemnifies and agrees to hold harmless the Revolving Credit Lenders, each Issuing Lender and Administrative Agent and their respective Affiliates, and the respective officers, directors, employees and agents of such Persons (each an “</w:t>
      </w:r>
      <w:r>
        <w:rPr>
          <w:rFonts w:ascii="Times New Roman" w:cs="Times New Roman" w:eastAsia="Times New Roman" w:hAnsi="Times New Roman"/>
          <w:sz w:val="22"/>
          <w:szCs w:val="22"/>
          <w:u w:val="single" w:color="auto"/>
          <w:color w:val="auto"/>
        </w:rPr>
        <w:t>L/C Indemnified Person</w:t>
      </w:r>
      <w:r>
        <w:rPr>
          <w:rFonts w:ascii="Times New Roman" w:cs="Times New Roman" w:eastAsia="Times New Roman" w:hAnsi="Times New Roman"/>
          <w:sz w:val="22"/>
          <w:szCs w:val="22"/>
          <w:color w:val="auto"/>
        </w:rPr>
        <w:t>”), from and against any and all claims, damages, losses, liabilities, costs or expenses of any kind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240"/>
          </w:cols>
          <w:pgMar w:left="320" w:top="1395" w:right="339" w:bottom="1440" w:gutter="0" w:footer="0" w:header="0"/>
        </w:sectPr>
      </w:pPr>
    </w:p>
    <w:bookmarkStart w:id="120" w:name="page121"/>
    <w:bookmarkEnd w:id="120"/>
    <w:p>
      <w:pPr>
        <w:jc w:val="both"/>
        <w:spacing w:after="0" w:line="225" w:lineRule="auto"/>
        <w:rPr>
          <w:sz w:val="20"/>
          <w:szCs w:val="20"/>
          <w:color w:val="auto"/>
        </w:rPr>
      </w:pPr>
      <w:r>
        <w:rPr>
          <w:rFonts w:ascii="Times New Roman" w:cs="Times New Roman" w:eastAsia="Times New Roman" w:hAnsi="Times New Roman"/>
          <w:sz w:val="22"/>
          <w:szCs w:val="22"/>
          <w:color w:val="auto"/>
        </w:rPr>
        <w:t>nature whatsoever which the Revolving Credit Lenders, the Issuing Lenders or Administrative Agent or any such Person may incur or which may be claimed against any of them by reason of or in connection with any Letter of Credit (collectively, the “</w:t>
      </w:r>
      <w:r>
        <w:rPr>
          <w:rFonts w:ascii="Times New Roman" w:cs="Times New Roman" w:eastAsia="Times New Roman" w:hAnsi="Times New Roman"/>
          <w:sz w:val="22"/>
          <w:szCs w:val="22"/>
          <w:u w:val="single" w:color="auto"/>
          <w:color w:val="auto"/>
        </w:rPr>
        <w:t>L/C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and none of the L/C Indemnified Persons shall be liable or responsible for:</w:t>
      </w:r>
    </w:p>
    <w:p>
      <w:pPr>
        <w:spacing w:after="0" w:line="152" w:lineRule="exact"/>
        <w:rPr>
          <w:sz w:val="20"/>
          <w:szCs w:val="20"/>
          <w:color w:val="auto"/>
        </w:rPr>
      </w:pPr>
    </w:p>
    <w:p>
      <w:pPr>
        <w:ind w:left="660" w:right="20" w:firstLine="644"/>
        <w:spacing w:after="0" w:line="236" w:lineRule="auto"/>
        <w:tabs>
          <w:tab w:leader="none" w:pos="195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which may be made of any Letter of Credit or for any acts or omissions of any beneficiary in connection therewith;</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sufficiency or genuineness of documents or of any endorsement thereon, even if such documents should in fact prove to be in any or all respects invalid, insufficient, fraudulent or forged;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by any Issuing Lender to the beneficiary under any Letter of Credit against presentation of documents which do not strictly comply with the terms of any Letter of Credit (unless such payment resulted from the gross negligence or willful misconduct of such Issuing Lender), including failure of any documents to bear any reference or adequate reference to such Letter of Credit;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error, omission, interruption or delay in transmission, dispatch or delivery of any message or advice, however transmitted, in connection with any Letter of Credit (except for errors and omissions resulting from gross negligence or willful misconduct of the applicable Issuing Lender); or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or circumstance whatsoever arising in connection with any Letter of Credit.</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It is understood that in making any payment under a Letter of Credit, each Issuing Lender will rely on documents presented to it under such Letter of Credit as to any and all matters set forth therein without further investigation and regardless of any notice or information to the contrary.</w:t>
      </w:r>
    </w:p>
    <w:p>
      <w:pPr>
        <w:spacing w:after="0" w:line="15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With respect to </w:t>
      </w:r>
      <w:r>
        <w:rPr>
          <w:rFonts w:ascii="Times New Roman" w:cs="Times New Roman" w:eastAsia="Times New Roman" w:hAnsi="Times New Roman"/>
          <w:sz w:val="22"/>
          <w:szCs w:val="22"/>
          <w:u w:val="single" w:color="auto"/>
          <w:color w:val="auto"/>
        </w:rPr>
        <w:t>subparagraphs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hereof, (i) Borrower shall not be required to indemnify any L/C Indemnified Person for any L/C Indemnified Amounts to the extent such amounts result from (x) the gross negligence or willful misconduct of such L/C Indemnified Person or any officer, director, employee or agent of such L/C Indemnified Person or (y) matters arising solely by reason of claims between or among L/C Indemnified Persons and not relating to any action of such L/C Indemnified Person in its capacity as Administrative Agent or Issuing Lender, as applicable, and (ii) each of Administrative Agent, Lenders and the Issuing Lenders shall be liable to Borrower to the extent, but only to the extent, of any direct, as opposed to consequential or incidental, damages suffered by Borrower which were caused by the gross negligence or willful misconduct of such Person (including in the case of any Issuing Lender, any wrongful dishonor of any Letter of Credit after the presentation to it by the beneficiary thereunder of a draft or other demand for payment and other documentation strictly complying with the terms and conditions of such Letter of Credit).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Right of Reimbursement</w:t>
      </w:r>
    </w:p>
    <w:p>
      <w:pPr>
        <w:spacing w:after="0" w:line="179" w:lineRule="exact"/>
        <w:rPr>
          <w:sz w:val="20"/>
          <w:szCs w:val="20"/>
          <w:color w:val="auto"/>
        </w:rPr>
      </w:pPr>
    </w:p>
    <w:p>
      <w:pPr>
        <w:jc w:val="both"/>
        <w:ind w:firstLine="8"/>
        <w:spacing w:after="0" w:line="225" w:lineRule="auto"/>
        <w:tabs>
          <w:tab w:leader="none" w:pos="12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Credit Lender agrees to reimburse each Issuing Lender on demand, pro rata in accordance with its respective Revolving Credit Percentage, for (i) the reasonable out-of-pocket costs and expenses of such Issuing Lender to be reimbursed by Borrower pursuant to any Letter of Credit Agreement or any Letter of Credit, to the extent not reimbursed by Borrower or any other Credit Party and (ii) any and all liabilities, obligations, losses, damages, penalties, actions, judgments, suits, costs, fees, reasonable out-of-pocket expenses or disbursements of any kind and nature whatsoever which may be imposed on, incurred by or asserted against such Issuing Lender in any way relating to or arising out of this Agreement (including </w:t>
      </w:r>
      <w:r>
        <w:rPr>
          <w:rFonts w:ascii="Times New Roman" w:cs="Times New Roman" w:eastAsia="Times New Roman" w:hAnsi="Times New Roman"/>
          <w:sz w:val="21"/>
          <w:szCs w:val="21"/>
          <w:u w:val="single" w:color="auto"/>
          <w:color w:val="auto"/>
        </w:rPr>
        <w:t>Section 3.6(c)</w:t>
      </w:r>
      <w:r>
        <w:rPr>
          <w:rFonts w:ascii="Times New Roman" w:cs="Times New Roman" w:eastAsia="Times New Roman" w:hAnsi="Times New Roman"/>
          <w:sz w:val="21"/>
          <w:szCs w:val="21"/>
          <w:color w:val="auto"/>
        </w:rPr>
        <w: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240"/>
          </w:cols>
          <w:pgMar w:left="320" w:top="1395" w:right="339" w:bottom="1440" w:gutter="0" w:footer="0" w:header="0"/>
        </w:sectPr>
      </w:pPr>
    </w:p>
    <w:bookmarkStart w:id="121" w:name="page122"/>
    <w:bookmarkEnd w:id="121"/>
    <w:p>
      <w:pPr>
        <w:jc w:val="both"/>
        <w:spacing w:after="0" w:line="217" w:lineRule="auto"/>
        <w:rPr>
          <w:sz w:val="20"/>
          <w:szCs w:val="20"/>
          <w:color w:val="auto"/>
        </w:rPr>
      </w:pPr>
      <w:r>
        <w:rPr>
          <w:rFonts w:ascii="Times New Roman" w:cs="Times New Roman" w:eastAsia="Times New Roman" w:hAnsi="Times New Roman"/>
          <w:sz w:val="22"/>
          <w:szCs w:val="22"/>
          <w:color w:val="auto"/>
        </w:rPr>
        <w:t>Letter of Credit, any documentation or any transaction relating thereto, or any Letter of Credit Agreement, to the extent not reimbursed by Borrower, except to the extent that such liabilities, losses, costs or expenses were incurred by such Issuing Lender as a result of such Issuing Lender’s gross negligence or willful misconduct or by such Issuing Lender’s wrongful dishonor of any Letter of Credit after the presentation to it by the beneficiary thereunder of a draft or other demand for payment and other documentation strictly complying with the terms and conditions of such Letter of Credit.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0000FF"/>
        </w:rPr>
        <w:t>1.11</w:t>
      </w:r>
      <w:r>
        <w:rPr>
          <w:sz w:val="20"/>
          <w:szCs w:val="20"/>
          <w:color w:val="auto"/>
        </w:rPr>
        <w:tab/>
      </w:r>
      <w:r>
        <w:rPr>
          <w:rFonts w:ascii="Times New Roman" w:cs="Times New Roman" w:eastAsia="Times New Roman" w:hAnsi="Times New Roman"/>
          <w:sz w:val="21"/>
          <w:szCs w:val="21"/>
          <w:u w:val="single" w:color="auto"/>
          <w:color w:val="0000FF"/>
        </w:rPr>
        <w:t>Replacement of an Issuing Lender</w:t>
      </w:r>
    </w:p>
    <w:p>
      <w:pPr>
        <w:spacing w:after="0" w:line="179" w:lineRule="exact"/>
        <w:rPr>
          <w:sz w:val="20"/>
          <w:szCs w:val="20"/>
          <w:color w:val="auto"/>
        </w:rPr>
      </w:pPr>
    </w:p>
    <w:p>
      <w:pPr>
        <w:jc w:val="both"/>
        <w:ind w:firstLine="8"/>
        <w:spacing w:after="0" w:line="209" w:lineRule="auto"/>
        <w:tabs>
          <w:tab w:leader="none" w:pos="121" w:val="left"/>
        </w:tabs>
        <w:numPr>
          <w:ilvl w:val="0"/>
          <w:numId w:val="8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Any Issuing Lender may be replaced at any time (i) by written agreement among the Borrower, the Administrative Agent, the replaced Issuing Lender and the successor Issuing Lender or (ii) upon written request by the Borrower to the Administrative Agent if (A) the long term senior unsecured debt rating of such existing Issuing Lender falls below A- by S&amp;P and A3 by Moody’s and (B) an existing Lender (or Affiliate thereof) has a long term senior unsecured debt rating of at least A- by S&amp;P and A3 by Moody’s and such Lender (or Affiliate of a Lender) agrees to act as the replacement Issuing Lender hereunder. The Administrative Agent shall notify the Lenders of any such replacement of an Issuing Lender. At the time any such replacement shall become effective, the Borrower shall pay all unpaid fees accrued for the account of the replaced Issuing Lender pursuant to Sections 3.4 and 3.5, as applicable. From and after the effective date of any such replacement, (i) the successor Issuing Lender shall have all the rights and obligations of an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4. BORROWING 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Borrowing Base</w:t>
      </w:r>
    </w:p>
    <w:p>
      <w:pPr>
        <w:spacing w:after="0" w:line="179" w:lineRule="exact"/>
        <w:rPr>
          <w:sz w:val="20"/>
          <w:szCs w:val="20"/>
          <w:color w:val="auto"/>
        </w:rPr>
      </w:pPr>
    </w:p>
    <w:p>
      <w:pPr>
        <w:jc w:val="both"/>
        <w:ind w:firstLine="8"/>
        <w:spacing w:after="0" w:line="217" w:lineRule="auto"/>
        <w:tabs>
          <w:tab w:leader="none" w:pos="10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Borrowing Base</w:t>
      </w:r>
      <w:r>
        <w:rPr>
          <w:rFonts w:ascii="Times New Roman" w:cs="Times New Roman" w:eastAsia="Times New Roman" w:hAnsi="Times New Roman"/>
          <w:sz w:val="21"/>
          <w:szCs w:val="21"/>
          <w:color w:val="auto"/>
        </w:rPr>
        <w:t>” means, as of the date of determination thereof, the designated loan value as calculated by Lenders in their sole discretion assigned to the discounted present value of future net income accruing to the Borrowing Base Properties, based upon Lenders’ in-house evaluation of Borrowing Base Properties. The Lenders’ determination of the Borrowing Base will be made in accordance with then-current practices, economic and pricing parameters, methodology, assumptions, and customary procedures and standards established by each Lender from time to time for its petroleum industry customers including without limitation (a) an analysis of such reserves and production data with respect to the Hydrocarbon Interests of the Credit Parties in all of their Oil and Gas Properties, including the Mortgaged Properties, as is provided to Lenders in accordance herewith, (b) an analysis of the assets, liabilities, cash flow, business, properties, prospects, management and ownership of each Credit Party, and</w:t>
      </w:r>
    </w:p>
    <w:p>
      <w:pPr>
        <w:spacing w:after="0" w:line="5" w:lineRule="exact"/>
        <w:rPr>
          <w:rFonts w:ascii="Times New Roman" w:cs="Times New Roman" w:eastAsia="Times New Roman" w:hAnsi="Times New Roman"/>
          <w:sz w:val="21"/>
          <w:szCs w:val="21"/>
          <w:color w:val="auto"/>
        </w:rPr>
      </w:pPr>
    </w:p>
    <w:p>
      <w:pPr>
        <w:jc w:val="both"/>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(c) such other credit factors as each Lender customarily considers in evaluating similar oil and gas credits. Borrower acknowledges that the determination of the Borrowing Base contains an equity cushion (collateral value in excess of loan amount) which Borrower acknowledges to be essential for the adequate protection of Lenders. As of the </w:t>
      </w:r>
      <w:r>
        <w:rPr>
          <w:rFonts w:ascii="Times New Roman" w:cs="Times New Roman" w:eastAsia="Times New Roman" w:hAnsi="Times New Roman"/>
          <w:sz w:val="22"/>
          <w:szCs w:val="22"/>
          <w:color w:val="0000FF"/>
        </w:rPr>
        <w:t>First Amendment</w:t>
      </w:r>
      <w:r>
        <w:rPr>
          <w:rFonts w:ascii="Times New Roman" w:cs="Times New Roman" w:eastAsia="Times New Roman" w:hAnsi="Times New Roman"/>
          <w:sz w:val="22"/>
          <w:szCs w:val="22"/>
          <w:color w:val="auto"/>
        </w:rPr>
        <w:t xml:space="preserve"> Effective Date, the Borrowing Base shall be $</w:t>
      </w:r>
      <w:r>
        <w:rPr>
          <w:rFonts w:ascii="Times New Roman" w:cs="Times New Roman" w:eastAsia="Times New Roman" w:hAnsi="Times New Roman"/>
          <w:sz w:val="22"/>
          <w:szCs w:val="22"/>
          <w:color w:val="FF0000"/>
          <w:strike w:val="1"/>
        </w:rPr>
        <w:t>1,350,000,000</w:t>
      </w:r>
      <w:r>
        <w:rPr>
          <w:rFonts w:ascii="Times New Roman" w:cs="Times New Roman" w:eastAsia="Times New Roman" w:hAnsi="Times New Roman"/>
          <w:sz w:val="22"/>
          <w:szCs w:val="22"/>
          <w:u w:val="single" w:color="auto"/>
          <w:color w:val="0000FF"/>
        </w:rPr>
        <w:t>2,000,000,000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6086475</wp:posOffset>
            </wp:positionH>
            <wp:positionV relativeFrom="paragraph">
              <wp:posOffset>-167005</wp:posOffset>
            </wp:positionV>
            <wp:extent cx="10496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spacing w:after="0" w:line="13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Periodic Determinations of Borrowing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240"/>
          </w:cols>
          <w:pgMar w:left="320" w:top="1395" w:right="339" w:bottom="1440" w:gutter="0" w:footer="0" w:header="0"/>
        </w:sectPr>
      </w:pPr>
    </w:p>
    <w:bookmarkStart w:id="122" w:name="page123"/>
    <w:bookmarkEnd w:id="122"/>
    <w:p>
      <w:pPr>
        <w:jc w:val="both"/>
        <w:ind w:firstLine="8"/>
        <w:spacing w:after="0" w:line="220" w:lineRule="auto"/>
        <w:tabs>
          <w:tab w:leader="none" w:pos="10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Effective Date, the Borrowing Base shall be redetermined by Lenders as of May 1 and November 1 of each year (each a “</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xml:space="preserve">”) until maturity, commencing May 1, 2022. The Borrowing Base, as redetermined, shall remain in effect until the next Determination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the Borrowing Base may be redetermined between Determination Dates in accordance with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Engineering Data to be Provided Prior to Scheduled Determination Dates</w:t>
      </w:r>
    </w:p>
    <w:p>
      <w:pPr>
        <w:spacing w:after="0" w:line="179" w:lineRule="exact"/>
        <w:rPr>
          <w:sz w:val="20"/>
          <w:szCs w:val="20"/>
          <w:color w:val="auto"/>
        </w:rPr>
      </w:pPr>
    </w:p>
    <w:p>
      <w:pPr>
        <w:jc w:val="both"/>
        <w:ind w:firstLine="8"/>
        <w:spacing w:after="0" w:line="213" w:lineRule="auto"/>
        <w:tabs>
          <w:tab w:leader="none" w:pos="12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before March 1 of each year for the Determination Date of May 1, Borrower shall deliver to Administrative Agent a Reserve Report and the other data specified in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Lenders shall then determine the Borrowing Base for the six (6) month period commencing May 1, which determination shall be made in accordance with the standards specified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the procedures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On or before September 1 of each year for the Determination Date of November 1, Borrower shall deliver to Administrative Agent a Reserve Report and the other data specified in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Lenders shall then determine the Borrowing Base for the six (6) month period commencing November 1, which determination shall be made in accordance with the standards specified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the procedures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Special Determinations of Borrowing Base</w:t>
      </w:r>
    </w:p>
    <w:p>
      <w:pPr>
        <w:spacing w:after="0" w:line="179" w:lineRule="exact"/>
        <w:rPr>
          <w:sz w:val="20"/>
          <w:szCs w:val="20"/>
          <w:color w:val="auto"/>
        </w:rPr>
      </w:pPr>
    </w:p>
    <w:p>
      <w:pPr>
        <w:jc w:val="both"/>
        <w:ind w:firstLine="8"/>
        <w:spacing w:after="0" w:line="213" w:lineRule="auto"/>
        <w:tabs>
          <w:tab w:leader="none" w:pos="10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Special determinations of the Borrowing Base after the Effective Date, may be requested by the Administrative Agent once and by Borrower once, in each case, between scheduled Determination Dates. If any special determination is requested by Administrative Agent or Borrower, Borrower will provide Administrative Agent with engineering data for the oil and gas reserves included in the most recent Reserve Report furnished Administrative Agent and the other data specified in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xml:space="preserve"> and within the time period specified therein. The determination whether to increase or decrease the Borrowing Base shall then be made by Lenders in their sole discretion in accordance with the standards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the procedures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General Procedures With Respect to Determination of Borrowing Base</w:t>
      </w:r>
    </w:p>
    <w:p>
      <w:pPr>
        <w:spacing w:after="0" w:line="179" w:lineRule="exact"/>
        <w:rPr>
          <w:sz w:val="20"/>
          <w:szCs w:val="20"/>
          <w:color w:val="auto"/>
        </w:rPr>
      </w:pPr>
    </w:p>
    <w:p>
      <w:pPr>
        <w:jc w:val="both"/>
        <w:ind w:firstLine="8"/>
        <w:spacing w:after="0" w:line="219" w:lineRule="auto"/>
        <w:tabs>
          <w:tab w:leader="none" w:pos="10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shall propose a redetermined Borrowing Base within thirty (30) days following receipt by Administrative Agent and Lenders of a Reserve Report and other applicable information. After having received notice of such proposal from Administrative Agent, the Supermajority Lenders (or all Lenders in the event of a proposed increase in the Borrowing Base) shall have fifteen (15) days to agree or disagree with such proposal. If, at the end of such fifteen (15) day period, the Supermajority Lenders (or all Lenders, in the event of a proposed increase of the Borrowing Base) shall not have communicated their approval or disapproval, such silence shall be deemed an approval, and Administrative Agent’s proposal shall be the new Borrowing Base. If, however, the Supermajority Lenders (or any Lender, in the event of a proposed increase of the Borrowing Base) notify Administrative Agent within such fifteen (15) days of their disapproval, the Supermajority Lenders (or all Lenders, in the event of a proposed increase of the Borrowing Base) shall, within a reasonable period of time, agree on a new Borrowing Base. Lenders may exclude any oil and gas reserves or portion of production therefrom or any income from any other property from the Borrowing Base at any time because title information is not reasonably satisfactory. After a redetermined Borrowing Base is approved or deemed approved by all of the Lenders or the Supermajority Lenders, as applicable, Administrative Agent shall promptly provide Borrower with written notice of the redetermined Borrowing Base, and the redetermined Borrowing Base shall become effective on the date of Borrower’s receipt of such notice. Administrative Agent shall provide prompt written notice to Borrower of each Lender that disapproves a redetermined Borrowing Base proposed by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240"/>
          </w:cols>
          <w:pgMar w:left="320" w:top="1395" w:right="339" w:bottom="1440" w:gutter="0" w:footer="0" w:header="0"/>
        </w:sectPr>
      </w:pPr>
    </w:p>
    <w:bookmarkStart w:id="123" w:name="page124"/>
    <w:bookmarkEnd w:id="123"/>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Borrowing Base Deficiency</w:t>
      </w:r>
    </w:p>
    <w:p>
      <w:pPr>
        <w:spacing w:after="0" w:line="179" w:lineRule="exact"/>
        <w:rPr>
          <w:sz w:val="20"/>
          <w:szCs w:val="20"/>
          <w:color w:val="auto"/>
        </w:rPr>
      </w:pPr>
    </w:p>
    <w:p>
      <w:pPr>
        <w:jc w:val="both"/>
        <w:ind w:firstLine="8"/>
        <w:spacing w:after="0" w:line="207" w:lineRule="auto"/>
        <w:tabs>
          <w:tab w:leader="none" w:pos="10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Borrowing Base Deficiency shall exist because of a periodic or special redetermination of the Borrowing Base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then Administrative Agent shall notify Borrower of the same, and Borrower shall within thirty (30) days following receipt of such notice elect in writing whether to (i) prepay an amount which will eliminate the Borrowing Base Deficiency, or (ii) execute and deliver to Administrative Agent instruments mortgaging such other collateral as is reasonably acceptable to the Majority Lenders, pursuant to security documents in form reasonably acceptable to Administrative Agent having present values which, in the opinion of Majority Lenders, based upon Majority Lenders’ evaluation of the engineering data provided them, taken in the aggregate are sufficient to increase the Borrowing Base to an amount at least equal to the Aggregate Credit Exposure, or (iii) do any combination of the foregoing. If Borrower elects to prepay such deficiency under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then such prepayment shall be made in six (6) equal consecutive monthly installments beginning on the Deficiency Payment Commencement Date and continuing on the same day of each month thereafter until paid. If Borrower so elects to mortgage additional Oil and Gas Properties, then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shall be accomplished within thirty (30) days from Administrative Agent’s date of notification. If Borrower fails to make an election among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within thirty (30) days from Administrative Agent’s notification, then (x) Borrower shall be deemed to have selected the payment option specified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and (y) Borrower shall make such payment in six (6) equal consecutive monthly installments beginning on the Deficiency Payment Commencement Date and continuing on the same day of each month thereafter until paid. “</w:t>
      </w:r>
      <w:r>
        <w:rPr>
          <w:rFonts w:ascii="Times New Roman" w:cs="Times New Roman" w:eastAsia="Times New Roman" w:hAnsi="Times New Roman"/>
          <w:sz w:val="22"/>
          <w:szCs w:val="22"/>
          <w:u w:val="single" w:color="auto"/>
          <w:color w:val="auto"/>
        </w:rPr>
        <w:t>Deficiency Payment Commencement Date</w:t>
      </w:r>
      <w:r>
        <w:rPr>
          <w:rFonts w:ascii="Times New Roman" w:cs="Times New Roman" w:eastAsia="Times New Roman" w:hAnsi="Times New Roman"/>
          <w:sz w:val="22"/>
          <w:szCs w:val="22"/>
          <w:color w:val="auto"/>
        </w:rPr>
        <w:t xml:space="preserve">” means (a) a day not later than the thirtieth (30th) day from the date of Administrative Agent’s notification of the Borrowing Base Deficiency, in the case where Borrower elects the payment option for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or fails to make an election, or (b) a day which is within ten (10) days after receipt of notice from Administrative Agent that such property submitted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are not acceptable or do not have sufficient present value to eliminate the Borrowing Base Deficiency, as applicable. If Borrower makes an election to mortgage additional Oil and Gas Properties but such Oil and Gas Properties are not reasonably acceptable to the Majority Lenders or do not have present values which in the aggregate are sufficient to eliminate the Borrowing Base Deficiency, then (x) Borrower shall be deemed to have selected the payment option specified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and (y) Borrower shall make such payment in six (6) equal consecutive monthly installments beginning on the Deficiency Payment Commencement Date and continuing on the same day of each month thereafter until paid.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5.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The obligations of Lenders to make Advances pursuant to this Agreement and the obligation of the Issuing Lenders to issue Letters of Credit, and the continuation of the advances and letters of credit under the Existing Credit Agreement as Advances and Letters of Credit under this Agreement as contemplated by </w:t>
      </w:r>
      <w:r>
        <w:rPr>
          <w:rFonts w:ascii="Times New Roman" w:cs="Times New Roman" w:eastAsia="Times New Roman" w:hAnsi="Times New Roman"/>
          <w:sz w:val="22"/>
          <w:szCs w:val="22"/>
          <w:u w:val="single" w:color="auto"/>
          <w:color w:val="auto"/>
        </w:rPr>
        <w:t>Section 13.21</w:t>
      </w:r>
      <w:r>
        <w:rPr>
          <w:rFonts w:ascii="Times New Roman" w:cs="Times New Roman" w:eastAsia="Times New Roman" w:hAnsi="Times New Roman"/>
          <w:sz w:val="22"/>
          <w:szCs w:val="22"/>
          <w:color w:val="auto"/>
        </w:rPr>
        <w:t xml:space="preserve">, shall not become effective until the date on which the following conditions have been satisfied (or waived in accordance with </w:t>
      </w:r>
      <w:r>
        <w:rPr>
          <w:rFonts w:ascii="Times New Roman" w:cs="Times New Roman" w:eastAsia="Times New Roman" w:hAnsi="Times New Roman"/>
          <w:sz w:val="22"/>
          <w:szCs w:val="22"/>
          <w:u w:val="single" w:color="auto"/>
          <w:color w:val="auto"/>
        </w:rPr>
        <w:t>Section 13.9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Conditions of Initial Advances</w:t>
      </w:r>
    </w:p>
    <w:p>
      <w:pPr>
        <w:spacing w:after="0" w:line="179" w:lineRule="exact"/>
        <w:rPr>
          <w:sz w:val="20"/>
          <w:szCs w:val="20"/>
          <w:color w:val="auto"/>
        </w:rPr>
      </w:pPr>
    </w:p>
    <w:p>
      <w:pPr>
        <w:ind w:firstLine="8"/>
        <w:spacing w:after="0" w:line="236" w:lineRule="auto"/>
        <w:tabs>
          <w:tab w:leader="none" w:pos="12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Lenders to make initial Advances pursuant to this Agreement and the obligation of the Issuing Lenders to issue initial Letters of Credit, in each case, on the Effective Date only, are subject to the following conditions: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Notes, this Agreement and the other Loan Documents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240"/>
          </w:cols>
          <w:pgMar w:left="320" w:top="1395" w:right="339" w:bottom="1440" w:gutter="0" w:footer="0" w:header="0"/>
        </w:sectPr>
      </w:pPr>
    </w:p>
    <w:bookmarkStart w:id="124" w:name="page125"/>
    <w:bookmarkEnd w:id="124"/>
    <w:p>
      <w:pPr>
        <w:jc w:val="both"/>
        <w:ind w:left="1300" w:firstLine="652"/>
        <w:spacing w:after="0" w:line="217" w:lineRule="auto"/>
        <w:tabs>
          <w:tab w:leader="none" w:pos="258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executed and delivered to Administrative Agent this Agreement and the Notes (for the account of each Lender requesting Notes); and each Credit Party shall have executed and delivered the other Loan Documents to which such Credit Party is required to be a party (including all schedules and other documents to be delivered pursuant hereto); and this Agreement, the Notes (if any) and the other Loan Documents shall be in full force and effect.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Authority</w:t>
      </w:r>
      <w:r>
        <w:rPr>
          <w:rFonts w:ascii="Times New Roman" w:cs="Times New Roman" w:eastAsia="Times New Roman" w:hAnsi="Times New Roman"/>
          <w:sz w:val="22"/>
          <w:szCs w:val="22"/>
          <w:color w:val="auto"/>
        </w:rPr>
        <w:t>. Administrative Agent shall have received from each Credit Party and the Parent, a certificate of its Secretary dated as of the Effective Date as to:</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8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resolutions (or the equivalent) of the Parent and each Credit Party authorizing the transactions contemplated by this Agreement and the other Loan Documents, in each case to which the Parent or such Credit Party is party, and authorizing the execution and delivery of this Agreement and the other Loan Documents, and in the case of Borrower, authorizing the execution and delivery of any Request for Revolving Credit Advances and the issuance of Letters of Credit hereunder,</w:t>
      </w:r>
    </w:p>
    <w:p>
      <w:pPr>
        <w:spacing w:after="0" w:line="152" w:lineRule="exact"/>
        <w:rPr>
          <w:sz w:val="20"/>
          <w:szCs w:val="20"/>
          <w:color w:val="auto"/>
        </w:rPr>
      </w:pPr>
    </w:p>
    <w:p>
      <w:pPr>
        <w:jc w:val="both"/>
        <w:ind w:left="1300" w:firstLine="652"/>
        <w:spacing w:after="0" w:line="225" w:lineRule="auto"/>
        <w:tabs>
          <w:tab w:leader="none" w:pos="259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incumbency and signature of the officers or other authorized persons of the Parent and such Credit Party executing any Loan Document and in the case of Borrower, the officers who are authorized to execute any Request for Revolving Credit Advance, or requests for the issuance of Letters of Credit,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good standing or continued existence (or the equivalent thereof) from the state of its incorporation or formation, and from every state or other jurisdiction where the Parent and such Credit Party are qualified to do business, which jurisdictions are listed on </w:t>
      </w:r>
      <w:r>
        <w:rPr>
          <w:rFonts w:ascii="Times New Roman" w:cs="Times New Roman" w:eastAsia="Times New Roman" w:hAnsi="Times New Roman"/>
          <w:sz w:val="22"/>
          <w:szCs w:val="22"/>
          <w:u w:val="single" w:color="auto"/>
          <w:color w:val="auto"/>
        </w:rPr>
        <w:t>Schedule 5.1(b)(iii)</w:t>
      </w:r>
      <w:r>
        <w:rPr>
          <w:rFonts w:ascii="Times New Roman" w:cs="Times New Roman" w:eastAsia="Times New Roman" w:hAnsi="Times New Roman"/>
          <w:sz w:val="22"/>
          <w:szCs w:val="22"/>
          <w:color w:val="auto"/>
        </w:rPr>
        <w:t xml:space="preserve"> attached hereto, and</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Parent’s and such Credit Party’s Organizational Documents as in effect on the Effective Date.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Documents, Guaranties and other Loan Documents</w:t>
      </w:r>
      <w:r>
        <w:rPr>
          <w:rFonts w:ascii="Times New Roman" w:cs="Times New Roman" w:eastAsia="Times New Roman" w:hAnsi="Times New Roman"/>
          <w:sz w:val="22"/>
          <w:szCs w:val="22"/>
          <w:color w:val="auto"/>
        </w:rPr>
        <w:t>. Administrative Agent shall have received the following documents, each in form and substance reasonably satisfactory to Administrative Agent and fully executed by each party thereto:</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Guaranty fully executed by each party thereto and dated as of the Effective Date.</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9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Agreement fully executed by each party thereto covering the Equity Interests of each Restricted Subsidiary and the other Collateral described therein, and dated as of the Effective Date.</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Mortgages duly executed by each party thereto with respect to the Oil and Gas Properties of the Credit Parties, or the portion thereof, as required by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 xml:space="preserve"> and amendments and/or assignments to each of the Existing Mortgages as reasonably requested by Administrative Agent.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Uniform Commercial Code requests for information, or a similar search report certified by a party reasonably acceptable to Administrative Agent, dated a date reasonably prior to the Effective Date,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240"/>
          </w:cols>
          <w:pgMar w:left="320" w:top="1395" w:right="339" w:bottom="1440" w:gutter="0" w:footer="0" w:header="0"/>
        </w:sectPr>
      </w:pPr>
    </w:p>
    <w:bookmarkStart w:id="125" w:name="page126"/>
    <w:bookmarkEnd w:id="125"/>
    <w:p>
      <w:pPr>
        <w:jc w:val="both"/>
        <w:ind w:left="1300"/>
        <w:spacing w:after="0" w:line="215" w:lineRule="auto"/>
        <w:rPr>
          <w:sz w:val="20"/>
          <w:szCs w:val="20"/>
          <w:color w:val="auto"/>
        </w:rPr>
      </w:pPr>
      <w:r>
        <w:rPr>
          <w:rFonts w:ascii="Times New Roman" w:cs="Times New Roman" w:eastAsia="Times New Roman" w:hAnsi="Times New Roman"/>
          <w:sz w:val="22"/>
          <w:szCs w:val="22"/>
          <w:color w:val="auto"/>
        </w:rPr>
        <w:t xml:space="preserve">all effective financing statements in the jurisdictions required by Administrative Agent which name any Credit Party (under their present names or under any previous names used within five (5) years prior to the date hereof)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1300" w:firstLine="652"/>
        <w:spacing w:after="0" w:line="213" w:lineRule="auto"/>
        <w:tabs>
          <w:tab w:leader="none" w:pos="259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documents (including, without limitation, financing statements, amendments to financing statements and assignments of financing statements, stock powers executed in blank and any endorsements) requested by Administrative Agent and reasonably required to be provided in connection with the Collateral Documents to create, in favor of Administrative Agent (for and on behalf of Lenders), a first priority (subject to Liens permitted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perfected security interest in the Collateral thereunder shall have been filed, registered or recorded, or shall have been delivered to Administrative Agent in proper form for filing, registration or recordation.</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Administrative Agent shall have received evidence reasonably satisfactory to it that the Credit Parties have obtained the insurance policies required by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and that such insurance policies are in full force and effect.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On the Effective Date, no Default or Event of Default shall exist.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Opinions of Counsel</w:t>
      </w:r>
      <w:r>
        <w:rPr>
          <w:rFonts w:ascii="Times New Roman" w:cs="Times New Roman" w:eastAsia="Times New Roman" w:hAnsi="Times New Roman"/>
          <w:sz w:val="22"/>
          <w:szCs w:val="22"/>
          <w:color w:val="auto"/>
        </w:rPr>
        <w:t>. The Parent and the Credit Parties shall furnish Administrative Agent prior to the initial Advance under this Agreement, opinions of counsel to the Parent and the Credit Parties (including local counsel opinions), to the extent reasonably deemed necessary by Administrative Agent, in each case dated the Effective Date and covering such matters as reasonably required by and otherwise reasonably satisfactory in form and substance to Administrative Agent.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Borrower shall have paid to RBC and its Affiliates any fees due under the terms of the Fee Letter, along with any other reasonable and documented out-of-pocket fees, costs or expenses due and outstanding to Administrative Agent as of the Effective Date (including reasonable and documented fees, disbursements and other charges of counsel to Administrative Agent).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Borrower shall have delivered to Lenders and Administrative Agent, in form and substance reasonably satisfactory to Administrative Agent: (a) audited financial statements of Parent and its consolidated Subsidiaries for the Fiscal Year ending December 31, 2020, and presented in accordance with GAAP, and the quarterly financial statements of Parent and its consolidated Subsidiaries for the Fiscal Quarter ended September 30, 2021 and (b) cash flow projections of Borrower through December 31, 2022, in form reasonably acceptable to Administrative Agent.</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36" w:lineRule="auto"/>
        <w:tabs>
          <w:tab w:leader="none" w:pos="194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Due Diligence</w:t>
      </w:r>
      <w:r>
        <w:rPr>
          <w:rFonts w:ascii="Times New Roman" w:cs="Times New Roman" w:eastAsia="Times New Roman" w:hAnsi="Times New Roman"/>
          <w:sz w:val="21"/>
          <w:szCs w:val="21"/>
          <w:color w:val="auto"/>
        </w:rPr>
        <w:t>. Administrative Agent and Lenders shall have received, in each case in form and substance reasonably satisfactory to Administrative Agent, engineering reports and other reserve information covering the Oil and Gas Properties of the Credit Parties, including, without limitation, a Reserve Report dated as of July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240"/>
          </w:cols>
          <w:pgMar w:left="320" w:top="1395" w:right="339" w:bottom="1440" w:gutter="0" w:footer="0" w:header="0"/>
        </w:sectPr>
      </w:pPr>
    </w:p>
    <w:bookmarkStart w:id="126" w:name="page127"/>
    <w:bookmarkEnd w:id="126"/>
    <w:p>
      <w:pPr>
        <w:jc w:val="both"/>
        <w:ind w:left="660" w:firstLine="644"/>
        <w:spacing w:after="0" w:line="212"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xml:space="preserve">. Administrative Agent shall have received a certificate (which may be combined with the certificate required under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 of a Responsible Officer of Borrower dated the Effective Date, stating that to the best of his or her respective knowledge, (a) the representations and warranties made by the Parent and the Credit Parties in this Agreement or any of the other Loan Documents, as applicable, are true and correct in all material respects (except to the extent such representation and warranty is already qualified by materiality or by a “Material Adverse Effect” clause, in which case such representation and warranty shall be true and correct in all respects); (b) no Default or Event of Default shall have occurred and be continuing; and (c) since December 31, 2020, nothing has occurred which has had, or would reasonably be expected to have, a Material Adverse Effect.</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Due Diligence</w:t>
      </w:r>
      <w:r>
        <w:rPr>
          <w:rFonts w:ascii="Times New Roman" w:cs="Times New Roman" w:eastAsia="Times New Roman" w:hAnsi="Times New Roman"/>
          <w:sz w:val="22"/>
          <w:szCs w:val="22"/>
          <w:color w:val="auto"/>
        </w:rPr>
        <w:t>. Administrative Agent shall have received title opinions and other title information and data reasonably acceptable to Administrative Agent covering not less than 85% of the value of the Mortgaged Properties included in the Borrowing Base, reflecting title to the Hydrocarbon Interests of the Credit Parties in such Mortgaged Properties which is reasonably acceptable to Administrative Agent.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Customer Identification Forms</w:t>
      </w:r>
      <w:r>
        <w:rPr>
          <w:rFonts w:ascii="Times New Roman" w:cs="Times New Roman" w:eastAsia="Times New Roman" w:hAnsi="Times New Roman"/>
          <w:sz w:val="22"/>
          <w:szCs w:val="22"/>
          <w:color w:val="auto"/>
        </w:rPr>
        <w:t>. Administrative Agent shall have received completed customer identification forms (forms to be provided by Administrative Agent to Borrower) from Parent, Borrower and each Guarantor.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To the extent the Borrower qualifies as a “legal entity customer” under the Beneficial Ownership Regulation, Administrative Agent shall have received a Beneficial Ownership Certification in relation to the Borrower.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Conditions to Each Advance and Letter of Credit</w:t>
      </w:r>
    </w:p>
    <w:p>
      <w:pPr>
        <w:spacing w:after="0" w:line="179" w:lineRule="exact"/>
        <w:rPr>
          <w:sz w:val="20"/>
          <w:szCs w:val="20"/>
          <w:color w:val="auto"/>
        </w:rPr>
      </w:pPr>
    </w:p>
    <w:p>
      <w:pPr>
        <w:ind w:right="20" w:firstLine="8"/>
        <w:spacing w:after="0" w:line="255" w:lineRule="auto"/>
        <w:tabs>
          <w:tab w:leader="none" w:pos="10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each Lender to make each Advance (including the initial Advance) under this Agreement and the obligation of the Issuing Lenders to issue or </w:t>
      </w:r>
      <w:r>
        <w:rPr>
          <w:rFonts w:ascii="Times New Roman" w:cs="Times New Roman" w:eastAsia="Times New Roman" w:hAnsi="Times New Roman"/>
          <w:sz w:val="21"/>
          <w:szCs w:val="21"/>
          <w:color w:val="FF0000"/>
          <w:strike w:val="1"/>
        </w:rPr>
        <w:t>renew</w:t>
      </w:r>
      <w:r>
        <w:rPr>
          <w:rFonts w:ascii="Times New Roman" w:cs="Times New Roman" w:eastAsia="Times New Roman" w:hAnsi="Times New Roman"/>
          <w:sz w:val="21"/>
          <w:szCs w:val="21"/>
          <w:u w:val="single" w:color="auto"/>
          <w:color w:val="0000FF"/>
        </w:rPr>
        <w:t>extend</w:t>
      </w:r>
      <w:r>
        <w:rPr>
          <w:rFonts w:ascii="Times New Roman" w:cs="Times New Roman" w:eastAsia="Times New Roman" w:hAnsi="Times New Roman"/>
          <w:sz w:val="21"/>
          <w:szCs w:val="21"/>
          <w:color w:val="auto"/>
        </w:rPr>
        <w:t xml:space="preserve"> any Letter of Credit shall, in each case, be subject to the following conditions:</w:t>
      </w:r>
    </w:p>
    <w:p>
      <w:pPr>
        <w:spacing w:after="0" w:line="134" w:lineRule="exact"/>
        <w:rPr>
          <w:rFonts w:ascii="Times New Roman" w:cs="Times New Roman" w:eastAsia="Times New Roman" w:hAnsi="Times New Roman"/>
          <w:sz w:val="21"/>
          <w:szCs w:val="21"/>
          <w:color w:val="auto"/>
        </w:rPr>
      </w:pPr>
    </w:p>
    <w:p>
      <w:pPr>
        <w:ind w:left="660" w:right="20" w:firstLine="644"/>
        <w:spacing w:after="0" w:line="236" w:lineRule="auto"/>
        <w:tabs>
          <w:tab w:leader="none" w:pos="195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 or Event of Default shall exist as of the date of the Advance or the request for the issuance or </w:t>
      </w:r>
      <w:r>
        <w:rPr>
          <w:rFonts w:ascii="Times New Roman" w:cs="Times New Roman" w:eastAsia="Times New Roman" w:hAnsi="Times New Roman"/>
          <w:sz w:val="22"/>
          <w:szCs w:val="22"/>
          <w:color w:val="FF0000"/>
          <w:strike w:val="1"/>
        </w:rPr>
        <w:t>renewal</w:t>
      </w:r>
      <w:r>
        <w:rPr>
          <w:rFonts w:ascii="Times New Roman" w:cs="Times New Roman" w:eastAsia="Times New Roman" w:hAnsi="Times New Roman"/>
          <w:sz w:val="22"/>
          <w:szCs w:val="22"/>
          <w:u w:val="single" w:color="auto"/>
          <w:color w:val="0000FF"/>
        </w:rPr>
        <w:t>extension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the Letter of Credit, as the case may be;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contained in this Agreement and in each of the other Loan Documents shall be true and correct in all material respects (except to the extent such representation and warranty is already qualified by materiality or by a “Material Adverse Effect” clause, in which case such representation and warranty shall be true and correct in all respects) as of the date of the Advance or Letter of Credit (as the case may be) as if made on and as of such date (other than any representation or warranty that expressly speaks only as of a different date);</w:t>
      </w:r>
    </w:p>
    <w:p>
      <w:pPr>
        <w:spacing w:after="0" w:line="153" w:lineRule="exact"/>
        <w:rPr>
          <w:rFonts w:ascii="Times New Roman" w:cs="Times New Roman" w:eastAsia="Times New Roman" w:hAnsi="Times New Roman"/>
          <w:sz w:val="21"/>
          <w:szCs w:val="21"/>
          <w:color w:val="auto"/>
        </w:rPr>
      </w:pPr>
    </w:p>
    <w:p>
      <w:pPr>
        <w:ind w:left="660" w:firstLine="644"/>
        <w:spacing w:after="0" w:line="236" w:lineRule="auto"/>
        <w:tabs>
          <w:tab w:leader="none" w:pos="1953"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Advance or Letter of Credit, the Aggregate Credit Exposure will not exceed the Revolving Credit Aggregate Commitment;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with respect to any Revolving Credit Advance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(but not, for avoidance of doubt any continuation or conversion of Revolving Credit Advances), immediately after giving effect to such Advance and giving effect to any other transactions occurring prior to, or substantially simultaneously with, such Advance, the Consolidated Cash Balance shall not exceed the Consolidated Cash Balance Threshold.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240"/>
          </w:cols>
          <w:pgMar w:left="320" w:top="1395" w:right="339" w:bottom="1440" w:gutter="0" w:footer="0" w:header="0"/>
        </w:sectPr>
      </w:pPr>
    </w:p>
    <w:bookmarkStart w:id="127" w:name="page128"/>
    <w:bookmarkEnd w:id="127"/>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Each borrowing of an Advance by, and issuance of a Letter of Credit on behalf of, Borrower hereunder shall constitute a representation and warranty by Borrower as of the date of such extension of credit that the conditions contained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have been satisfied.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6. REPRESENTATIONS AND WARRANTIES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Borrower represents and warrants to Administrative Agent, Lenders and the Issuing Lenders as follows: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Corporate Authority</w:t>
      </w:r>
    </w:p>
    <w:p>
      <w:pPr>
        <w:spacing w:after="0" w:line="179" w:lineRule="exact"/>
        <w:rPr>
          <w:sz w:val="20"/>
          <w:szCs w:val="20"/>
          <w:color w:val="auto"/>
        </w:rPr>
      </w:pPr>
    </w:p>
    <w:p>
      <w:pPr>
        <w:jc w:val="both"/>
        <w:ind w:firstLine="8"/>
        <w:spacing w:after="0" w:line="211" w:lineRule="auto"/>
        <w:tabs>
          <w:tab w:leader="none" w:pos="12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and the Parent (a) is a limited liability company, partnership or corporation duly organized, legally existing and in good standing under the laws of the state or jurisdiction of its incorporation, formation or organization, as applicable, (b) is duly qualified and authorized to do business as a foreign limited liability company, partnership or corporation (or other business entity) in each jurisdiction where the character of its assets or the nature of its activities makes such qualification and authorization necessary except where failure to be so qualified or be in good standing could not reasonably be expected to have a Material Adverse Effect, (c) has all requisite partnership, limited liability company or corporate power, as applicable, and has all material governmental consents, approvals, licenses and authorizations necessary in all material respects to carry on its business and own its material assets as now being or as proposed to be conducted and (d) has all requisite partnership, limited liability company or corporate power, as applicable, and authority to own all its material property (whether real, personal, tangible or intangible or of any kind whatsoever).</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Due Authorization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firstLine="644"/>
        <w:spacing w:after="0" w:line="236" w:lineRule="auto"/>
        <w:tabs>
          <w:tab w:leader="none" w:pos="195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and the Parent has all necessary partnership, limited liability company or corporate power, as applicable, to execute, deliver and perform its obligations under the Loan Documents to which it is a party,</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the Parent and each Credit Party of the Loan Documents, to which it is a party, (i) have been duly authorized by all necessary organizational action, and (ii) are not in contravention in any material respect of any law applicable to the Parent or such Credit Party or the terms of the Parent’s or such Credit Party’s Organizational Documents.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Good Title; Leases; Assets; No Liens</w:t>
      </w:r>
    </w:p>
    <w:p>
      <w:pPr>
        <w:spacing w:after="0" w:line="179" w:lineRule="exact"/>
        <w:rPr>
          <w:sz w:val="20"/>
          <w:szCs w:val="20"/>
          <w:color w:val="auto"/>
        </w:rPr>
      </w:pPr>
    </w:p>
    <w:p>
      <w:pPr>
        <w:ind w:left="120" w:hanging="112"/>
        <w:spacing w:after="0"/>
        <w:tabs>
          <w:tab w:leader="none" w:pos="1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Effective Date (except as disclosed in </w:t>
      </w:r>
      <w:r>
        <w:rPr>
          <w:rFonts w:ascii="Times New Roman" w:cs="Times New Roman" w:eastAsia="Times New Roman" w:hAnsi="Times New Roman"/>
          <w:sz w:val="22"/>
          <w:szCs w:val="22"/>
          <w:u w:val="single" w:color="auto"/>
          <w:color w:val="auto"/>
        </w:rPr>
        <w:t>Schedule 6.3)</w:t>
      </w:r>
      <w:r>
        <w:rPr>
          <w:rFonts w:ascii="Times New Roman" w:cs="Times New Roman" w:eastAsia="Times New Roman" w:hAnsi="Times New Roman"/>
          <w:sz w:val="22"/>
          <w:szCs w:val="22"/>
          <w:color w:val="auto"/>
        </w:rPr>
        <w:t xml:space="preserve"> and thereafter except as disclosed to Administrative Agent: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Credit Party, to the extent applicable, has good and defensible title to the material Hydrocarbon Interests and Oil and Gas Properties evaluated in the Reserve Report most recently provided to Administrative Agent, in each case free and clear of all Liens except the Liens permitted by </w:t>
      </w:r>
      <w:r>
        <w:rPr>
          <w:rFonts w:ascii="Times New Roman" w:cs="Times New Roman" w:eastAsia="Times New Roman" w:hAnsi="Times New Roman"/>
          <w:sz w:val="22"/>
          <w:szCs w:val="22"/>
          <w:u w:val="single" w:color="auto"/>
          <w:color w:val="auto"/>
        </w:rPr>
        <w:t>Section 8.2;</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6" w:lineRule="auto"/>
        <w:tabs>
          <w:tab w:leader="none" w:pos="1951" w:val="left"/>
        </w:tabs>
        <w:numPr>
          <w:ilvl w:val="2"/>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Credit Party has good title to, or valid leasehold interests in, all of its (i) real property that is not real property referenced in clause(a) preceding and that is material to the business of the Credit Parties taken as a whole and</w:t>
      </w:r>
    </w:p>
    <w:p>
      <w:pPr>
        <w:spacing w:after="0" w:line="1"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240"/>
          </w:cols>
          <w:pgMar w:left="320" w:top="1395" w:right="339" w:bottom="1440" w:gutter="0" w:footer="0" w:header="0"/>
        </w:sectPr>
      </w:pPr>
    </w:p>
    <w:bookmarkStart w:id="128" w:name="page129"/>
    <w:bookmarkEnd w:id="128"/>
    <w:p>
      <w:pPr>
        <w:ind w:left="660"/>
        <w:spacing w:after="0" w:line="236" w:lineRule="auto"/>
        <w:rPr>
          <w:sz w:val="20"/>
          <w:szCs w:val="20"/>
          <w:color w:val="auto"/>
        </w:rPr>
      </w:pPr>
      <w:r>
        <w:rPr>
          <w:rFonts w:ascii="Times New Roman" w:cs="Times New Roman" w:eastAsia="Times New Roman" w:hAnsi="Times New Roman"/>
          <w:sz w:val="22"/>
          <w:szCs w:val="22"/>
          <w:color w:val="auto"/>
        </w:rPr>
        <w:t xml:space="preserve">that is material to the business of the Credit Parties taken as a whole, in each case of (i) and (ii) preceding, except for Liens permitted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660" w:firstLine="644"/>
        <w:spacing w:after="0" w:line="220" w:lineRule="auto"/>
        <w:tabs>
          <w:tab w:leader="none" w:pos="195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On the Effective Date, no material condemnation, eminent domain or expropriation action has been commenced or threatened against any owned or leased real property; and (ii) after the Effective Date, no material condemnation, eminent domain or expropriation action has been commenced or threatened against any such owned or leased real property that could reasonably be expected to have a Material Adverse Effect; and</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Liens on, and no financing statements on file, with respect to any of the assets owned by the Credit Parties, except for the Liens permitted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of this Agreement.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179" w:lineRule="exact"/>
        <w:rPr>
          <w:sz w:val="20"/>
          <w:szCs w:val="20"/>
          <w:color w:val="auto"/>
        </w:rPr>
      </w:pPr>
    </w:p>
    <w:p>
      <w:pPr>
        <w:jc w:val="both"/>
        <w:ind w:firstLine="8"/>
        <w:spacing w:after="0" w:line="215" w:lineRule="auto"/>
        <w:tabs>
          <w:tab w:leader="none" w:pos="12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Borrower and each Restricted Subsidiary has timely filed or caused to be filed all Federal, State and other tax returns that are required to be filed and has paid or caused to be paid all federal, state and other taxes, assessments and other governmental charges levied or imposed upon them or their properties, income or assets otherwise due and payable, except, in each case, (a) those which are being contested in good faith by appropriate proceedings and for which Parent, Borrower or such Restricted Subsidiary, as applicable, has set aside on its books adequate reserves in accordance with GAAP or (b) to the extent that the failure to do so could not reasonably be expected to result in a Material Adverse Effect.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No Defaults</w:t>
      </w:r>
    </w:p>
    <w:p>
      <w:pPr>
        <w:spacing w:after="0" w:line="179" w:lineRule="exact"/>
        <w:rPr>
          <w:sz w:val="20"/>
          <w:szCs w:val="20"/>
          <w:color w:val="auto"/>
        </w:rPr>
      </w:pPr>
    </w:p>
    <w:p>
      <w:pPr>
        <w:jc w:val="both"/>
        <w:ind w:firstLine="8"/>
        <w:spacing w:after="0" w:line="220" w:lineRule="auto"/>
        <w:tabs>
          <w:tab w:leader="none" w:pos="10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Borrower’s knowledge, neither Borrower nor any Restricted Subsidiary is in default, nor has any event or circumstance occurred which, but for the expiration of any applicable grace period or the giving of notice, would constitute a default under any material agreement, instrument or undertaking to which it is a party or by which any of them or any of their property is bound, in each case which would reasonably be expected to cause a Material Adverse Effect.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Enforceability</w:t>
      </w:r>
    </w:p>
    <w:p>
      <w:pPr>
        <w:spacing w:after="0" w:line="179" w:lineRule="exact"/>
        <w:rPr>
          <w:sz w:val="20"/>
          <w:szCs w:val="20"/>
          <w:color w:val="auto"/>
        </w:rPr>
      </w:pPr>
    </w:p>
    <w:p>
      <w:pPr>
        <w:jc w:val="both"/>
        <w:ind w:firstLine="8"/>
        <w:spacing w:after="0" w:line="215" w:lineRule="auto"/>
        <w:tabs>
          <w:tab w:leader="none" w:pos="10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each of the other Loan Documents to which the Parent or any Credit Party is a party, have each been duly executed and delivered by its duly authorized officers and constitute the valid and binding obligations of the Parent and such Credit Party, enforceable against the Parent or such Credit Party (as applicable)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Compliance with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Credit Parties and the Parent is in compliance with (i) all Requirements of Law, and (ii) its Organizational Documents, except, in each case of clause (i) and (ii) preceding, to the extent that failure to comply therewith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1240"/>
          </w:cols>
          <w:pgMar w:left="320" w:top="1395" w:right="339" w:bottom="1440" w:gutter="0" w:footer="0" w:header="0"/>
        </w:sectPr>
      </w:pPr>
    </w:p>
    <w:bookmarkStart w:id="129" w:name="page130"/>
    <w:bookmarkEnd w:id="129"/>
    <w:p>
      <w:pPr>
        <w:jc w:val="both"/>
        <w:ind w:left="660" w:firstLine="644"/>
        <w:spacing w:after="0" w:line="225" w:lineRule="auto"/>
        <w:tabs>
          <w:tab w:leader="none" w:pos="195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no Credit Party is liable for any material refunds or interest thereon as a result of any order from the Federal Energy Regulatory Commission or any Governmental Authority with respect to any pipeline system;</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such acts or failures to act as would not reasonably be expected to have a Material Adverse Effect, the Oil and Gas Properties (and properties unitized therewith) of the Credit Parties have been maintained, operated and developed in a good and workmanlike manner and in conformity with all applicable laws and all rules, regulations and orders of all duly constituted authorities having jurisdiction and in conformity with the provisions of all leases, subleases or other contracts comprising a part of the Oil and Gas Properties and other contracts and agreements forming a part of the Oil and Gas Properties;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08" w:lineRule="auto"/>
        <w:tabs>
          <w:tab w:leader="none" w:pos="195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No Credit Party or the Parent, nor, any Related Party, (i) is currently the subject of any Sanctions, (ii) is located, organized or residing in any Designated Jurisdiction, or (iii) is or has been (within the previous five (5) years) engaged in any transaction with any Person who is now or was then the subject of Sanctions or who is located, organized or residing in any Designated Jurisdiction. Borrower has not directly or indirectly used the proceeds of any Advance or loaned, contributed or otherwise made available such proceeds to any Subsidiary, Affiliate or other Person,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the Administrative Agent or any Issuing Lender) of Sanctions</w:t>
      </w:r>
      <w:r>
        <w:rPr>
          <w:rFonts w:ascii="Times New Roman" w:cs="Times New Roman" w:eastAsia="Times New Roman" w:hAnsi="Times New Roman"/>
          <w:sz w:val="22"/>
          <w:szCs w:val="22"/>
          <w:u w:val="single" w:color="auto"/>
          <w:color w:val="0000FF"/>
          <w:strike w:val="1"/>
        </w:rPr>
        <w:t>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Borrower has implemented and maintains in effect policies and procedures designed to ensure compliance, in all material respects, by the Borrower, its Subsidiaries and their respective directors, officers, employees and agents with the USA Patriot Act, Anti-Corruption Laws, applicable AML Laws and applicable Sanctions. No Credit Party or the Parent, nor, to the knowledge of the Borrower, any Related Party, (i) is a Sanctioned Person, or (ii) is in violation of AML Laws, Anti-Corruption Laws, or Sanctions in any material respect. No Borrowing or Letter of Credit, use of proceeds or other transaction contemplated by this Agreement will cause a violation of AML Laws, Anti-Corruption Laws or applicable Sanctions by the Parent, the Borrower or any Subsidiary of the Borrower. Neither the Borrower nor any of its Subsidiaries, nor the Parent or any other Credit Party, or, to the knowledge of such Borrower, any other Affiliate has engaged in or intends to engage in any dealings or transactions with, or for the benefit of, any Sanctioned Person or with or in any Sanctioned Country</w:t>
      </w:r>
      <w:r>
        <w:rPr>
          <w:rFonts w:ascii="Times New Roman" w:cs="Times New Roman" w:eastAsia="Times New Roman" w:hAnsi="Times New Roman"/>
          <w:sz w:val="22"/>
          <w:szCs w:val="22"/>
          <w:color w:val="000000"/>
          <w:strike w:val="1"/>
        </w:rPr>
        <w: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Non-contravention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firstLine="644"/>
        <w:spacing w:after="0" w:line="236" w:lineRule="auto"/>
        <w:tabs>
          <w:tab w:leader="none" w:pos="195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and the other Loan Documents by the Parent and each Credit Party (as applicable) will not violate in any material respect any Requirement of Law.</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Agreement and the other Loan Documents (including each Request for Revolving Credit Advance) to which the Parent and each Credit Party is a party are not in contravention of the terms of any material Contractual Obligation, indenture, agreement or other instrument evidencing Material Debt or any other undertaking to which the Parent or such Credit Party is a party or by which it or its properties are bound where, in the case of any of the foregoing, such violation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240"/>
          </w:cols>
          <w:pgMar w:left="320" w:top="1395" w:right="339" w:bottom="1440" w:gutter="0" w:footer="0" w:header="0"/>
        </w:sectPr>
      </w:pPr>
    </w:p>
    <w:bookmarkStart w:id="130" w:name="page131"/>
    <w:bookmarkEnd w:id="130"/>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Litigation</w:t>
      </w:r>
    </w:p>
    <w:p>
      <w:pPr>
        <w:spacing w:after="0" w:line="179" w:lineRule="exact"/>
        <w:rPr>
          <w:sz w:val="20"/>
          <w:szCs w:val="20"/>
          <w:color w:val="auto"/>
        </w:rPr>
      </w:pPr>
    </w:p>
    <w:p>
      <w:pPr>
        <w:jc w:val="both"/>
        <w:ind w:firstLine="8"/>
        <w:spacing w:after="0" w:line="213" w:lineRule="auto"/>
        <w:tabs>
          <w:tab w:leader="none" w:pos="10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on </w:t>
      </w:r>
      <w:r>
        <w:rPr>
          <w:rFonts w:ascii="Times New Roman" w:cs="Times New Roman" w:eastAsia="Times New Roman" w:hAnsi="Times New Roman"/>
          <w:sz w:val="22"/>
          <w:szCs w:val="22"/>
          <w:u w:val="single" w:color="auto"/>
          <w:color w:val="auto"/>
        </w:rPr>
        <w:t>Schedule 6.9</w:t>
      </w:r>
      <w:r>
        <w:rPr>
          <w:rFonts w:ascii="Times New Roman" w:cs="Times New Roman" w:eastAsia="Times New Roman" w:hAnsi="Times New Roman"/>
          <w:sz w:val="22"/>
          <w:szCs w:val="22"/>
          <w:color w:val="auto"/>
        </w:rPr>
        <w:t xml:space="preserve"> or to Administrative Agent hereafter in writing, there are no suits, actions or proceedings by or before any arbitrator or Governmental Authority, including, without limitation, any bankruptcy proceeding, or governmental investigations, pending against or, to the knowledge of Borrower, threatened against or affecting the Parent or any Credit Party (i) as to which there is a reasonable possibility of an adverse determination and that, if adversely determined, could reasonably expected, individually or in the aggregate, to result in a Material Adverse Effect (taking into account insurance or other recoveries) or (ii) that involve this Agreement or any other Loan Documents or any of the transactions contemplated hereby or thereby.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Consents, Approvals and Filings, etc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3" w:lineRule="auto"/>
        <w:tabs>
          <w:tab w:leader="none" w:pos="195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authorizations, permits, consents, approvals, licenses, qualifications or formal exemptions from, nor any material filing, declaration or registration with, any court, Governmental Authority or any Person are necessary for the execution, delivery and performance: (i) by the Parent or any Credit Party of this Agreement and any of the other Loan Documents to which the Parent or such Credit Party is a party or (ii) by the Credit Parties of the grant of Liens granted, conveyed or otherwise established (or to be granted, conveyed or otherwise established) by or under this Agreement or the other Loan Documents, as applicable, except for the recording and filing of the Collateral Documents as required by this Agreement.</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authorizations, permits, consents, approvals, licenses, qualifications or formal exemptions from, nor any filing, declaration or registration with, any court, Governmental Authority or any Person are necessary for the operation of any Credit Party’s business, except in each case (i) such matters which have been previously obtained, and</w:t>
      </w:r>
    </w:p>
    <w:p>
      <w:pPr>
        <w:spacing w:after="0" w:line="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the failure of which to obtain could not reasonably be expected to result in a Material Adverse Effect.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No Investment Company or Margin Stock</w:t>
      </w:r>
    </w:p>
    <w:p>
      <w:pPr>
        <w:spacing w:after="0" w:line="179" w:lineRule="exact"/>
        <w:rPr>
          <w:sz w:val="20"/>
          <w:szCs w:val="20"/>
          <w:color w:val="auto"/>
        </w:rPr>
      </w:pPr>
    </w:p>
    <w:p>
      <w:pPr>
        <w:jc w:val="both"/>
        <w:ind w:firstLine="8"/>
        <w:spacing w:after="0" w:line="227" w:lineRule="auto"/>
        <w:tabs>
          <w:tab w:leader="none" w:pos="135"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Credit Party is, nor is the Parent, engaged and will not engage, principally or as one of its important activities, in the business of purchasing or carrying margin stock (within the meaning of Regulation U issued by the Board </w:t>
      </w:r>
      <w:r>
        <w:rPr>
          <w:rFonts w:ascii="Times New Roman" w:cs="Times New Roman" w:eastAsia="Times New Roman" w:hAnsi="Times New Roman"/>
          <w:sz w:val="21"/>
          <w:szCs w:val="21"/>
          <w:color w:val="FF0000"/>
        </w:rPr>
        <w:t>of Governors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Federal Reserve System of the United States</w:t>
      </w:r>
      <w:r>
        <w:rPr>
          <w:rFonts w:ascii="Times New Roman" w:cs="Times New Roman" w:eastAsia="Times New Roman" w:hAnsi="Times New Roman"/>
          <w:sz w:val="21"/>
          <w:szCs w:val="21"/>
          <w:color w:val="000000"/>
        </w:rPr>
        <w:t>) or extending credit for the purpose of purchasing or carrying margin stock. None of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the proceeds of any of the Advances will be used by any Credit Party to purchase or carry margin stock. No Credit Party or the Parent is or is required to be registered as an “investment company” under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-492760</wp:posOffset>
            </wp:positionV>
            <wp:extent cx="11550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spacing w:after="0" w:line="13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ERISA</w:t>
      </w:r>
    </w:p>
    <w:p>
      <w:pPr>
        <w:spacing w:after="0" w:line="179" w:lineRule="exact"/>
        <w:rPr>
          <w:sz w:val="20"/>
          <w:szCs w:val="20"/>
          <w:color w:val="auto"/>
        </w:rPr>
      </w:pPr>
    </w:p>
    <w:p>
      <w:pPr>
        <w:jc w:val="both"/>
        <w:ind w:firstLine="8"/>
        <w:spacing w:after="0" w:line="225" w:lineRule="auto"/>
        <w:tabs>
          <w:tab w:leader="none" w:pos="12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Credit Party or Parent maintains or contributes to any Pension Plan subject to Title IV of ERISA, except as set forth on </w:t>
      </w:r>
      <w:r>
        <w:rPr>
          <w:rFonts w:ascii="Times New Roman" w:cs="Times New Roman" w:eastAsia="Times New Roman" w:hAnsi="Times New Roman"/>
          <w:sz w:val="22"/>
          <w:szCs w:val="22"/>
          <w:u w:val="single" w:color="auto"/>
          <w:color w:val="auto"/>
        </w:rPr>
        <w:t>Schedule 6.12</w:t>
      </w:r>
      <w:r>
        <w:rPr>
          <w:rFonts w:ascii="Times New Roman" w:cs="Times New Roman" w:eastAsia="Times New Roman" w:hAnsi="Times New Roman"/>
          <w:sz w:val="22"/>
          <w:szCs w:val="22"/>
          <w:color w:val="auto"/>
        </w:rPr>
        <w:t xml:space="preserve"> hereto or otherwise disclosed to Administrative Agent in writing. Except as could not, individually or in the aggregate,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accumulated funding deficiency within the meaning of Section 412 of the Internal Revenue Code or Section 302 of ERISA, or any outstanding liability with respect to any Pension Plans owed to the PBGC other than future premiums due and owing pursuant to Section 4007 of ERISA, and no “reportable event”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240"/>
          </w:cols>
          <w:pgMar w:left="320" w:top="1395" w:right="339" w:bottom="1440" w:gutter="0" w:footer="0" w:header="0"/>
        </w:sectPr>
      </w:pPr>
    </w:p>
    <w:bookmarkStart w:id="131" w:name="page132"/>
    <w:bookmarkEnd w:id="131"/>
    <w:p>
      <w:pPr>
        <w:ind w:left="660"/>
        <w:spacing w:after="0" w:line="236" w:lineRule="auto"/>
        <w:rPr>
          <w:sz w:val="20"/>
          <w:szCs w:val="20"/>
          <w:color w:val="auto"/>
        </w:rPr>
      </w:pPr>
      <w:r>
        <w:rPr>
          <w:rFonts w:ascii="Times New Roman" w:cs="Times New Roman" w:eastAsia="Times New Roman" w:hAnsi="Times New Roman"/>
          <w:sz w:val="22"/>
          <w:szCs w:val="22"/>
          <w:color w:val="auto"/>
        </w:rPr>
        <w:t>Section 4043(c) of ERISA has occurred with respect to any Pension Plan, other than an event for which the notice requirement has been waived by the PBGC;</w:t>
      </w:r>
    </w:p>
    <w:p>
      <w:pPr>
        <w:spacing w:after="0" w:line="150" w:lineRule="exact"/>
        <w:rPr>
          <w:sz w:val="20"/>
          <w:szCs w:val="20"/>
          <w:color w:val="auto"/>
        </w:rPr>
      </w:pPr>
    </w:p>
    <w:p>
      <w:pPr>
        <w:ind w:left="660" w:firstLine="644"/>
        <w:spacing w:after="0" w:line="236" w:lineRule="auto"/>
        <w:tabs>
          <w:tab w:leader="none" w:pos="195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Pension Plan is being maintained and funded in accordance with its terms and is in compliance with the requirements of the Internal Revenue Code and ERISA;</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Credit Parties or Parent has engaged in a prohibited transaction with respect to any Pension Plan, other than a prohibited transaction for which an exemption is available and has been obtained, which could subject such Credit Parties or the Parent to a material tax or penalty imposed by Section 4975 of the Internal Revenue Code or Section 502(i) of ERISA;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or Parent has had a complete or partial withdrawal from any Multiemployer Plan.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Conditions Affecting Business or Properties</w:t>
      </w:r>
    </w:p>
    <w:p>
      <w:pPr>
        <w:spacing w:after="0" w:line="179" w:lineRule="exact"/>
        <w:rPr>
          <w:sz w:val="20"/>
          <w:szCs w:val="20"/>
          <w:color w:val="auto"/>
        </w:rPr>
      </w:pPr>
    </w:p>
    <w:p>
      <w:pPr>
        <w:jc w:val="both"/>
        <w:ind w:firstLine="8"/>
        <w:spacing w:after="0" w:line="225" w:lineRule="auto"/>
        <w:tabs>
          <w:tab w:leader="none" w:pos="13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respective businesses nor the properties of any Credit Party is affected by any fire, explosion, accident, strike, lockout or other dispute, drought, storm, hail, earthquake, embargo, act of God, or other casualty that could reasonably be expected to have a Material Adverse Effect.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Environmental and Safety Matters</w:t>
      </w:r>
    </w:p>
    <w:p>
      <w:pPr>
        <w:spacing w:after="0" w:line="179" w:lineRule="exact"/>
        <w:rPr>
          <w:sz w:val="20"/>
          <w:szCs w:val="20"/>
          <w:color w:val="auto"/>
        </w:rPr>
      </w:pPr>
    </w:p>
    <w:p>
      <w:pPr>
        <w:ind w:firstLine="8"/>
        <w:spacing w:after="0" w:line="236" w:lineRule="auto"/>
        <w:tabs>
          <w:tab w:leader="none" w:pos="10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 as set forth in </w:t>
      </w:r>
      <w:r>
        <w:rPr>
          <w:rFonts w:ascii="Times New Roman" w:cs="Times New Roman" w:eastAsia="Times New Roman" w:hAnsi="Times New Roman"/>
          <w:sz w:val="22"/>
          <w:szCs w:val="22"/>
          <w:u w:val="single" w:color="auto"/>
          <w:color w:val="auto"/>
        </w:rPr>
        <w:t>Schedule 6.14</w:t>
      </w:r>
      <w:r>
        <w:rPr>
          <w:rFonts w:ascii="Times New Roman" w:cs="Times New Roman" w:eastAsia="Times New Roman" w:hAnsi="Times New Roman"/>
          <w:sz w:val="22"/>
          <w:szCs w:val="22"/>
          <w:color w:val="auto"/>
        </w:rPr>
        <w:t xml:space="preserve"> or as otherwise disclosed to the Lenders in writing or (ii) as would not have a Material Adverse Effect:</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facilities and property owned or leased by the Credit Parties are in compliance with all Hazardous Material Laws;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unresolved and outstanding past, and there are no pending or threatened:</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complaints, notices or requests for information received by any Credit Party with respect to any alleged violation of any Hazardous Material Law, or</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90"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complaints, notices or inquiries to any Credit Party regarding potential liability of any Credit Parties under any Hazardous Material Law;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conditions exist at, on or under any property now or previously owned or leased by any Credit Party which, with the passage of time, or the giving of notice or both, are reasonably likely to give rise to liability under any Hazardous Material Law or create a significant adverse effect on the value of the property.</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u w:val="single" w:color="auto"/>
          <w:color w:val="auto"/>
        </w:rPr>
        <w:t>Subsidiaries</w:t>
      </w:r>
    </w:p>
    <w:p>
      <w:pPr>
        <w:spacing w:after="0" w:line="179" w:lineRule="exact"/>
        <w:rPr>
          <w:sz w:val="20"/>
          <w:szCs w:val="20"/>
          <w:color w:val="auto"/>
        </w:rPr>
      </w:pPr>
    </w:p>
    <w:p>
      <w:pPr>
        <w:jc w:val="both"/>
        <w:ind w:firstLine="8"/>
        <w:spacing w:after="0" w:line="220" w:lineRule="auto"/>
        <w:tabs>
          <w:tab w:leader="none" w:pos="135"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on </w:t>
      </w:r>
      <w:r>
        <w:rPr>
          <w:rFonts w:ascii="Times New Roman" w:cs="Times New Roman" w:eastAsia="Times New Roman" w:hAnsi="Times New Roman"/>
          <w:sz w:val="22"/>
          <w:szCs w:val="22"/>
          <w:u w:val="single" w:color="auto"/>
          <w:color w:val="auto"/>
        </w:rPr>
        <w:t>Schedule 6.15</w:t>
      </w:r>
      <w:r>
        <w:rPr>
          <w:rFonts w:ascii="Times New Roman" w:cs="Times New Roman" w:eastAsia="Times New Roman" w:hAnsi="Times New Roman"/>
          <w:sz w:val="22"/>
          <w:szCs w:val="22"/>
          <w:color w:val="auto"/>
        </w:rPr>
        <w:t xml:space="preserve"> hereto as of the Effective Date, and thereafter, except as disclosed to Administrative Agent in writing from time to time, no Credit Party or the Parent has any Subsidiaries. As of the Effective Date, each Subsidiary that is an Unrestricted Subsidiary is listed as such on </w:t>
      </w:r>
      <w:r>
        <w:rPr>
          <w:rFonts w:ascii="Times New Roman" w:cs="Times New Roman" w:eastAsia="Times New Roman" w:hAnsi="Times New Roman"/>
          <w:sz w:val="22"/>
          <w:szCs w:val="22"/>
          <w:u w:val="single" w:color="auto"/>
          <w:color w:val="auto"/>
        </w:rPr>
        <w:t>Schedule 6.15</w:t>
      </w:r>
      <w:r>
        <w:rPr>
          <w:rFonts w:ascii="Times New Roman" w:cs="Times New Roman" w:eastAsia="Times New Roman" w:hAnsi="Times New Roman"/>
          <w:sz w:val="22"/>
          <w:szCs w:val="22"/>
          <w:color w:val="auto"/>
        </w:rPr>
        <w:t xml:space="preserve"> and is designated so in accordance with the terms of this Agreement. After the Effective Date, the Administrative Agent has received prompt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240"/>
          </w:cols>
          <w:pgMar w:left="320" w:top="139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color w:val="auto"/>
        </w:rPr>
        <w:t>notice of the existence of each Unrestricted Subsidiary formed, acquired, created or converted after the Effective Date.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u w:val="single" w:color="auto"/>
          <w:color w:val="auto"/>
        </w:rPr>
        <w:t>Capital Structure</w:t>
      </w:r>
    </w:p>
    <w:p>
      <w:pPr>
        <w:spacing w:after="0" w:line="179" w:lineRule="exact"/>
        <w:rPr>
          <w:sz w:val="20"/>
          <w:szCs w:val="20"/>
          <w:color w:val="auto"/>
        </w:rPr>
      </w:pPr>
    </w:p>
    <w:p>
      <w:pPr>
        <w:jc w:val="both"/>
        <w:ind w:firstLine="8"/>
        <w:spacing w:after="0" w:line="212" w:lineRule="auto"/>
        <w:tabs>
          <w:tab w:leader="none" w:pos="10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6.16</w:t>
      </w:r>
      <w:r>
        <w:rPr>
          <w:rFonts w:ascii="Times New Roman" w:cs="Times New Roman" w:eastAsia="Times New Roman" w:hAnsi="Times New Roman"/>
          <w:sz w:val="22"/>
          <w:szCs w:val="22"/>
          <w:color w:val="auto"/>
        </w:rPr>
        <w:t xml:space="preserve"> attached hereto sets forth all issued and outstanding Equity Interests of each Credit Party, including the number of authorized, issued and outstanding Equity Interests of each Credit Party, the par value of such Equity Interests and the holders of such Equity Interests, all on and as of the Effective Date. All issued and outstanding Equity Interests of each Credit Party are duly authorized and validly issued, fully paid, nonassessable, free and clear of all Liens (except for the benefit of Administrative Agent) and such Equity Interests were issued in compliance with all applicable state, federal and foreign laws concerning the issuance of securities. Except as disclosed on </w:t>
      </w:r>
      <w:r>
        <w:rPr>
          <w:rFonts w:ascii="Times New Roman" w:cs="Times New Roman" w:eastAsia="Times New Roman" w:hAnsi="Times New Roman"/>
          <w:sz w:val="22"/>
          <w:szCs w:val="22"/>
          <w:u w:val="single" w:color="auto"/>
          <w:color w:val="auto"/>
        </w:rPr>
        <w:t>Schedule 6.16</w:t>
      </w:r>
      <w:r>
        <w:rPr>
          <w:rFonts w:ascii="Times New Roman" w:cs="Times New Roman" w:eastAsia="Times New Roman" w:hAnsi="Times New Roman"/>
          <w:sz w:val="22"/>
          <w:szCs w:val="22"/>
          <w:color w:val="auto"/>
        </w:rPr>
        <w:t>, there are no preemptive or other outstanding rights, options, warrants, conversion rights or similar agreements or understandings for the purchase or acquisition from any Credit Party, of any Equity Interests of any Credit Party.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u w:val="single" w:color="auto"/>
          <w:color w:val="auto"/>
        </w:rPr>
        <w:t>Accuracy of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financial statements for the Fiscal Year ended December 31, 2020, and the unaudited consolidated financial statements at September 30, 2021, furnished to Administrative Agent and Lenders prior to the Effective Date fairly present in all material respects the financial condition of Parent and its Subsidiaries and the results of their operations for the periods covered thereby, and have been prepared in accordance with GAAP (subject, in the case of the interim financial statements, to normal year-end adjustments, including tests for impairment of assets and lack of footnotes).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2020, there has been no change, circumstance or event that has had a Material Adverse Effect.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u w:val="single" w:color="auto"/>
          <w:color w:val="auto"/>
        </w:rPr>
        <w:t>Solvency</w:t>
      </w:r>
    </w:p>
    <w:p>
      <w:pPr>
        <w:spacing w:after="0" w:line="179" w:lineRule="exact"/>
        <w:rPr>
          <w:sz w:val="20"/>
          <w:szCs w:val="20"/>
          <w:color w:val="auto"/>
        </w:rPr>
      </w:pPr>
    </w:p>
    <w:p>
      <w:pPr>
        <w:jc w:val="both"/>
        <w:ind w:firstLine="8"/>
        <w:spacing w:after="0" w:line="211" w:lineRule="auto"/>
        <w:tabs>
          <w:tab w:leader="none" w:pos="10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transactions contemplated hereby, (a) the assets (after giving effect to amounts that could reasonably be received by reason of indemnity, offset, insurance or any similar arrangement), at a fair market valuation, of the Parent and the Credit Parties on a consolidated basis will exceed the aggregate Debt of the Parent and the Credit Parties on a consolidated basis, as the Debt becomes absolute and matures, (b) the Parent and the Credit Parties on a consolidated basis will not have incurred or intended to incur Debt beyond their ability to pay such Debt (after taking into account the timing and amounts of cash to be received by Parent and each of the Credit Parties and the amounts to be payable on or in respect of their liabilities, and giving effect to amounts that could reasonably be received by reason of indemnity, offset, insurance or any similar arrangement) as such Debt becomes absolute and matures and (c) the Parent and the Credit Parties on a consolidated basis will not have unreasonably small capital for the conduct of their business taken as a whole.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u w:val="single" w:color="auto"/>
          <w:color w:val="auto"/>
        </w:rPr>
        <w:t>No Misrepresentation</w:t>
      </w:r>
    </w:p>
    <w:p>
      <w:pPr>
        <w:spacing w:after="0" w:line="179" w:lineRule="exact"/>
        <w:rPr>
          <w:sz w:val="20"/>
          <w:szCs w:val="20"/>
          <w:color w:val="auto"/>
        </w:rPr>
      </w:pPr>
    </w:p>
    <w:p>
      <w:pPr>
        <w:jc w:val="both"/>
        <w:ind w:firstLine="8"/>
        <w:spacing w:after="0" w:line="217" w:lineRule="auto"/>
        <w:tabs>
          <w:tab w:leader="none" w:pos="17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information, statements, exhibits, certificates, documents and reports, taken as a whole, furnished to the Administrative Agent and the Lenders (or any of them) by Borrower, any other Credit Party or Parent in connection with the negotiation or administration of this Agreement or any other Loan Document, or any other transaction contemplated hereby, do not contain any material misstatement of a material fact and do not omit to state a material fact or any fact necessary to make the statement contained therein not materially misleading in the light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1240"/>
          </w:cols>
          <w:pgMar w:left="320" w:top="1395" w:right="339" w:bottom="1440" w:gutter="0" w:footer="0" w:header="0"/>
        </w:sectPr>
      </w:pPr>
    </w:p>
    <w:bookmarkStart w:id="133" w:name="page134"/>
    <w:bookmarkEnd w:id="133"/>
    <w:p>
      <w:pPr>
        <w:jc w:val="both"/>
        <w:spacing w:after="0" w:line="210" w:lineRule="auto"/>
        <w:rPr>
          <w:sz w:val="20"/>
          <w:szCs w:val="20"/>
          <w:color w:val="auto"/>
        </w:rPr>
      </w:pPr>
      <w:r>
        <w:rPr>
          <w:rFonts w:ascii="Times New Roman" w:cs="Times New Roman" w:eastAsia="Times New Roman" w:hAnsi="Times New Roman"/>
          <w:sz w:val="22"/>
          <w:szCs w:val="22"/>
          <w:color w:val="auto"/>
        </w:rPr>
        <w:t>of the circumstances in which made and with respect to Borrower and its Restricted Subsidiaries taken as a whole. All projections and pro-forma financial information contained in the documents and materials referenced above are based upon good faith estimates and assumptions believed by management of Borrower to be reasonable at the time made, it being recognized by Administrative Agent and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other than information known to the public generally, known to any Credit Party, that could reasonably be expected to have a Material Adverse Effect that has not expressly been disclosed to Administrative Agent in writing. Neither Borrower nor any Restricted Subsidiary or Parent is in default nor has any event or circumstance occurred which, but for the expiration of any applicable grace period or the giving of notice, or both, would constitute a default under any material agreement or instrument to which the Parent or any Credit Party is a party or by which the Parent or any Credit Party is bound which default could reasonably be expected to have a Material Adverse Effect.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u w:val="single" w:color="auto"/>
          <w:color w:val="auto"/>
        </w:rPr>
        <w:t>Engineering Reports</w:t>
      </w:r>
    </w:p>
    <w:p>
      <w:pPr>
        <w:spacing w:after="0" w:line="179" w:lineRule="exact"/>
        <w:rPr>
          <w:sz w:val="20"/>
          <w:szCs w:val="20"/>
          <w:color w:val="auto"/>
        </w:rPr>
      </w:pPr>
    </w:p>
    <w:p>
      <w:pPr>
        <w:jc w:val="both"/>
        <w:ind w:firstLine="8"/>
        <w:spacing w:after="0" w:line="221" w:lineRule="auto"/>
        <w:tabs>
          <w:tab w:leader="none" w:pos="135"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Credit Party executing a Mortgage owns or will own (subject to Liens permitted by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the net interest and production attributable to the material Mortgaged Properties evaluated in the engineering reports it has most recently furnished to Administrative Agent. The ownership of such properties shall not in the aggregate in any material respect obligate such Credit Party to bear costs and expenses relating to the maintenance, development and operations of such properties in an amount materially in excess of the working interests of such properties as shown in such engineering reports most recently furnished to Administrative Agent. Each Credit Party executing a Mortgage has paid all royalties payable under the oil and gas leases to which it is an operator, except (a) those contested in accordance with the terms of the applicable joint operating agreement or otherwise contested in good faith by appropriate proceedings, or (b) to the extent such failure would not reasonably be expected to cause or result in a Material Adverse Effect. Upon delivery of each Reserve Report furnished to Lenders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7.15</w:t>
      </w:r>
      <w:r>
        <w:rPr>
          <w:rFonts w:ascii="Times New Roman" w:cs="Times New Roman" w:eastAsia="Times New Roman" w:hAnsi="Times New Roman"/>
          <w:sz w:val="21"/>
          <w:szCs w:val="21"/>
          <w:color w:val="auto"/>
        </w:rPr>
        <w:t xml:space="preserve">, the statements made in the preceding sentences of this </w:t>
      </w:r>
      <w:r>
        <w:rPr>
          <w:rFonts w:ascii="Times New Roman" w:cs="Times New Roman" w:eastAsia="Times New Roman" w:hAnsi="Times New Roman"/>
          <w:sz w:val="21"/>
          <w:szCs w:val="21"/>
          <w:u w:val="single" w:color="auto"/>
          <w:color w:val="auto"/>
        </w:rPr>
        <w:t>Section 6.20</w:t>
      </w:r>
      <w:r>
        <w:rPr>
          <w:rFonts w:ascii="Times New Roman" w:cs="Times New Roman" w:eastAsia="Times New Roman" w:hAnsi="Times New Roman"/>
          <w:sz w:val="21"/>
          <w:szCs w:val="21"/>
          <w:color w:val="auto"/>
        </w:rPr>
        <w:t xml:space="preserve"> shall be true with respect to such Reserve Reports.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u w:val="single" w:color="auto"/>
          <w:color w:val="auto"/>
        </w:rPr>
        <w:t>Gas Balancing Agreements and Advance Payment Contracts</w:t>
      </w:r>
    </w:p>
    <w:p>
      <w:pPr>
        <w:spacing w:after="0" w:line="179" w:lineRule="exact"/>
        <w:rPr>
          <w:sz w:val="20"/>
          <w:szCs w:val="20"/>
          <w:color w:val="auto"/>
        </w:rPr>
      </w:pPr>
    </w:p>
    <w:p>
      <w:pPr>
        <w:jc w:val="both"/>
        <w:ind w:firstLine="8"/>
        <w:spacing w:after="0" w:line="225" w:lineRule="auto"/>
        <w:tabs>
          <w:tab w:leader="none" w:pos="12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6.21</w:t>
      </w:r>
      <w:r>
        <w:rPr>
          <w:rFonts w:ascii="Times New Roman" w:cs="Times New Roman" w:eastAsia="Times New Roman" w:hAnsi="Times New Roman"/>
          <w:sz w:val="22"/>
          <w:szCs w:val="22"/>
          <w:color w:val="auto"/>
        </w:rPr>
        <w:t>, as of the Effective Date, (a) there is no Material Gas Imbalance, and (b) the aggregate amount of all Advance Payments received by any Credit Party under Advance Payment Contracts which have not been satisfied by delivery of production does not exceed $1,000,000.</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Commodity Hedging Agreements</w:t>
      </w:r>
    </w:p>
    <w:p>
      <w:pPr>
        <w:spacing w:after="0" w:line="179" w:lineRule="exact"/>
        <w:rPr>
          <w:sz w:val="20"/>
          <w:szCs w:val="20"/>
          <w:color w:val="auto"/>
        </w:rPr>
      </w:pPr>
    </w:p>
    <w:p>
      <w:pPr>
        <w:jc w:val="both"/>
        <w:ind w:firstLine="8"/>
        <w:spacing w:after="0" w:line="220" w:lineRule="auto"/>
        <w:tabs>
          <w:tab w:leader="none" w:pos="10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6.22(a)</w:t>
      </w:r>
      <w:r>
        <w:rPr>
          <w:rFonts w:ascii="Times New Roman" w:cs="Times New Roman" w:eastAsia="Times New Roman" w:hAnsi="Times New Roman"/>
          <w:sz w:val="22"/>
          <w:szCs w:val="22"/>
          <w:color w:val="auto"/>
        </w:rPr>
        <w:t xml:space="preserve"> sets forth, as of the Effective Date, a true and complete list of all Commodity Hedging Agreements (other than Excluded Hedges) of the Credit Parties, the material terms thereof (including the type, term, effective date, termination date and notional amounts or volumes), the net mark to market value thereof (as of September 30, 2021), all credit support agreements relating thereto (including any margin required or supplied), and the counterparty to each such agreement.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Corporate Documents and Corporate Existence</w:t>
      </w:r>
    </w:p>
    <w:p>
      <w:pPr>
        <w:spacing w:after="0" w:line="179" w:lineRule="exact"/>
        <w:rPr>
          <w:sz w:val="20"/>
          <w:szCs w:val="20"/>
          <w:color w:val="auto"/>
        </w:rPr>
      </w:pPr>
    </w:p>
    <w:p>
      <w:pPr>
        <w:jc w:val="both"/>
        <w:ind w:firstLine="8"/>
        <w:spacing w:after="0" w:line="225" w:lineRule="auto"/>
        <w:tabs>
          <w:tab w:leader="none" w:pos="14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the Parent and each Credit Party, (a) it is an organization as described on </w:t>
      </w:r>
      <w:r>
        <w:rPr>
          <w:rFonts w:ascii="Times New Roman" w:cs="Times New Roman" w:eastAsia="Times New Roman" w:hAnsi="Times New Roman"/>
          <w:sz w:val="22"/>
          <w:szCs w:val="22"/>
          <w:u w:val="single" w:color="auto"/>
          <w:color w:val="auto"/>
        </w:rPr>
        <w:t>Schedule 6.23</w:t>
      </w:r>
      <w:r>
        <w:rPr>
          <w:rFonts w:ascii="Times New Roman" w:cs="Times New Roman" w:eastAsia="Times New Roman" w:hAnsi="Times New Roman"/>
          <w:sz w:val="22"/>
          <w:szCs w:val="22"/>
          <w:color w:val="auto"/>
        </w:rPr>
        <w:t xml:space="preserve"> hereto and has provided Administrative Agent with complete and correct copies of its Organizational Documents in effect on the Effective Date, and, if applicable, a good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1240"/>
          </w:cols>
          <w:pgMar w:left="320" w:top="1394" w:right="339" w:bottom="1440" w:gutter="0" w:footer="0" w:header="0"/>
        </w:sectPr>
      </w:pPr>
    </w:p>
    <w:bookmarkStart w:id="134" w:name="page135"/>
    <w:bookmarkEnd w:id="134"/>
    <w:p>
      <w:pPr>
        <w:spacing w:after="0" w:line="226" w:lineRule="auto"/>
        <w:rPr>
          <w:sz w:val="20"/>
          <w:szCs w:val="20"/>
          <w:color w:val="auto"/>
        </w:rPr>
      </w:pPr>
      <w:r>
        <w:rPr>
          <w:rFonts w:ascii="Times New Roman" w:cs="Times New Roman" w:eastAsia="Times New Roman" w:hAnsi="Times New Roman"/>
          <w:sz w:val="21"/>
          <w:szCs w:val="21"/>
          <w:color w:val="auto"/>
        </w:rPr>
        <w:t>certificate within 30 days of the Effective Date and (b) its correct legal name, business address, type of organization and jurisdiction of organization, tax identification number and organization identification number from its jurisdiction of organization</w:t>
      </w:r>
    </w:p>
    <w:p>
      <w:pPr>
        <w:spacing w:after="0" w:line="1" w:lineRule="exact"/>
        <w:rPr>
          <w:sz w:val="20"/>
          <w:szCs w:val="20"/>
          <w:color w:val="auto"/>
        </w:rPr>
      </w:pPr>
    </w:p>
    <w:p>
      <w:pPr>
        <w:ind w:firstLine="8"/>
        <w:spacing w:after="0" w:line="225" w:lineRule="auto"/>
        <w:tabs>
          <w:tab w:leader="none" w:pos="27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Effective Date, are set forth on </w:t>
      </w:r>
      <w:r>
        <w:rPr>
          <w:rFonts w:ascii="Times New Roman" w:cs="Times New Roman" w:eastAsia="Times New Roman" w:hAnsi="Times New Roman"/>
          <w:sz w:val="22"/>
          <w:szCs w:val="22"/>
          <w:u w:val="single" w:color="auto"/>
          <w:color w:val="auto"/>
        </w:rPr>
        <w:t>Schedule 6.23</w:t>
      </w:r>
      <w:r>
        <w:rPr>
          <w:rFonts w:ascii="Times New Roman" w:cs="Times New Roman" w:eastAsia="Times New Roman" w:hAnsi="Times New Roman"/>
          <w:sz w:val="22"/>
          <w:szCs w:val="22"/>
          <w:color w:val="auto"/>
        </w:rPr>
        <w:t xml:space="preserve"> hereto or (ii) after the Effective Date, as disclosed to Administrative Agent in writing.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7. AFFIRMATIVE COVENANTS.</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Borrower covenants and agrees, so long as any Lender has any commitment to extend credit hereunder, or any of the Indebtedness remains outstanding and unpaid (excluding contingent reimbursement and indemnification obligations for which no claim has been made and Lender Hedging Obligations and Lender Product Obligations) that it will, and, as applicable, it will cause each of its Restricted Subsidiaries to:</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Financial Statements</w:t>
      </w:r>
    </w:p>
    <w:p>
      <w:pPr>
        <w:spacing w:after="0" w:line="179" w:lineRule="exact"/>
        <w:rPr>
          <w:sz w:val="20"/>
          <w:szCs w:val="20"/>
          <w:color w:val="auto"/>
        </w:rPr>
      </w:pPr>
    </w:p>
    <w:p>
      <w:pPr>
        <w:ind w:left="120" w:hanging="112"/>
        <w:spacing w:after="0"/>
        <w:tabs>
          <w:tab w:leader="none" w:pos="1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Administrative Agent, for delivery to each Lender, the following documents: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3"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ninety (90) days after the end of each Fiscal Year, a copy of the audited Consolidated balance sheet of Parent and its Subsidiaries as at the end of such Fiscal Year and the related audited Consolidated statements of income, equity, and cash flows of Parent and its Subsidiaries for such Fiscal Year, setting forth in each case in comparative form the figures for the previous Fiscal Year, certified by KPMG or another independent, nationally recognized certified public accounting firm reasonably satisfactory to Administrative Agent; and</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13" w:lineRule="auto"/>
        <w:tabs>
          <w:tab w:leader="none" w:pos="1951"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sixty (60) days after the end of each Fiscal Quarter of the Credit Parties (excluding the last quarter of each Fiscal Year) subject to standard audit adjustments, Borrower prepared unaudited Consolidated balance sheet of Parent and its Subsidiaries as at the end of such Fiscal Quarter and the related unaudited statements of income, equity and cash flows of Parent and its Subsidiaries for the portion of the Fiscal Year through the end of such Fiscal Quarter, setting forth in each case in comparative form the figures for the corresponding periods in the previous Fiscal Year, and certified by a Responsible Officer of Borrower as being fairly stated in all material respects (subject to year-end audit adjustments).</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All such financial statements shall be complete and correct in all material respects and be prepared in reasonable detail and in accordance with GAAP throughout the periods reflected therein and with prior periods (except as approved by a Responsible Officer and disclosed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the financial statements delivered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hereof will not be required to include footnotes and will be subject to change for audit and year-end adjustments.</w:t>
      </w:r>
    </w:p>
    <w:p>
      <w:pPr>
        <w:spacing w:after="0" w:line="15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(to the extent any such documents are included in materials otherwise filed with the SEC) may be delivered electronically and if so delivered, shall be deemed to have been delivered on the date (1) on which Borrower posts such documents, or provides a link thereto, on Borrower’s website on the Internet at http://www.matadorresources.com or (2) on which such documents are posted on Borrower’s behalf on an Internet or intranet website, if any, to which each Lender and the Administrative Agent have access (whether a commercial, third-party website or whether sponsored by the Administrative Agent); provided that Borrower shall notify the Administrative Agent (by telecopier or electronic mail) of the posting of any such documents and, upon request, provide to the Administrative Agent by electronic mail electronic versions (i.e., soft copies) of such documents. If requested by the Administrative Agent, Borrower shall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1240"/>
          </w:cols>
          <w:pgMar w:left="320" w:top="139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 xml:space="preserve">provide paper copies of the Compliance Certificates required by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to the Administrative Agent.</w:t>
      </w:r>
    </w:p>
    <w:p>
      <w:pPr>
        <w:spacing w:after="0" w:line="179"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Borrower hereby acknowledges that (a) the Administrative Agent may, but shall not be obligated to, make available to the Lenders and the Issuing Lenders materials and/or information provided by or on behalf of Borrower hereunder (collectively, “</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by posting Borrower Materials on Debt Domain, IntraLinks, Syndtrak or another similar electronic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and (b) certain of the Lenders (each, a “</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(w) all Borrower Materials that are to be made available to Public Lenders shall be clearly and conspicuously marked “PUBLIC” which, at a minimum, shall mean that the word “PUBLIC” shall appear prominently on the first page thereof; provided that such Public Lenders identify themselves as such in writing to Borrower and Administrative Agent; (x) by marking Borrower Materials “PUBLIC,” Borrower shall be deemed to have authorized the Administrative Agent, any Joint Lead Arranger, any Issuing Lender and the Lenders to treat such Borrower Materials as not containing any material non-public information with respect to Borrower or its securities for purposes of United States Federal and state securities laws (provided, however, that to the extent such Borrower Materials constitute Information, they shall be treated as set forth in </w:t>
      </w:r>
      <w:r>
        <w:rPr>
          <w:rFonts w:ascii="Times New Roman" w:cs="Times New Roman" w:eastAsia="Times New Roman" w:hAnsi="Times New Roman"/>
          <w:sz w:val="22"/>
          <w:szCs w:val="22"/>
          <w:u w:val="single" w:color="auto"/>
          <w:color w:val="auto"/>
        </w:rPr>
        <w:t>Section 13.10</w:t>
      </w:r>
      <w:r>
        <w:rPr>
          <w:rFonts w:ascii="Times New Roman" w:cs="Times New Roman" w:eastAsia="Times New Roman" w:hAnsi="Times New Roman"/>
          <w:sz w:val="22"/>
          <w:szCs w:val="22"/>
          <w:color w:val="auto"/>
        </w:rPr>
        <w:t>);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Notwithstanding the foregoing, Borrower shall be under no obligation to mark any Borrower Materials “PUBLIC”.</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Certificates; Other Information</w:t>
      </w:r>
    </w:p>
    <w:p>
      <w:pPr>
        <w:spacing w:after="0" w:line="179" w:lineRule="exact"/>
        <w:rPr>
          <w:sz w:val="20"/>
          <w:szCs w:val="20"/>
          <w:color w:val="auto"/>
        </w:rPr>
      </w:pPr>
    </w:p>
    <w:p>
      <w:pPr>
        <w:ind w:left="120" w:hanging="112"/>
        <w:spacing w:after="0"/>
        <w:tabs>
          <w:tab w:leader="none" w:pos="12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to Administrative Agent, for delivery to each Lender, the following documents: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of the financial statements described in </w:t>
      </w:r>
      <w:r>
        <w:rPr>
          <w:rFonts w:ascii="Times New Roman" w:cs="Times New Roman" w:eastAsia="Times New Roman" w:hAnsi="Times New Roman"/>
          <w:sz w:val="22"/>
          <w:szCs w:val="22"/>
          <w:u w:val="single" w:color="auto"/>
          <w:color w:val="auto"/>
        </w:rPr>
        <w:t>Sections 7.1(a)</w:t>
      </w:r>
      <w:r>
        <w:rPr>
          <w:rFonts w:ascii="Times New Roman" w:cs="Times New Roman" w:eastAsia="Times New Roman" w:hAnsi="Times New Roman"/>
          <w:sz w:val="22"/>
          <w:szCs w:val="22"/>
          <w:color w:val="auto"/>
        </w:rPr>
        <w:t xml:space="preserve"> for each Fiscal Year end, and </w:t>
      </w:r>
      <w:r>
        <w:rPr>
          <w:rFonts w:ascii="Times New Roman" w:cs="Times New Roman" w:eastAsia="Times New Roman" w:hAnsi="Times New Roman"/>
          <w:sz w:val="22"/>
          <w:szCs w:val="22"/>
          <w:u w:val="single" w:color="auto"/>
          <w:color w:val="auto"/>
        </w:rPr>
        <w:t>7.1(b)</w:t>
      </w:r>
      <w:r>
        <w:rPr>
          <w:rFonts w:ascii="Times New Roman" w:cs="Times New Roman" w:eastAsia="Times New Roman" w:hAnsi="Times New Roman"/>
          <w:sz w:val="22"/>
          <w:szCs w:val="22"/>
          <w:color w:val="auto"/>
        </w:rPr>
        <w:t xml:space="preserve"> for each Fiscal Quarter end, a Compliance Certificate duly executed by a Responsible Officer;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applicable, promptly upon its becoming available, each financial statement, report, notice or proxy statement sent by Parent to its shareholders generally and each regular or periodic report and any registration statement, prospectus or written communication (other than transmittal letters) in respect thereof filed by Parent with or received by Parent in connection therewith from any securities exchange or the SEC or any successor agency;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3"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furnishing or receipt thereof, copies of any material statement, report or notice furnished to or received from any Person pursuant to the terms of any indenture, loan or credit or other similar agreement evidencing Material Debt, other than this Agreement and not otherwise required to be furnished to the Lenders pursuant to any other provision of this section (including a copy of any notice of default received from any holder or holders of any Senior Notes or any trustee or agent on its or their behalf, to the extent such notice has not otherwise been delivered to the Administrative Agent hereunder);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reasonable request of the Administrative Agent, within thirty (30) days after the end of each month (the “</w:t>
      </w:r>
      <w:r>
        <w:rPr>
          <w:rFonts w:ascii="Times New Roman" w:cs="Times New Roman" w:eastAsia="Times New Roman" w:hAnsi="Times New Roman"/>
          <w:sz w:val="22"/>
          <w:szCs w:val="22"/>
          <w:u w:val="single" w:color="auto"/>
          <w:color w:val="auto"/>
        </w:rPr>
        <w:t>Reported Month</w:t>
      </w:r>
      <w:r>
        <w:rPr>
          <w:rFonts w:ascii="Times New Roman" w:cs="Times New Roman" w:eastAsia="Times New Roman" w:hAnsi="Times New Roman"/>
          <w:sz w:val="22"/>
          <w:szCs w:val="22"/>
          <w:color w:val="auto"/>
        </w:rPr>
        <w:t>”), a monthly report, in form and substance satisfactory to the Majority Lenders, indicating the Reported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1240"/>
          </w:cols>
          <w:pgMar w:left="320" w:top="1394" w:right="339" w:bottom="1440" w:gutter="0" w:footer="0" w:header="0"/>
        </w:sectPr>
      </w:pPr>
    </w:p>
    <w:bookmarkStart w:id="136" w:name="page137"/>
    <w:bookmarkEnd w:id="136"/>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production volumes for each well on the Oil and Gas Properties of the Credit Parties, sales volumes, sales revenues, production taxes, operating expenses and net operating income from production from such Oil and Gas Properties, with detailed calculations and worksheets;</w:t>
      </w:r>
    </w:p>
    <w:p>
      <w:pPr>
        <w:spacing w:after="0" w:line="153" w:lineRule="exact"/>
        <w:rPr>
          <w:sz w:val="20"/>
          <w:szCs w:val="20"/>
          <w:color w:val="auto"/>
        </w:rPr>
      </w:pPr>
    </w:p>
    <w:p>
      <w:pPr>
        <w:jc w:val="both"/>
        <w:ind w:left="660" w:firstLine="644"/>
        <w:spacing w:after="0" w:line="213" w:lineRule="auto"/>
        <w:tabs>
          <w:tab w:leader="none" w:pos="195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of financial statements under </w:t>
      </w:r>
      <w:r>
        <w:rPr>
          <w:rFonts w:ascii="Times New Roman" w:cs="Times New Roman" w:eastAsia="Times New Roman" w:hAnsi="Times New Roman"/>
          <w:sz w:val="22"/>
          <w:szCs w:val="22"/>
          <w:u w:val="single" w:color="auto"/>
          <w:color w:val="auto"/>
        </w:rPr>
        <w:t>Sections 7.1(a)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7.1(b)</w:t>
      </w:r>
      <w:r>
        <w:rPr>
          <w:rFonts w:ascii="Times New Roman" w:cs="Times New Roman" w:eastAsia="Times New Roman" w:hAnsi="Times New Roman"/>
          <w:sz w:val="22"/>
          <w:szCs w:val="22"/>
          <w:color w:val="auto"/>
        </w:rPr>
        <w:t xml:space="preserve">, a certificate of a Responsible Officer of Borrower, in form and substance reasonably satisfactory to Administrative Agent, setting forth as of the last day of such Fiscal Quarter or Fiscal Year, as applicable, a true and complete list of all Commodity Hedging Agreements (other than Excluded Hedges) of the Credit Parties, the material terms thereof (including the type, term, effective date, termination date and notional amounts or volumes), the net mark to market value thereof (as of the last day of such fiscal quarter or fiscal year), any new credit support agreements relating thereto not listed on </w:t>
      </w:r>
      <w:r>
        <w:rPr>
          <w:rFonts w:ascii="Times New Roman" w:cs="Times New Roman" w:eastAsia="Times New Roman" w:hAnsi="Times New Roman"/>
          <w:sz w:val="22"/>
          <w:szCs w:val="22"/>
          <w:u w:val="single" w:color="auto"/>
          <w:color w:val="auto"/>
        </w:rPr>
        <w:t>Schedule 6.22(a)</w:t>
      </w:r>
      <w:r>
        <w:rPr>
          <w:rFonts w:ascii="Times New Roman" w:cs="Times New Roman" w:eastAsia="Times New Roman" w:hAnsi="Times New Roman"/>
          <w:sz w:val="22"/>
          <w:szCs w:val="22"/>
          <w:color w:val="auto"/>
        </w:rPr>
        <w:t xml:space="preserve"> (including any margin required or supplied), and the counterparty to each such agreement; and</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Senior Notes</w:t>
      </w:r>
      <w:r>
        <w:rPr>
          <w:rFonts w:ascii="Times New Roman" w:cs="Times New Roman" w:eastAsia="Times New Roman" w:hAnsi="Times New Roman"/>
          <w:sz w:val="22"/>
          <w:szCs w:val="22"/>
          <w:color w:val="auto"/>
        </w:rPr>
        <w:t>. In the event the Parent or any Credit Party intends to issue Senior Notes (other than the initial Senior Notes issued or to be issued by the Parent or any Senior Notes in exchange therefor) or refinance any existing Senior Notes with the proceeds of any Permitted Refinancing, written notice of the intended offering promptly following the launch thereof and in any event prior to the closing of such intended offering of such Senior Notes or such Permitted Refinancing, the estimated amount thereof, and the anticipated date of closing, and upon the written request of the Administrative Agent, copies of the preliminary offering memorandum (if any) and the final offering memorandum (if any) relating to such Senior Notes or Permitted Refinancing, as the case may be.</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financial and/or other information regarding the Parent or any Credit Party, or any of their properties or assets as Administrative Agent or any Lender may from time to time reasonably request, promptly following such request.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Payment of Obligations</w:t>
      </w:r>
    </w:p>
    <w:p>
      <w:pPr>
        <w:spacing w:after="0" w:line="179" w:lineRule="exact"/>
        <w:rPr>
          <w:sz w:val="20"/>
          <w:szCs w:val="20"/>
          <w:color w:val="auto"/>
        </w:rPr>
      </w:pPr>
    </w:p>
    <w:p>
      <w:pPr>
        <w:jc w:val="both"/>
        <w:ind w:firstLine="8"/>
        <w:spacing w:after="0" w:line="217" w:lineRule="auto"/>
        <w:tabs>
          <w:tab w:leader="none" w:pos="13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discharge or otherwise satisfy, at or before maturity or before they become delinquent, as the case may be, all of its obligations of whatever nature, including without limitation all assessments, governmental charges, claims for labor, supplies, rent or other obligations, except where (a) the failure to do so could not reasonably be expected to have a Material Adverse Effect or (b) the amount or validity thereof is currently being appropriately contested in good faith and reserves in conformity with GAAP with respect thereto have been provided on the books of the Credit Parties.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Conduct of Business and Maintenance of Existence; Compliance with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36" w:lineRule="auto"/>
        <w:tabs>
          <w:tab w:leader="none" w:pos="1953"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Preserve, renew and keep in full force and effect its existence except as otherwise permitted pursuant to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and maintain its qualifications to do business in each jurisdiction where such qualifications are necessary for its operations and the failure to be so qualified would not be reasonably expected to result in a Material Adverse Effect;</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action it deems necessary in its reasonable business judgment to maintain all rights, privileges, licenses and franchises necessary for the normal conduct of its business except where the failure to so maintain such rights, privileges or franchises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1240"/>
          </w:cols>
          <w:pgMar w:left="320" w:top="1394"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22"/>
          <w:szCs w:val="22"/>
          <w:color w:val="auto"/>
        </w:rPr>
        <w:t>could not, either singly or in the aggregate, reasonably be expected to have a Material Adverse Effect;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all Contractual Obligations and Requirements of Law, except to the extent that failure to comply therewith could not, either singly or in the aggregate, reasonably be expected to have a Material Adverse Effect;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w:t>
      </w:r>
      <w:r>
        <w:rPr>
          <w:rFonts w:ascii="Times New Roman" w:cs="Times New Roman" w:eastAsia="Times New Roman" w:hAnsi="Times New Roman"/>
          <w:sz w:val="21"/>
          <w:szCs w:val="21"/>
          <w:u w:val="single" w:color="auto"/>
          <w:color w:val="auto"/>
        </w:rPr>
        <w:t>Order</w:t>
      </w:r>
      <w:r>
        <w:rPr>
          <w:rFonts w:ascii="Times New Roman" w:cs="Times New Roman" w:eastAsia="Times New Roman" w:hAnsi="Times New Roman"/>
          <w:sz w:val="21"/>
          <w:szCs w:val="21"/>
          <w:color w:val="auto"/>
        </w:rPr>
        <w:t>”), (ii) not engage in the transactions prohibited by Section 2 of that Order or become associated with Persons such that a violation of Section 2 of the Order would arise, and (iii) not become a Person on the list of Specially Designated National and Blocked Persons, or (iv) otherwise not become subject to the limitation of any OFAC regulation or executive order.</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Maintenance of Property; Insurance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its own expense, do or cause to be done all things reasonably necessary to preserve and keep in good repair, working order and efficiency all of its material Oil and Gas Properties and other material properties including, without limitation, all equipment, machinery and facilities, and from time to time will make all the reasonably necessary repairs, renewals and replacements so that at all times the state and condition of its material Oil and Gas Properties and other material properties will be fully preserved and maintained, except to the extent a portion of such properties is no longer capable of producing Hydrocarbons in economically reasonable amounts.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Pay and discharge, or make reasonable and customary efforts to cause to be paid and discharged, all delay rentals, royalties, expenses and indebtedness accruing under the leases or other agreements affecting or pertaining to its material Oil and Gas Properties, (ii) perform or make reasonable and customary efforts to cause to be performed, in accordance with industry standards, the obligations required by each and all of the assignments, deeds, leases, sub leases, contracts and agreements affecting its material interests in its material Oil and Gas Properties and other material properties, (iii) cause each Subsidiary to do all other things necessary to keep unimpaired in all material respects, its rights with respect to its material Oil and Gas Properties and other material properties, and prevent any forfeiture thereof or a default thereunder, except in each case (A) for Liens permitted by the terms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(B) to the extent a portion of such properties is no longer capable of producing Hydrocarbons in economically reasonable amounts and (C) for Dispositions permitted by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Operate its material Oil and Gas Properties and other material properties or cause or make reasonable and customary efforts to cause such material Oil and Gas Properties and other material properties to be operated in a careful and efficient manner in accordance with the practices of the industry and in compliance with all applicable contracts and agreements and in compliance in all material respects with all Requirements of Law.</w:t>
      </w:r>
    </w:p>
    <w:p>
      <w:pPr>
        <w:spacing w:after="0" w:line="152"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Notwithstanding the foregoing, with respect to those Borrowing Base Properties which are being operated by operators other than a Credit Party, Borrower and the other Credit Parties shall not be obligated to perform any undertakings contemplated by the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1240"/>
          </w:cols>
          <w:pgMar w:left="320" w:top="1394" w:right="339" w:bottom="1440" w:gutter="0" w:footer="0" w:header="0"/>
        </w:sectPr>
      </w:pPr>
    </w:p>
    <w:bookmarkStart w:id="138" w:name="page139"/>
    <w:bookmarkEnd w:id="138"/>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and agreements contained herein which are performable only by such operators and are beyond the control of Borrower or such Credit Party, as applicable; provided, however, Borrower and the other Credit Parties agree to promptly take all reasonable actions available under any operating agreements or otherwise to bring about the performance of any such undertakings required to be performed under this Section.</w:t>
      </w:r>
    </w:p>
    <w:p>
      <w:pPr>
        <w:spacing w:after="0" w:line="152" w:lineRule="exact"/>
        <w:rPr>
          <w:sz w:val="20"/>
          <w:szCs w:val="20"/>
          <w:color w:val="auto"/>
        </w:rPr>
      </w:pPr>
    </w:p>
    <w:p>
      <w:pPr>
        <w:jc w:val="both"/>
        <w:ind w:left="660" w:firstLine="644"/>
        <w:spacing w:after="0" w:line="213" w:lineRule="auto"/>
        <w:tabs>
          <w:tab w:leader="none" w:pos="195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with financially sound and reputable insurance companies, insurance in such amounts and against such risks as are customarily maintained by companies engaged in the same or similar businesses operating in the same or similar locations. The loss payable clauses or provisions in said insurance policy or policies insuring any of the Collateral shall name Administrative Agent as lender loss payee and such policies shall name the Administrative Agent as “additional insured”; provided, that if no Default shall have occurred and be continuing, Borrower or any Restricted Subsidiary may use the proceeds of casualty insurance to repair or replace assets or otherwise reinvest such proceeds in its business.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Inspection of Property; Books and Records, Discussions</w:t>
      </w:r>
    </w:p>
    <w:p>
      <w:pPr>
        <w:spacing w:after="0" w:line="179" w:lineRule="exact"/>
        <w:rPr>
          <w:sz w:val="20"/>
          <w:szCs w:val="20"/>
          <w:color w:val="auto"/>
        </w:rPr>
      </w:pPr>
    </w:p>
    <w:p>
      <w:pPr>
        <w:jc w:val="both"/>
        <w:ind w:firstLine="8"/>
        <w:spacing w:after="0" w:line="213" w:lineRule="auto"/>
        <w:tabs>
          <w:tab w:leader="none" w:pos="12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provided that an officer of Borrower may be present at any such discussion with such independent accountants. Reasonable costs and expenses of such inspections and examinations shall be paid by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prior to the occurrence and continuance of an Event of Default, Borrower shall only be obligated to pay for the out-of-pocket and documented reasonable costs and expenses of one inspection and examination by the Administrative Agent per Fiscal Year.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Notices</w:t>
      </w:r>
    </w:p>
    <w:p>
      <w:pPr>
        <w:spacing w:after="0" w:line="179" w:lineRule="exact"/>
        <w:rPr>
          <w:sz w:val="20"/>
          <w:szCs w:val="20"/>
          <w:color w:val="auto"/>
        </w:rPr>
      </w:pPr>
    </w:p>
    <w:p>
      <w:pPr>
        <w:ind w:left="120" w:hanging="112"/>
        <w:spacing w:after="0"/>
        <w:tabs>
          <w:tab w:leader="none" w:pos="1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give written notice to Administrative Agent of:</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 or Event of Default of which any Credit Party has knowledge;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or proceeding existing at any time between the Parent and any Credit Party, on the one hand, and any Governmental Authority or other third party, on the other hand, or any investigation of the Parent or any Credit Party conducted by any Governmental Authority, of which Borrower has knowledge and which in any case if adversely determined would have a Material Adverse Effect;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which any Credit Party believes could reasonably be expected to have a Material Adverse Effect, promptly after concluding that such event could reasonably be expected to have such a Material Adverse Effect;</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damage to the Oil and Gas Properties in excess of the Threshold Amount in the aggregate per</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occurrence;</w:t>
      </w:r>
    </w:p>
    <w:p>
      <w:pPr>
        <w:spacing w:after="0" w:line="155"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which Borrower has knowledge giving rise to an obligation for Borrower to make a mandatory prepayment 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1240"/>
          </w:cols>
          <w:pgMar w:left="320" w:top="1394" w:right="339" w:bottom="1440" w:gutter="0" w:footer="0" w:header="0"/>
        </w:sectPr>
      </w:pPr>
    </w:p>
    <w:bookmarkStart w:id="139" w:name="page140"/>
    <w:bookmarkEnd w:id="139"/>
    <w:p>
      <w:pPr>
        <w:ind w:left="660" w:firstLine="644"/>
        <w:spacing w:after="0" w:line="236" w:lineRule="auto"/>
        <w:tabs>
          <w:tab w:leader="none" w:pos="195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information provided in any Beneficial Ownership Certification delivered to such Lender that would result in a change to the list of beneficial owners identified in such certification.</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Each notice pursuant to this Section shall be accompanied by a statement of a Responsible Officer of Borrower setting forth details of the occurrence referred to therein and, in the case of notices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hereof stating what action the applicable Credit Party has taken or proposes to take with respect thereto.</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Hazardous Material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7" w:lineRule="auto"/>
        <w:tabs>
          <w:tab w:leader="none" w:pos="195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and operate (or cause to be operated) all of its facilities and properties in material compliance with applicable Hazardous Material Laws, keep all material required permits, approvals, certificates, licenses and other authorizations required under such Hazardous Material Laws in effect and remain in compliance therewith, and handle Hazardous Materials in material compliance with all applicable Hazardous Material Laws except to the extent the failure to do any of the foregoing would not reasonably be expected to have a Material Adverse Effect;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in all material respects with Hazardous Material Laws, remediate or monitor contamination arising from a release or disposal of Hazardous Material, which solely, or together with other releases or disposals of Hazardous Materials could reasonably be expected to have a Material Adverse Effect.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Financial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Debt to Consolidated EBITDA Ratio</w:t>
      </w:r>
      <w:r>
        <w:rPr>
          <w:rFonts w:ascii="Times New Roman" w:cs="Times New Roman" w:eastAsia="Times New Roman" w:hAnsi="Times New Roman"/>
          <w:sz w:val="22"/>
          <w:szCs w:val="22"/>
          <w:color w:val="auto"/>
        </w:rPr>
        <w:t>. Maintain, as of the last day of each Fiscal Quarter, commencing with the first Fiscal Quarter ending after the Effective Date, a Total Debt to Consolidated EBITDA Ratio of not more than 3.50 to 1.00.</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Current Ratio</w:t>
      </w:r>
      <w:r>
        <w:rPr>
          <w:rFonts w:ascii="Times New Roman" w:cs="Times New Roman" w:eastAsia="Times New Roman" w:hAnsi="Times New Roman"/>
          <w:sz w:val="22"/>
          <w:szCs w:val="22"/>
          <w:color w:val="auto"/>
        </w:rPr>
        <w:t>. Maintain, as of the last day of each Fiscal Quarter, a Current Ratio of not less than 1.00 to</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Governmental and Other Approvals</w:t>
      </w:r>
    </w:p>
    <w:p>
      <w:pPr>
        <w:spacing w:after="0" w:line="179" w:lineRule="exact"/>
        <w:rPr>
          <w:sz w:val="20"/>
          <w:szCs w:val="20"/>
          <w:color w:val="auto"/>
        </w:rPr>
      </w:pPr>
    </w:p>
    <w:p>
      <w:pPr>
        <w:jc w:val="both"/>
        <w:ind w:firstLine="8"/>
        <w:spacing w:after="0" w:line="213" w:lineRule="auto"/>
        <w:tabs>
          <w:tab w:leader="none" w:pos="14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for, obtain and/or maintain in effect, as applicable, all authorizations, consents, approvals, licenses, qualifications, exemptions, filings, declarations and registrations (whether with any court, Governmental Authority, regulatory authority, securities exchange or otherwise) which are necessary or reasonably requested by Administrative Agent in connection with the execution, delivery and performance by the Parent or any Credit Party, as applicable, of this Agreement, the other Loan Documents, or any other documents or instruments to be executed and/or delivered by the Parent or any Credit Party, as applicable in connection therewith or herewith, except where the failure to so apply for, obtain or maintain could not reasonably be expected to have a Material Adverse Effect.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Compliance with ERISA; ERISA Notices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1240"/>
          </w:cols>
          <w:pgMar w:left="320" w:top="1394" w:right="339" w:bottom="1440" w:gutter="0" w:footer="0" w:header="0"/>
        </w:sectPr>
      </w:pPr>
    </w:p>
    <w:bookmarkStart w:id="140" w:name="page141"/>
    <w:bookmarkEnd w:id="140"/>
    <w:p>
      <w:pPr>
        <w:jc w:val="both"/>
        <w:ind w:left="660" w:firstLine="644"/>
        <w:spacing w:after="0" w:line="225" w:lineRule="auto"/>
        <w:tabs>
          <w:tab w:leader="none" w:pos="195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material respects with all material requirements imposed by ERISA and the Internal Revenue Code, including, but not limited to, the minimum funding requirements for any Pension Plan, except to the extent that any noncompliance could not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5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Administrative Agent upon the occurrence of any of the following events of which Borrower has knowledge if any such event or events would reasonably be expected to have a Material Adverse Effect: (i) the termination, other than a standard termination, as defined in ERISA, of any Pension Plan subject to Subtitle C of Title IV of ERISA by any Credit Party; (ii) the appointment of a trustee by a United States District Court to administer any Pension Plan subject to Title IV of ERISA; (iii) the commencement by the PBGC, of any proceeding to terminate any Pension Plan subject to Title IV of ERISA; (iv) the failure of any Credit Party to make any payment in respect of any Pension Plan required under Section 412 of the Internal Revenue Code or Section 302 of ERISA; (v) the withdrawal of any Credit Party from any Multiemployer Plan if any Credit Party reasonably believes that such withdrawal would give rise to the imposition of Withdrawal Liability with respect thereto; or (vi) the occurrence of (x) a “reportable event” which is required to be reported by a Credit Party under Section 4043 of ERISA other than any event for which the reporting requirement has been waived by the PBGC or (y) a “prohibited transaction” as defined in Section 406 of ERISA or Section 4975 of the Internal Revenue Code other than a transaction for which a statutory exemption is available or an administrative exemption has been obtained.</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Future Restricted Subsidiaries; Additional Collateral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7" w:lineRule="auto"/>
        <w:tabs>
          <w:tab w:leader="none" w:pos="195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date any Person becomes a Restricted Subsidiary (or such longer time period as Administrative Agent may determine), whether by acquisition, an Unrestricted Subsidiary becoming a Restricted Subsidiary or otherwise, cause such new Restricted Subsidiary to execute and deliver to Administrative Agent, for and on behalf of each of the Secured Parties (unless waived by Administrative Agent) a joinder agreement to the Guaranty whereby such Restricted Subsidiary shall become obligated as a Guarantor under the Guaranty;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51"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after the date any Person becomes a Restricted Subsidiary (or such longer time period as Administrative Agent may determine), whether by acquisition, an Unrestricted Subsidiary becoming a Restricted Subsidiary or otherwise, Borrower shall (i) in the event Borrower is the owner of the Equity Interests of such Restricted Subsidiary, pledge such Equity Interests to Administrative Agent, for the benefit of the Secured Parties pursuant to a pledge agreement in form and substance satisfactory to the Administrative Agent (or a joinder to the Pledge Agreement), (ii) in the event that a Credit Party (other than Borrower) is the owner of such Equity Interests, cause such Credit Party to execute and deliver a pledge agreement in form and substance satisfactory to the Administrative Agent (or a joinder to the Pledge Agreement) and pledge such Equity Interests to the Administrative Agent, for the benefit of the Secured Parties, and (iii) take, or cause to be taken, such action as may be necessary to perfect the Liens created pursuant to any such pledge agreement, including the Pledge Agreement, on such Equity Interests.</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Borrower will also deliver, or cause to be delivered, to Administrative Agent such supporting documentation, including without limitation corporate authority items, certificates and opinions of counsel, as may be reasonably required by Administrative Agent in connection with the actions required under this </w:t>
      </w:r>
      <w:r>
        <w:rPr>
          <w:rFonts w:ascii="Times New Roman" w:cs="Times New Roman" w:eastAsia="Times New Roman" w:hAnsi="Times New Roman"/>
          <w:sz w:val="21"/>
          <w:szCs w:val="21"/>
          <w:u w:val="single" w:color="auto"/>
          <w:color w:val="auto"/>
        </w:rPr>
        <w:t>Section 7.12</w:t>
      </w:r>
      <w:r>
        <w:rPr>
          <w:rFonts w:ascii="Times New Roman" w:cs="Times New Roman" w:eastAsia="Times New Roman" w:hAnsi="Times New Roman"/>
          <w:sz w:val="21"/>
          <w:szCs w:val="21"/>
          <w:color w:val="auto"/>
        </w:rPr>
        <w:t>. Upon Administrative Agent’s reasonable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1240"/>
          </w:cols>
          <w:pgMar w:left="320" w:top="1394" w:right="339" w:bottom="1440" w:gutter="0" w:footer="0" w:header="0"/>
        </w:sectPr>
      </w:pPr>
    </w:p>
    <w:bookmarkStart w:id="141" w:name="page142"/>
    <w:bookmarkEnd w:id="141"/>
    <w:p>
      <w:pPr>
        <w:ind w:right="20"/>
        <w:spacing w:after="0" w:line="236" w:lineRule="auto"/>
        <w:rPr>
          <w:sz w:val="20"/>
          <w:szCs w:val="20"/>
          <w:color w:val="auto"/>
        </w:rPr>
      </w:pPr>
      <w:r>
        <w:rPr>
          <w:rFonts w:ascii="Times New Roman" w:cs="Times New Roman" w:eastAsia="Times New Roman" w:hAnsi="Times New Roman"/>
          <w:sz w:val="22"/>
          <w:szCs w:val="22"/>
          <w:color w:val="auto"/>
        </w:rPr>
        <w:t xml:space="preserve">Borrower shall take, or cause to be taken, such additional steps as are necessary under applicable law to perfect and ensure the validity and priority of the Liens granted under this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Use of Proceeds</w:t>
      </w:r>
    </w:p>
    <w:p>
      <w:pPr>
        <w:spacing w:after="0" w:line="179" w:lineRule="exact"/>
        <w:rPr>
          <w:sz w:val="20"/>
          <w:szCs w:val="20"/>
          <w:color w:val="auto"/>
        </w:rPr>
      </w:pPr>
    </w:p>
    <w:p>
      <w:pPr>
        <w:jc w:val="both"/>
        <w:ind w:firstLine="8"/>
        <w:spacing w:after="0" w:line="220" w:lineRule="auto"/>
        <w:tabs>
          <w:tab w:leader="none" w:pos="10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all Advances of the Revolving Credit as set forth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Borrower shall not use any portion of the proceeds of any such Advances for the purpose of purchasing or carrying any “margin stock” (as defined in Regulation U of the Board </w:t>
      </w:r>
      <w:r>
        <w:rPr>
          <w:rFonts w:ascii="Times New Roman" w:cs="Times New Roman" w:eastAsia="Times New Roman" w:hAnsi="Times New Roman"/>
          <w:sz w:val="22"/>
          <w:szCs w:val="22"/>
          <w:color w:val="FF0000"/>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Governors of the Federal Reserve System</w:t>
      </w:r>
      <w:r>
        <w:rPr>
          <w:rFonts w:ascii="Times New Roman" w:cs="Times New Roman" w:eastAsia="Times New Roman" w:hAnsi="Times New Roman"/>
          <w:sz w:val="22"/>
          <w:szCs w:val="22"/>
          <w:color w:val="000000"/>
        </w:rPr>
        <w:t>) in any manner which violates the provisions of Regulation T, U or X of said Board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Governors or for any other purpose in violation of any applicable statute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6960235</wp:posOffset>
            </wp:positionH>
            <wp:positionV relativeFrom="paragraph">
              <wp:posOffset>-356870</wp:posOffset>
            </wp:positionV>
            <wp:extent cx="1739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173990" cy="8890"/>
                    </a:xfrm>
                    <a:prstGeom prst="rect">
                      <a:avLst/>
                    </a:prstGeom>
                    <a:noFill/>
                  </pic:spPr>
                </pic:pic>
              </a:graphicData>
            </a:graphic>
          </wp:anchor>
        </w:drawing>
      </w:r>
    </w:p>
    <w:p>
      <w:pPr>
        <w:spacing w:after="0" w:line="13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Further Assurances and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1" w:lineRule="auto"/>
        <w:tabs>
          <w:tab w:leader="none" w:pos="195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execute and deliver, and cause the Parent and each Restricted Subsidiary to promptly execute and deliver, to Administrative Agent all such other documents, agreements and instruments reasonably requested by the Administrative Agent or the Majority Lenders to effectuate more fully the purposes and intent of this Agreement and the other Loan Documents, or to comply with, cure any defects, or accomplish the covenants and agreements of the Parent, Borrower or any Restricted Subsidiary, as the case may be, in this Agreement and the other Loan Documents, or to further evidence and more fully describe the collateral intended as security for the Indebtedness, or to correct any omissions in this Agreement or any other Loan Document, or to state more fully the obligations secured in any of the Collateral Documents, or to perfect, protect or preserve any Liens created pursuant to this Agreement or any of the Collateral Documents or the priority thereof, or to make any recordings, file any notices or obtain any consents, all as may be necessary or appropriate in connection therewith.</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Administrative Agent and Lenders with (i) any other information required by Section 326 of the USA Patriot Act or necessary for Administrative Agent and Lenders to verify the identity of the Parent or any Credit Party as required by Section 326 of the USA Patriot Act and (ii) information and documentation (including, without limitation, a Beneficial Ownership Certification)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u w:val="single" w:color="auto"/>
          <w:color w:val="auto"/>
        </w:rPr>
        <w:t>Reserve Reports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1" w:lineRule="auto"/>
        <w:tabs>
          <w:tab w:leader="none" w:pos="195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March 1 and September 1 of each year, commencing March 1, 2022, Borrower shall furnish to Administrative Agent and Lenders a Reserve Report dated as of the preceding January 1 of that year for the Reserve Report due March 1 and as of the preceding July 1 of that year for the Reserve Report due September 1. Each Reserve Report required to be delivered on March 1 of each year shall be prepared by or audited by Netherland, Sewell &amp; Associates, Inc. or another independent petroleum consulting firm reasonably acceptable to Administrative Agent. Each other Reserve Report shall be prepared by Borrower’s in-house staff under the supervision of the appropriate officer who shall certify such Reserve Report to be true and accurate in all material respects and, except as disclosed therein, to have been prepared in accordance with the methodology and procedures used in the immediately preceding January 1 Reserve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1240"/>
          </w:cols>
          <w:pgMar w:left="320" w:top="1394" w:right="339" w:bottom="1440" w:gutter="0" w:footer="0" w:header="0"/>
        </w:sectPr>
      </w:pPr>
    </w:p>
    <w:bookmarkStart w:id="142" w:name="page143"/>
    <w:bookmarkEnd w:id="142"/>
    <w:p>
      <w:pPr>
        <w:jc w:val="both"/>
        <w:ind w:left="660" w:firstLine="644"/>
        <w:spacing w:after="0" w:line="222" w:lineRule="auto"/>
        <w:tabs>
          <w:tab w:leader="none" w:pos="1951"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any special determination of the Borrowing Base under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Borrower shall furnish to Administrative Agent and Lenders a Reserve Report prepared by Borrower’s in-house staff under the supervision of the appropriate officer who shall certify such Reserve Report to be true and accurate in all material respects and, except as disclosed therein, and to have been prepared in accordance with the methodology and procedures used in the immediately preceding Reserve Report. Borrower shall provide such Reserve Report with an “as of” date as reasonably requested by Administrative Agent as soon as possible, but in any event no later than sixty (60) days following the receipt of the reasonable request by Administrative Agent. For any special determination requested by Borrower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4.4</w:t>
      </w:r>
      <w:r>
        <w:rPr>
          <w:rFonts w:ascii="Times New Roman" w:cs="Times New Roman" w:eastAsia="Times New Roman" w:hAnsi="Times New Roman"/>
          <w:sz w:val="21"/>
          <w:szCs w:val="21"/>
          <w:color w:val="auto"/>
        </w:rPr>
        <w:t>, the “as of” date shall be not more than 120 days preceding the date of delivery of the corresponding Reserve Report.</w:t>
      </w:r>
    </w:p>
    <w:p>
      <w:pPr>
        <w:spacing w:after="0" w:line="157" w:lineRule="exact"/>
        <w:rPr>
          <w:rFonts w:ascii="Times New Roman" w:cs="Times New Roman" w:eastAsia="Times New Roman" w:hAnsi="Times New Roman"/>
          <w:sz w:val="21"/>
          <w:szCs w:val="21"/>
          <w:color w:val="auto"/>
        </w:rPr>
      </w:pPr>
    </w:p>
    <w:p>
      <w:pPr>
        <w:jc w:val="both"/>
        <w:ind w:left="660" w:firstLine="644"/>
        <w:spacing w:after="0" w:line="217" w:lineRule="auto"/>
        <w:tabs>
          <w:tab w:leader="none" w:pos="1953"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the delivery of each Reserve Report, Borrower shall provide to Administrative Agent and Lenders, a certificate from a Responsible Officer certifying on behalf of Borrower that in all material respects: (i) the information contained in the Reserve Report and any other information delivered in connection therewith is true and correct, (ii) the Credit Parties own good and defensible title to the Borrowing Base Properties evaluated in such Reserve Report (which shall note which Oil and Gas Properties are Mortgaged Properties) and such Borrowing Base Properties are free of all Liens except for Liens permitted under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(iii) except as set forth on an exhibit to the certificate, on a net basis there are no Material Gas Imbalances and the aggregate amount of all Advance Payments received by any Credit Party under Advance Payment Contracts that have not been satisfied by delivery of production does not exceed $1,000,000, and</w:t>
      </w:r>
    </w:p>
    <w:p>
      <w:pPr>
        <w:spacing w:after="0" w:line="5" w:lineRule="exact"/>
        <w:rPr>
          <w:rFonts w:ascii="Times New Roman" w:cs="Times New Roman" w:eastAsia="Times New Roman" w:hAnsi="Times New Roman"/>
          <w:sz w:val="21"/>
          <w:szCs w:val="21"/>
          <w:color w:val="auto"/>
        </w:rPr>
      </w:pPr>
    </w:p>
    <w:p>
      <w:pPr>
        <w:jc w:val="both"/>
        <w:ind w:left="660" w:hanging="4"/>
        <w:spacing w:after="0" w:line="212" w:lineRule="auto"/>
        <w:tabs>
          <w:tab w:leader="none" w:pos="102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their Borrowing Base Properties evaluated in the most recent Reserve Report have been sold since the date of the last Borrowing Base determination except as set forth on an exhibit to the certificate, which certificate shall list (A) all Borrowing Base Properties sold, (B) all Borrowing Base Properties added to and deleted from the immediately prior Reserve Report, showing any change in working interest or net revenue interest and the reason for such change, and (C) all Persons disbursing proceeds to the Credit Parties from the Borrowing Base Properties.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u w:val="single" w:color="auto"/>
          <w:color w:val="auto"/>
        </w:rPr>
        <w:t>Title Information and Mortgage Coverage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xml:space="preserve">. On or before the delivery to Administrative Agent and Lenders of each Reserve Report required by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Borrower will deliver title information in form and substance reasonably acceptable to Administrative Agent covering enough of the Oil and Gas Properties evaluated by such Reserve Report that were not included in the immediately preceding Reserve Report, so that Administrative Agent shall have received together with title information previously delivered to Administrative Agent, reasonably satisfactory title information on at least 85% of the value of the Oil and Gas Properties evaluated by such Reserve Report and constituting Mortgaged Properties.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Cure of Title Defects</w:t>
      </w:r>
      <w:r>
        <w:rPr>
          <w:rFonts w:ascii="Times New Roman" w:cs="Times New Roman" w:eastAsia="Times New Roman" w:hAnsi="Times New Roman"/>
          <w:sz w:val="22"/>
          <w:szCs w:val="22"/>
          <w:color w:val="auto"/>
        </w:rPr>
        <w:t xml:space="preserve">. Upon reasonable request by Administrative Agent, Borrower shall cure any title defects or exceptions which are not Liens permitted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which in the reasonable discretion of Administrative Agent render the title to the Mortgaged Properties not good and defensible (except for Liens permitted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or substitute acceptable Borrowing Base Properties of an equivalent value, with no title defects or exceptions except for Liens permitted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within ninety (90) days after a reasonable request by Administrative Agent or Lenders to cure such defects or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1240"/>
          </w:cols>
          <w:pgMar w:left="320" w:top="1394" w:right="339" w:bottom="1440" w:gutter="0" w:footer="0" w:header="0"/>
        </w:sectPr>
      </w:pPr>
    </w:p>
    <w:bookmarkStart w:id="143" w:name="page144"/>
    <w:bookmarkEnd w:id="143"/>
    <w:p>
      <w:pPr>
        <w:jc w:val="both"/>
        <w:ind w:left="660" w:firstLine="644"/>
        <w:spacing w:after="0" w:line="209" w:lineRule="auto"/>
        <w:tabs>
          <w:tab w:leader="none" w:pos="195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Cure Title Defects</w:t>
      </w:r>
      <w:r>
        <w:rPr>
          <w:rFonts w:ascii="Times New Roman" w:cs="Times New Roman" w:eastAsia="Times New Roman" w:hAnsi="Times New Roman"/>
          <w:sz w:val="22"/>
          <w:szCs w:val="22"/>
          <w:color w:val="auto"/>
        </w:rPr>
        <w:t xml:space="preserve">. If Borrower is unable to cure any title defect required to be cured under </w:t>
      </w:r>
      <w:r>
        <w:rPr>
          <w:rFonts w:ascii="Times New Roman" w:cs="Times New Roman" w:eastAsia="Times New Roman" w:hAnsi="Times New Roman"/>
          <w:sz w:val="22"/>
          <w:szCs w:val="22"/>
          <w:u w:val="single" w:color="auto"/>
          <w:color w:val="auto"/>
        </w:rPr>
        <w:t>Section 7.16(b)</w:t>
      </w:r>
      <w:r>
        <w:rPr>
          <w:rFonts w:ascii="Times New Roman" w:cs="Times New Roman" w:eastAsia="Times New Roman" w:hAnsi="Times New Roman"/>
          <w:sz w:val="22"/>
          <w:szCs w:val="22"/>
          <w:color w:val="auto"/>
        </w:rPr>
        <w:t xml:space="preserve"> above as reasonably requested by Administrative Agent or Lenders to be cured within the 90-day period or Borrower does not comply with the requirements to provide reasonably acceptable title information covering 85% of the value of the Oil and Gas Properties evaluated in the most recent Reserve Report and constituting Mortgaged Properties, such default shall not be a Default or an Event of Default, but instead Administrative Agent and Lenders shall have the right to exercise the following remedy in their sole discretion from time to time, and any failure to so exercise this remedy at any time shall not be a waiver as to future exercise of the remedy by Administrative Agent or Lenders. To the extent that Administrative Agent or the Majority Lenders are not satisfied with title to any Mortgaged Property after the time period in </w:t>
      </w:r>
      <w:r>
        <w:rPr>
          <w:rFonts w:ascii="Times New Roman" w:cs="Times New Roman" w:eastAsia="Times New Roman" w:hAnsi="Times New Roman"/>
          <w:sz w:val="22"/>
          <w:szCs w:val="22"/>
          <w:u w:val="single" w:color="auto"/>
          <w:color w:val="auto"/>
        </w:rPr>
        <w:t>Section 7.15(b)</w:t>
      </w:r>
      <w:r>
        <w:rPr>
          <w:rFonts w:ascii="Times New Roman" w:cs="Times New Roman" w:eastAsia="Times New Roman" w:hAnsi="Times New Roman"/>
          <w:sz w:val="22"/>
          <w:szCs w:val="22"/>
          <w:color w:val="auto"/>
        </w:rPr>
        <w:t xml:space="preserve"> has elapsed, such unacceptable Mortgaged Property shall not count towards the 85% requirement, and Administrative Agent may send a notice to Borrower and Lenders that the then outstanding Borrowing Base shall be reduced by an amount as reasonably determined by Administrative Agent with the concurrence of the Supermajority Lenders to cause Borrower to be in compliance with the requirement to provide reasonably acceptable title information on 85% of the value of the Mortgaged Properties. This new Borrowing Base shall become effective immediately after receipt of such notice.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u w:val="single" w:color="auto"/>
          <w:color w:val="auto"/>
        </w:rPr>
        <w:t>Collateral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3" w:lineRule="auto"/>
        <w:tabs>
          <w:tab w:leader="none" w:pos="195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The Indebtedness shall be secured by a perfected first priority Lien (subject only to Liens permitted under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granted to Administrative Agent for the benefit of the Secured Parties on (i) no less than 85% of the value of Oil and Gas Properties owned by the Credit Parties to which proved reserves of oil or gas are attributed in the most recent Reserve Report, (ii) all tangible and intangible personal property of the Credit Parties (other than Excluded Assets) located on or related to, any of the Mortgaged Properties, (iii) all accounts receivable and other proceeds arising from the sale of Hydrocarbons produced from the Mortgaged Properties, and (iv) the Equity Interests directly or indirectly owned by the Credit Parties in any Restricted Subsidiary</w:t>
      </w:r>
      <w:r>
        <w:rPr>
          <w:rFonts w:ascii="Times New Roman" w:cs="Times New Roman" w:eastAsia="Times New Roman" w:hAnsi="Times New Roman"/>
          <w:sz w:val="22"/>
          <w:szCs w:val="22"/>
          <w:b w:val="1"/>
          <w:bCs w:val="1"/>
          <w:color w:val="auto"/>
        </w:rPr>
        <w:t>.</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Information</w:t>
      </w:r>
      <w:r>
        <w:rPr>
          <w:rFonts w:ascii="Times New Roman" w:cs="Times New Roman" w:eastAsia="Times New Roman" w:hAnsi="Times New Roman"/>
          <w:sz w:val="22"/>
          <w:szCs w:val="22"/>
          <w:color w:val="auto"/>
        </w:rPr>
        <w:t xml:space="preserve">. Upon reasonable request by Administrative Agent in connection with the granting of the Lien on Oil and Gas Properties referred to in clause (a) above, Borrower will provide to Administrative Agent title information in form and substance reasonably satisfactory to Administrative Agent with respect to such Credit Party’s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will not be required to provide title information for more than 85% of the value of the Mortgaged Properties evaluated by the most recent Reserve Report.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Opinions</w:t>
      </w:r>
      <w:r>
        <w:rPr>
          <w:rFonts w:ascii="Times New Roman" w:cs="Times New Roman" w:eastAsia="Times New Roman" w:hAnsi="Times New Roman"/>
          <w:sz w:val="21"/>
          <w:szCs w:val="21"/>
          <w:color w:val="auto"/>
        </w:rPr>
        <w:t>. Promptly after the filing of any new Collateral Document in any state, upon the reasonable request of Administrative Agent, Borrower will provide to Administrative Agent an opinion of counsel addressed to Administrative Agent, for the benefit of Lenders, in form and substance reasonably satisfactory to Administrative Agent, stating that the Collateral Document is valid, binding, and enforceable in accordance with its terms in legally sufficient form for such jurisdiction and containing such other matters as reasonably requested by Administrative Agent.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u w:val="single" w:color="auto"/>
          <w:color w:val="auto"/>
        </w:rPr>
        <w:t>[Reserved]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1240"/>
          </w:cols>
          <w:pgMar w:left="320" w:top="1394" w:right="339" w:bottom="1440" w:gutter="0" w:footer="0" w:header="0"/>
        </w:sectPr>
      </w:pPr>
    </w:p>
    <w:bookmarkStart w:id="144" w:name="page145"/>
    <w:bookmarkEnd w:id="144"/>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u w:val="single" w:color="auto"/>
          <w:color w:val="auto"/>
        </w:rPr>
        <w:t>Consolidated Cash Balance Information</w:t>
      </w:r>
    </w:p>
    <w:p>
      <w:pPr>
        <w:spacing w:after="0" w:line="179" w:lineRule="exact"/>
        <w:rPr>
          <w:sz w:val="20"/>
          <w:szCs w:val="20"/>
          <w:color w:val="auto"/>
        </w:rPr>
      </w:pPr>
    </w:p>
    <w:p>
      <w:pPr>
        <w:jc w:val="both"/>
        <w:ind w:firstLine="8"/>
        <w:spacing w:after="0" w:line="215" w:lineRule="auto"/>
        <w:tabs>
          <w:tab w:leader="none" w:pos="10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reasonable request of the Administrative Agent, Borrower shall provide to the Administrative Agent (i) a certificate of a Responsible Officer in substantially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certifying as to the amount of the Consolidated Cash Balance and the amount by which the Consolidated Cash Balance exceeds the Consolidated Cash Balance Threshold, if any, as of such date, and (ii) attaching thereto, summary and balance statements, in a form reasonably acceptable to the Administrative Agent, for each deposit account, securities account, commodity account, or other account maintained at any financial institution other than Administrative Agent in which any Consolidated Cash Balance is held, credited or carried.</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u w:val="single" w:color="auto"/>
          <w:color w:val="auto"/>
        </w:rPr>
        <w:t>Post-Closing Covenant</w:t>
      </w:r>
    </w:p>
    <w:p>
      <w:pPr>
        <w:spacing w:after="0" w:line="179" w:lineRule="exact"/>
        <w:rPr>
          <w:sz w:val="20"/>
          <w:szCs w:val="20"/>
          <w:color w:val="auto"/>
        </w:rPr>
      </w:pPr>
    </w:p>
    <w:p>
      <w:pPr>
        <w:jc w:val="both"/>
        <w:ind w:firstLine="8"/>
        <w:spacing w:after="0" w:line="220" w:lineRule="auto"/>
        <w:tabs>
          <w:tab w:leader="none" w:pos="12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before ninety (90) days after the Effective Date (or such later date as may be agreed by the Administrative Agent in its sole discretion), each Credit Party shall have delivered to the Administrative Agent each Deposit Account Control Agreement required to be provided pursuant to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xml:space="preserve"> of the Pledge Agreement with respect to any deposit account maintained by any Credit Party as of the Effective Date (other than any Excluded Accounts).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8. NEGATIVE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Borrower covenants and agrees that, so long as any Lender has any commitment to extend credit hereunder, or any of the Indebtedness remains outstanding and unpaid (excluding contingent reimbursement and indemnification obligations for which no claim has been made and Lender Hedging Obligations and Lender Product Obligations), it will not, and, as applicable, it will not permit any of its Restricted Subsidiaries to:</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Limitation on Debt</w:t>
      </w:r>
    </w:p>
    <w:p>
      <w:pPr>
        <w:spacing w:after="0" w:line="179" w:lineRule="exact"/>
        <w:rPr>
          <w:sz w:val="20"/>
          <w:szCs w:val="20"/>
          <w:color w:val="auto"/>
        </w:rPr>
      </w:pPr>
    </w:p>
    <w:p>
      <w:pPr>
        <w:ind w:left="120" w:hanging="112"/>
        <w:spacing w:after="0"/>
        <w:tabs>
          <w:tab w:leader="none" w:pos="1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incur, assume or suffer to exist any Debt, except: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of any Credit Party to Administrative Agent and/or any Secured Party constituting Indebtedness;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Debt existing on the Effective Date and set forth in </w:t>
      </w:r>
      <w:r>
        <w:rPr>
          <w:rFonts w:ascii="Times New Roman" w:cs="Times New Roman" w:eastAsia="Times New Roman" w:hAnsi="Times New Roman"/>
          <w:sz w:val="22"/>
          <w:szCs w:val="22"/>
          <w:u w:val="single" w:color="auto"/>
          <w:color w:val="auto"/>
        </w:rPr>
        <w:t>Schedule 8.1</w:t>
      </w:r>
      <w:r>
        <w:rPr>
          <w:rFonts w:ascii="Times New Roman" w:cs="Times New Roman" w:eastAsia="Times New Roman" w:hAnsi="Times New Roman"/>
          <w:sz w:val="22"/>
          <w:szCs w:val="22"/>
          <w:color w:val="auto"/>
        </w:rPr>
        <w:t xml:space="preserve"> attached hereto and any refinancing, refundings and renewals thereof (without increasing the principal amount thereof);</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of any Credit Party to finance the acquisition, construction or improvement of any fixed or capital assets, including Capitalized Leases,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Debt permitted by this Section 8.1(c) at any time outstanding shall not exceed the greater of (i) $50,000,000 and (ii) 5% of the Borrowing Base, and any renewals, extensions or refinancings of such Debt;</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arising from judgments that do not constitute a Default or Event of Default under </w:t>
      </w:r>
      <w:r>
        <w:rPr>
          <w:rFonts w:ascii="Times New Roman" w:cs="Times New Roman" w:eastAsia="Times New Roman" w:hAnsi="Times New Roman"/>
          <w:sz w:val="22"/>
          <w:szCs w:val="22"/>
          <w:u w:val="single" w:color="auto"/>
          <w:color w:val="auto"/>
        </w:rPr>
        <w:t>Section 9.1(h)</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of Borrower or any Restricted Subsidiary to Parent, and intercompany Debt among Borrower and its</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1240"/>
          </w:cols>
          <w:pgMar w:left="320" w:top="1394" w:right="339" w:bottom="1440" w:gutter="0" w:footer="0" w:header="0"/>
        </w:sectPr>
      </w:pPr>
    </w:p>
    <w:bookmarkStart w:id="145" w:name="page146"/>
    <w:bookmarkEnd w:id="145"/>
    <w:p>
      <w:pPr>
        <w:jc w:val="both"/>
        <w:ind w:left="660" w:firstLine="644"/>
        <w:spacing w:after="0" w:line="226" w:lineRule="auto"/>
        <w:tabs>
          <w:tab w:leader="none" w:pos="1951"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to royalty, overriding and working interest owners, joint interest obligations, trade payables and other lease operating expenses incurred in the ordinary course of business which are not more than one hundred twenty</w:t>
      </w:r>
    </w:p>
    <w:p>
      <w:pPr>
        <w:spacing w:after="0" w:line="1" w:lineRule="exact"/>
        <w:rPr>
          <w:rFonts w:ascii="Times New Roman" w:cs="Times New Roman" w:eastAsia="Times New Roman" w:hAnsi="Times New Roman"/>
          <w:sz w:val="21"/>
          <w:szCs w:val="21"/>
          <w:color w:val="auto"/>
        </w:rPr>
      </w:pPr>
    </w:p>
    <w:p>
      <w:pPr>
        <w:ind w:left="660" w:hanging="4"/>
        <w:spacing w:after="0" w:line="225" w:lineRule="auto"/>
        <w:tabs>
          <w:tab w:leader="none" w:pos="118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past due or which are being contested in good faith by appropriate action and for which adequate reserves have been maintained in accordance with GAAP;</w:t>
      </w:r>
    </w:p>
    <w:p>
      <w:pPr>
        <w:spacing w:after="0" w:line="14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associated with bonds or sureties provided to any Governmental Authority or to any other Person in connection with the operation of Oil and Gas Properties;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under Advance Payment Contracts permitted by </w:t>
      </w:r>
      <w:r>
        <w:rPr>
          <w:rFonts w:ascii="Times New Roman" w:cs="Times New Roman" w:eastAsia="Times New Roman" w:hAnsi="Times New Roman"/>
          <w:sz w:val="22"/>
          <w:szCs w:val="22"/>
          <w:u w:val="single" w:color="auto"/>
          <w:color w:val="auto"/>
        </w:rPr>
        <w:t>Section 8.10</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 connection with the endorsement of negotiable instruments, cash management and other similar obligations in respect of netting services, overdraft protection and similar arrangements, in each case in the ordinary course of business;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associated with or in respect of workers’ compensation claims, performance, bid, release, appeal and surety bonds and performance and completion guarantees and similar obligations provided by Borrower or any of the Restricted Subsidiaries, in each case in the ordinary course of business;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consisting of the financing of insurance premiums;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 respect of self-insurance obligations to the extent incurred in the ordinary course of business in accordance with customary industry practices in amounts customary in Borrower’s and its Restricted Subsidiaries’ industry;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Debt, indemnification, deferred purchase price adjustments, earn-outs or similar obligations, in each case, incurred or assumed in connection with the acquisition of any business or assets or any Investment permitted to be acquired or made hereunder or any Disposition permitted hereunder;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representing deferred compensation or similar obligations to employees of Parent and its Subsidiaries incurred in the ordinary course of business;</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incurred in the ordinary course of business with respect to customer deposits and other unsecured current liabilities not the result of borrowing and not evidenced by any note or other evidence of Debt;</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Debt under the Senior Notes (and any Permitted Refinancing thereof), including any Debt constituting guarantees thereof by any Credit Party; in an aggregate principal amount not to exceed $1,100,000,000.00 at any time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at the time of and immediately after giving effect to each issuance of Senior Notes (and any Permitted Refinancing thereof), no Default shall have occurred and be continuing and (ii) in connection with the issuance of Senior Notes, the Borrower shall prepay the </w:t>
      </w:r>
      <w:r>
        <w:rPr>
          <w:rFonts w:ascii="Times New Roman" w:cs="Times New Roman" w:eastAsia="Times New Roman" w:hAnsi="Times New Roman"/>
          <w:sz w:val="22"/>
          <w:szCs w:val="22"/>
          <w:color w:val="FF0000"/>
          <w:strike w:val="1"/>
        </w:rPr>
        <w:t>Loans</w:t>
      </w:r>
      <w:r>
        <w:rPr>
          <w:rFonts w:ascii="Times New Roman" w:cs="Times New Roman" w:eastAsia="Times New Roman" w:hAnsi="Times New Roman"/>
          <w:sz w:val="22"/>
          <w:szCs w:val="22"/>
          <w:u w:val="single" w:color="auto"/>
          <w:color w:val="0000FF"/>
        </w:rPr>
        <w:t>Advances</w:t>
      </w:r>
      <w:r>
        <w:rPr>
          <w:rFonts w:ascii="Times New Roman" w:cs="Times New Roman" w:eastAsia="Times New Roman" w:hAnsi="Times New Roman"/>
          <w:sz w:val="22"/>
          <w:szCs w:val="22"/>
          <w:color w:val="auto"/>
        </w:rPr>
        <w:t xml:space="preserve"> and/or deposit cash collateral to the extent required pursuant to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6"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 obligations in respect of (i) Debt otherwise permitted pursuant to this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and (ii) loans to employees of the Parent and its Subsidiaries for the exercise of stock options, provided that, in the case of clause (ii), such loans shall not exceed $1,000,000 in the aggregate at any time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1240"/>
          </w:cols>
          <w:pgMar w:left="320" w:top="1394" w:right="339" w:bottom="1440" w:gutter="0" w:footer="0" w:header="0"/>
        </w:sectPr>
      </w:pPr>
    </w:p>
    <w:bookmarkStart w:id="146" w:name="page147"/>
    <w:bookmarkEnd w:id="146"/>
    <w:p>
      <w:pPr>
        <w:ind w:left="660" w:firstLine="644"/>
        <w:spacing w:after="0" w:line="236" w:lineRule="auto"/>
        <w:tabs>
          <w:tab w:leader="none" w:pos="195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Debt in an aggregate principal amount outstanding for all such Debt not to exceed at any time ten percent (10%) of the amount of the Borrowing Base then in effect.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Limitation on Liens</w:t>
      </w:r>
    </w:p>
    <w:p>
      <w:pPr>
        <w:spacing w:after="0" w:line="179" w:lineRule="exact"/>
        <w:rPr>
          <w:sz w:val="20"/>
          <w:szCs w:val="20"/>
          <w:color w:val="auto"/>
        </w:rPr>
      </w:pPr>
    </w:p>
    <w:p>
      <w:pPr>
        <w:ind w:firstLine="8"/>
        <w:spacing w:after="0" w:line="236" w:lineRule="auto"/>
        <w:tabs>
          <w:tab w:leader="none" w:pos="10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incur, assume or suffer to exist any Lien upon any of its property, assets or revenues, whether now owned or hereafter acquired, except for: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Debt permitted by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are created upon fixed or capital assets acquired, constructed or improved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 (iii) 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(and proceeds and accessions and additions to such property);</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pursuant to the Loan Documents;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existing on the Effective Date, set forth on </w:t>
      </w:r>
      <w:r>
        <w:rPr>
          <w:rFonts w:ascii="Times New Roman" w:cs="Times New Roman" w:eastAsia="Times New Roman" w:hAnsi="Times New Roman"/>
          <w:sz w:val="22"/>
          <w:szCs w:val="22"/>
          <w:u w:val="single" w:color="auto"/>
          <w:color w:val="auto"/>
        </w:rPr>
        <w:t>Schedule 8.2</w:t>
      </w:r>
      <w:r>
        <w:rPr>
          <w:rFonts w:ascii="Times New Roman" w:cs="Times New Roman" w:eastAsia="Times New Roman" w:hAnsi="Times New Roman"/>
          <w:sz w:val="22"/>
          <w:szCs w:val="22"/>
          <w:color w:val="auto"/>
        </w:rPr>
        <w:t xml:space="preserve"> and renewals, refinancings and extensions thereof;</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insurance premium financings, provided that no such Lien may extend to or cover any property other than the insurance being acquired with such financings, the proceeds thereof and any unearned or refunded insurance premiums related thereto; and</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not constituting Borrowing Base Properties or Collateral or any proceeds thereof.</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Regardless of the provisions of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no Lien over the Equity Interests of any Restricted Subsidiary of Borrower (except for those Liens for the benefit of Administrative Agent and the other Secured Parties) shall be permitted under the terms of this Agreement.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Fundamental Changes</w:t>
      </w:r>
    </w:p>
    <w:p>
      <w:pPr>
        <w:spacing w:after="0" w:line="179" w:lineRule="exact"/>
        <w:rPr>
          <w:sz w:val="20"/>
          <w:szCs w:val="20"/>
          <w:color w:val="auto"/>
        </w:rPr>
      </w:pPr>
    </w:p>
    <w:p>
      <w:pPr>
        <w:ind w:firstLine="8"/>
        <w:spacing w:after="0" w:line="255" w:lineRule="auto"/>
        <w:tabs>
          <w:tab w:leader="none" w:pos="108"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 into or consolidate with any other Person, or permit any other Person to merge into or consolidate with it, or Dispose of (in one transaction or in a series of transactions) all or substantially all of its assets, or liquidate, wind up or dissolve, except that:</w:t>
      </w:r>
    </w:p>
    <w:p>
      <w:pPr>
        <w:spacing w:after="0" w:line="134" w:lineRule="exact"/>
        <w:rPr>
          <w:rFonts w:ascii="Times New Roman" w:cs="Times New Roman" w:eastAsia="Times New Roman" w:hAnsi="Times New Roman"/>
          <w:sz w:val="21"/>
          <w:szCs w:val="21"/>
          <w:color w:val="auto"/>
        </w:rPr>
      </w:pPr>
    </w:p>
    <w:p>
      <w:pPr>
        <w:ind w:left="660" w:firstLine="644"/>
        <w:spacing w:after="0" w:line="236" w:lineRule="auto"/>
        <w:tabs>
          <w:tab w:leader="none" w:pos="1953"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merge into Borrower in a transaction in which Borrower is the continuing or surviving entity;</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merge into any other Restricted Subsidiary or an Unrestricted Subsidiary, in each case only to the extent that the continuing or surviving entity is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1240"/>
          </w:cols>
          <w:pgMar w:left="320" w:top="1394" w:right="339" w:bottom="1440" w:gutter="0" w:footer="0" w:header="0"/>
        </w:sectPr>
      </w:pPr>
    </w:p>
    <w:bookmarkStart w:id="147" w:name="page148"/>
    <w:bookmarkEnd w:id="147"/>
    <w:p>
      <w:pPr>
        <w:ind w:left="660" w:firstLine="644"/>
        <w:spacing w:after="0" w:line="236" w:lineRule="auto"/>
        <w:tabs>
          <w:tab w:leader="none" w:pos="195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or any Restricted Subsidiary may merge with or into any other Person, provided that Borrower or a Restricted Subsidiary, as applicable, is the continuing or surviving entity;</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Dispose of its assets to Parent, Borrower or to another Restricted Subsidiary or any Unrestricted Subsidiary;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by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may be made; and</w:t>
      </w:r>
    </w:p>
    <w:p>
      <w:pPr>
        <w:spacing w:after="0" w:line="179"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may liquidate or dissolve if Borrower determines in good faith that such liquidation or dissolution is in the best interests of Borrower or such Restricted Subsidiary and any remaining assets are thereafter held by Borrower or another Restricted Subsidiary.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Dispositions</w:t>
      </w:r>
    </w:p>
    <w:p>
      <w:pPr>
        <w:spacing w:after="0" w:line="179" w:lineRule="exact"/>
        <w:rPr>
          <w:sz w:val="20"/>
          <w:szCs w:val="20"/>
          <w:color w:val="auto"/>
        </w:rPr>
      </w:pPr>
    </w:p>
    <w:p>
      <w:pPr>
        <w:ind w:left="120" w:hanging="112"/>
        <w:spacing w:after="0"/>
        <w:tabs>
          <w:tab w:leader="none" w:pos="1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Dispose of any of the Borrowing Base Properties, whether now owned or hereafter acquired, except: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Hydrocarbons in the ordinary course of business;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farmouts of undeveloped acreage and assignments in connection with such farmouts;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equipment and other property in the ordinary course of business, in each case that is obsolete or no longer necessary in the business of any of the Credit Parties or that is being replaced by equipment of comparable value and utility;</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permitted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Investments permitted by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xml:space="preserve"> and Distributions permitted by</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by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cash and Cash Equivalents in the ordinary course of business;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may Dispose of its Borrowing Base Properties to any Restricted Subsidiary and any Restricted Subsidiary may Dispose of its Borrowing Base Properties to Borrower or any other Restricted Subsidiary;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discounts of overdue accounts receivable in the ordinary course of business;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owned or leased vehicles in the ordinary course of business;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consisting of any compulsory pooling or unitization ordered by a Governmental Authority with jurisdiction over the subject Oil and Gas Properties;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Dispositions of Borrowing Base Properties, provided that: (i) unless such Disposition is a farmout, unitization, or exchange (or an assignment in connection therewith), 90% of the consideration received in respect of such Disposition shall be cash, (ii) the consideration received in respect of such Disposition shall be equal to or greater than the fair market value of the Borrowing Base Property or interest therein, (iii)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1240"/>
          </w:cols>
          <w:pgMar w:left="320" w:top="1394" w:right="339" w:bottom="1440" w:gutter="0" w:footer="0" w:header="0"/>
        </w:sectPr>
      </w:pPr>
    </w:p>
    <w:bookmarkStart w:id="148" w:name="page149"/>
    <w:bookmarkEnd w:id="148"/>
    <w:p>
      <w:pPr>
        <w:jc w:val="both"/>
        <w:ind w:left="660"/>
        <w:spacing w:after="0" w:line="211" w:lineRule="auto"/>
        <w:rPr>
          <w:sz w:val="20"/>
          <w:szCs w:val="20"/>
          <w:color w:val="auto"/>
        </w:rPr>
      </w:pPr>
      <w:r>
        <w:rPr>
          <w:rFonts w:ascii="Times New Roman" w:cs="Times New Roman" w:eastAsia="Times New Roman" w:hAnsi="Times New Roman"/>
          <w:sz w:val="22"/>
          <w:szCs w:val="22"/>
          <w:color w:val="auto"/>
        </w:rPr>
        <w:t xml:space="preserve">Disposition of Borrowing Base Properties (or the Equity Interests of any Restricted Subsidiary owning Borrowing Base Properties) during any period between two successive scheduled redeterminations has a fair market value in excess of five percent (5%) of the Borrowing Base then in effect (as reasonably determined by the Administrative Agent), individually or in the aggregate for all such Borrowing Base Properties, the Borrowing Base shall be reduced, effective immediately upon such Disposition, by an amount equal to the value, if any, assigned such Borrowing Base Properties in the most recently delivered Reserve Report, (iv) after giving effect to any reduction in the Borrowing Base pursuant to clause (iii) above, Borrower shall use the Net Cash Proceeds received from such Disposition to reduce the Aggregate Credit Exposure pursuant to and in accordance with the terms of </w:t>
      </w:r>
      <w:r>
        <w:rPr>
          <w:rFonts w:ascii="Times New Roman" w:cs="Times New Roman" w:eastAsia="Times New Roman" w:hAnsi="Times New Roman"/>
          <w:sz w:val="22"/>
          <w:szCs w:val="22"/>
          <w:u w:val="single" w:color="auto"/>
          <w:color w:val="auto"/>
        </w:rPr>
        <w:t>Section 2.10(c)</w:t>
      </w:r>
      <w:r>
        <w:rPr>
          <w:rFonts w:ascii="Times New Roman" w:cs="Times New Roman" w:eastAsia="Times New Roman" w:hAnsi="Times New Roman"/>
          <w:sz w:val="22"/>
          <w:szCs w:val="22"/>
          <w:color w:val="auto"/>
        </w:rPr>
        <w:t xml:space="preserve"> and (v) immediately before and after giving effect thereto, no Default shall have occurred and been continuing; and</w:t>
      </w:r>
    </w:p>
    <w:p>
      <w:pPr>
        <w:spacing w:after="0" w:line="158" w:lineRule="exact"/>
        <w:rPr>
          <w:sz w:val="20"/>
          <w:szCs w:val="20"/>
          <w:color w:val="auto"/>
        </w:rPr>
      </w:pPr>
    </w:p>
    <w:p>
      <w:pPr>
        <w:ind w:left="660" w:firstLine="644"/>
        <w:spacing w:after="0" w:line="236" w:lineRule="auto"/>
        <w:tabs>
          <w:tab w:leader="none" w:pos="19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Dispositions of Borrowing Base Properties having a fair market value not to exceed $10 million in any fiscal year.</w:t>
      </w:r>
    </w:p>
    <w:p>
      <w:pPr>
        <w:spacing w:after="0" w:line="15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 xml:space="preserve">Lenders hereby consent and agree to the release by Administrative Agent of any and all Liens on the property sold or otherwise Disposed of in compliance with this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Restricted Payments</w:t>
      </w:r>
    </w:p>
    <w:p>
      <w:pPr>
        <w:spacing w:after="0" w:line="179" w:lineRule="exact"/>
        <w:rPr>
          <w:sz w:val="20"/>
          <w:szCs w:val="20"/>
          <w:color w:val="auto"/>
        </w:rPr>
      </w:pPr>
    </w:p>
    <w:p>
      <w:pPr>
        <w:jc w:val="both"/>
        <w:ind w:firstLine="8"/>
        <w:spacing w:after="0" w:line="231" w:lineRule="auto"/>
        <w:tabs>
          <w:tab w:leader="none" w:pos="135"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make any distributions, dividend, payment or other distribution of assets, properties, cash, rights, obligations or securities (collectively, “</w:t>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 on account of any of its Equity Interests, as applicable, or purchase, redeem or otherwise acquire for value any of its Equity Interests, as applicable, or any warrants, rights or options to acquire any of its Equity Interests, now or hereafter outstanding (collectively, “</w:t>
      </w:r>
      <w:r>
        <w:rPr>
          <w:rFonts w:ascii="Times New Roman" w:cs="Times New Roman" w:eastAsia="Times New Roman" w:hAnsi="Times New Roman"/>
          <w:sz w:val="21"/>
          <w:szCs w:val="21"/>
          <w:u w:val="single" w:color="auto"/>
          <w:color w:val="auto"/>
        </w:rPr>
        <w:t>Purchases</w:t>
      </w:r>
      <w:r>
        <w:rPr>
          <w:rFonts w:ascii="Times New Roman" w:cs="Times New Roman" w:eastAsia="Times New Roman" w:hAnsi="Times New Roman"/>
          <w:sz w:val="21"/>
          <w:szCs w:val="21"/>
          <w:color w:val="auto"/>
        </w:rPr>
        <w:t>” and together with Distributions, “</w:t>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except that:</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may pay cash Distributions to Borrower or a Restricted Subsidiary;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and each Credit Party may declare and make Distributions payable in the Equity Interests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issuance of such Equity Interests does not otherwise violate the terms of this Agreement and no Default has occurred and is continuing at the time of making such Distribution or would result from the making of such Distribution;</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may declare and make Distributions to the Parent,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either</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no Default has occurred and is continuing at the time of making such Distribution or would result from the making of such Distribution and (y) the aggregate amount of such Distributions shall not exceed $25,000,000 during any Fiscal Year of Borrower, or</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0"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no Default has occurred and is continuing at the time of making such Distribution or would result from the making of such Distribution, (y) the Borrower shall have a Total Debt to Consolidated EBITDA Ratio of not more than 3.00 to 1.00, calculated on a pro forma basis after giving effect to such Distribution and (z) the Borrower shall have Liquidity, calculated on a pro forma basis after giving effect to such Distribution, of not less than twenty percent (20%) of the Revolving Credit Aggregate Commitments;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1240"/>
          </w:cols>
          <w:pgMar w:left="320" w:top="1394" w:right="339" w:bottom="1440" w:gutter="0" w:footer="0" w:header="0"/>
        </w:sectPr>
      </w:pPr>
    </w:p>
    <w:bookmarkStart w:id="149" w:name="page150"/>
    <w:bookmarkEnd w:id="149"/>
    <w:p>
      <w:pPr>
        <w:jc w:val="both"/>
        <w:ind w:left="660" w:firstLine="644"/>
        <w:spacing w:after="0" w:line="225" w:lineRule="auto"/>
        <w:tabs>
          <w:tab w:leader="none" w:pos="195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may declare and make Distributions to the Parent;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Default has occurred and is continuing, Distributions to the Parent during such period while an Event of Default exists must be used by the Parent only for operational purposes.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Limitation on Investments, Loans and Advances</w:t>
      </w:r>
    </w:p>
    <w:p>
      <w:pPr>
        <w:spacing w:after="0" w:line="179" w:lineRule="exact"/>
        <w:rPr>
          <w:sz w:val="20"/>
          <w:szCs w:val="20"/>
          <w:color w:val="auto"/>
        </w:rPr>
      </w:pPr>
    </w:p>
    <w:p>
      <w:pPr>
        <w:jc w:val="both"/>
        <w:ind w:firstLine="8"/>
        <w:spacing w:after="0" w:line="225" w:lineRule="auto"/>
        <w:tabs>
          <w:tab w:leader="none" w:pos="10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permit to remain outstanding any loans, or advances to, or investments in (collectively,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(whether such investment shall be of the character of investment in shares of stock, evidences of indebtedness or other securities or otherwise), or any loans or advances to, any Person, other than:</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on the Effective Date and listed on </w:t>
      </w:r>
      <w:r>
        <w:rPr>
          <w:rFonts w:ascii="Times New Roman" w:cs="Times New Roman" w:eastAsia="Times New Roman" w:hAnsi="Times New Roman"/>
          <w:sz w:val="22"/>
          <w:szCs w:val="22"/>
          <w:u w:val="single" w:color="auto"/>
          <w:color w:val="auto"/>
        </w:rPr>
        <w:t>Schedule 8.6</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 made by Borrower in any Restricted Subsidiary, any Unrestricted Subsidiary or Parent, or</w:t>
      </w:r>
    </w:p>
    <w:p>
      <w:pPr>
        <w:ind w:left="660" w:hanging="4"/>
        <w:spacing w:after="0" w:line="225" w:lineRule="auto"/>
        <w:tabs>
          <w:tab w:leader="none" w:pos="1017"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by any Restricted Subsidiary in Borrower, any other Restricted Subsidiary, any Unrestricted Subsidiary or Parent;</w:t>
      </w:r>
    </w:p>
    <w:p>
      <w:pPr>
        <w:spacing w:after="0" w:line="13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respect of Commodity Hedging Agreements and Interest Rate Agreements permitted by</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8.1(d)</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to employees of Parent and its Subsidiaries for travel, meals and entertainment expenses in the ordinary course of business and loans to employees for the purpose of exercise of stock options, all of which in the aggregate outstanding at any time shall not exceed 2% of the amount of the Borrowing Base;</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creation or acquisition of additional Restricted Subsidiaries made in compliance with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with financial institutions, prepaid expenses and extensions of trade credit in the ordinary course of business (and any Investments received in satisfaction or partial satisfaction thereof from financially troubled account debtors to the extent reasonably necessary in order to prevent or limit loss);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 obligations permitted by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Borrower and its Restricted Subsidiaries that are (i) customary in the oil and gas business, and (ii) made in the form of, or pursuant to, Oil and Gas Properties, operating agreements, farm-in agreements, farm-out agreements, mutual interest agreements, development agreements, unitization agreements, joint bidding agreements, joint venture agreements, services contracts and other similar agreements;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Oil and Gas Properties, equipment and other property, and investments with respect to and relating to the production of oil, gas and other liquid or gaseous Hydrocarbons from Oil and Gas Properties;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into operating agreements, working interests, royalty interests, mineral leases, processing agreements, farm-out agreements, contracts for the sale, transportation or exchange of oil and natural gas, unitization agreements, pooling arrangements, area of mutual interest agreements, production sharing agreements or other similar or customary agreements, transactions, properties, interests or arrangements,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240"/>
          </w:cols>
          <w:pgMar w:left="320" w:top="1394"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22"/>
          <w:szCs w:val="22"/>
          <w:color w:val="auto"/>
        </w:rPr>
        <w:t>investments and expenditures in connection therewith or pursuant thereto in the ordinary course of business;</w:t>
      </w:r>
    </w:p>
    <w:p>
      <w:pPr>
        <w:spacing w:after="0" w:line="179" w:lineRule="exact"/>
        <w:rPr>
          <w:sz w:val="20"/>
          <w:szCs w:val="20"/>
          <w:color w:val="auto"/>
        </w:rPr>
      </w:pPr>
    </w:p>
    <w:p>
      <w:pPr>
        <w:ind w:left="660" w:right="20" w:firstLine="644"/>
        <w:spacing w:after="0" w:line="236" w:lineRule="auto"/>
        <w:tabs>
          <w:tab w:leader="none" w:pos="194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representing the non-cash portion of the consideration received for any Disposition of any assets permitted under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without limitation, capital contributions) in general or limited partnerships or other types of entities or joint ventures entered into by Borrower or a Restricted Subsidiary;</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trade credit in the ordinary course of business;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Investments otherwise expressly permitted by this Section, Investments by Borrower or any of its Restricted Subsidiaries in an aggregate amount at any time outstanding not to exceed the greater of (x) $25,000,000 or (y) two percent (2%) of the amount of the Borrowing Base then in effect.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8.6</w:t>
      </w:r>
      <w:r>
        <w:rPr>
          <w:rFonts w:ascii="Times New Roman" w:cs="Times New Roman" w:eastAsia="Times New Roman" w:hAnsi="Times New Roman"/>
          <w:sz w:val="22"/>
          <w:szCs w:val="22"/>
          <w:color w:val="auto"/>
        </w:rPr>
        <w:t>, the amount of any Investment shall be the amount actually invested, without adjustment for subsequent increases or decreases in the value of such Investment, but with adjustment for amounts actually returned in cash to Borrower or the applicable Restricted Subsidiary on such Investment.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Transactions with Affiliates and Unrestricted Subsidiaries</w:t>
      </w:r>
    </w:p>
    <w:p>
      <w:pPr>
        <w:spacing w:after="0" w:line="179" w:lineRule="exact"/>
        <w:rPr>
          <w:sz w:val="20"/>
          <w:szCs w:val="20"/>
          <w:color w:val="auto"/>
        </w:rPr>
      </w:pPr>
    </w:p>
    <w:p>
      <w:pPr>
        <w:jc w:val="both"/>
        <w:ind w:firstLine="8"/>
        <w:spacing w:after="0" w:line="211" w:lineRule="auto"/>
        <w:tabs>
          <w:tab w:leader="none" w:pos="14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8.7</w:t>
      </w:r>
      <w:r>
        <w:rPr>
          <w:rFonts w:ascii="Times New Roman" w:cs="Times New Roman" w:eastAsia="Times New Roman" w:hAnsi="Times New Roman"/>
          <w:sz w:val="22"/>
          <w:szCs w:val="22"/>
          <w:color w:val="auto"/>
        </w:rPr>
        <w:t xml:space="preserve">, enter into any transaction, including, without limitation, any purchase, sale, lease or exchange of property or the rendering of any service, with any Unrestricted Subsidiary or any Affiliate of the Credit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restrictions shall not apply to: (a) transactions among Borrower, Parent or Subsidiaries of Borrower that are Guarantors; (b) transactions otherwise specifically permitted under this Agreement; (c) transactions in the ordinary course of a Credit Party’s business and upon fair and reasonable terms no less favorable to such Credit Party than it would obtain in a comparable arm’s length transaction from unrelated third parties, (d) the payment of directors’ fees and indemnification and reimbursement of expenses to directors, officers or employees; (e) any issuance of securities or other payments, awards or grants in cash, securities or otherwise pursuant to, or the funding of, employment agreements, stock options and stock ownership plans, and (f) employment and severance arrangements entered into in the ordinary course of business between Borrower or any Subsidiary and any employee thereof.</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Limitations on Other Restrictions</w:t>
      </w:r>
    </w:p>
    <w:p>
      <w:pPr>
        <w:spacing w:after="0" w:line="179" w:lineRule="exact"/>
        <w:rPr>
          <w:sz w:val="20"/>
          <w:szCs w:val="20"/>
          <w:color w:val="auto"/>
        </w:rPr>
      </w:pPr>
    </w:p>
    <w:p>
      <w:pPr>
        <w:jc w:val="both"/>
        <w:ind w:firstLine="8"/>
        <w:spacing w:after="0" w:line="210" w:lineRule="auto"/>
        <w:tabs>
          <w:tab w:leader="none" w:pos="10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any agreement, document or instrument which would (a) restrict the ability of any Restricted Subsidiary of Borrower to pay or make dividends or distributions in cash or kind to Borrower or any other Restricted Subsidiary, to make loans, advances or other payments of whatever nature to any Credit Party, or to make transfers or distributions of all or any part of its assets to any Credit Party; or (b) restrict or prevent any Credit Party from granting Administrative Agent on behalf of Lenders Liens upon, security interests in and pledges of their respective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the preceding restrictions will not apply to encumbrances or restrictions arising under or by reason of (i) this Agreement or the other Loan Documents or the Senior Note Documents (or any documents evidencing or relating to any Permitted Refinancing thereof), (ii) any agreements governing any Debt permitted by </w:t>
      </w:r>
      <w:r>
        <w:rPr>
          <w:rFonts w:ascii="Times New Roman" w:cs="Times New Roman" w:eastAsia="Times New Roman" w:hAnsi="Times New Roman"/>
          <w:sz w:val="22"/>
          <w:szCs w:val="22"/>
          <w:u w:val="single" w:color="auto"/>
          <w:color w:val="auto"/>
        </w:rPr>
        <w:t>Section 8.1(c)</w:t>
      </w:r>
      <w:r>
        <w:rPr>
          <w:rFonts w:ascii="Times New Roman" w:cs="Times New Roman" w:eastAsia="Times New Roman" w:hAnsi="Times New Roman"/>
          <w:sz w:val="22"/>
          <w:szCs w:val="22"/>
          <w:color w:val="auto"/>
        </w:rPr>
        <w:t xml:space="preserve"> and any other purchase money Debt or Capitalized Leases otherwise permitted hereby (in which case, any prohibition or limitation shall only be effective against the assets financed by or the subject of such Debt and the proceeds and products thereof and all accessions and attachments thereto), (iii) customary restrictions that arise in connection with any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240"/>
          </w:cols>
          <w:pgMar w:left="320" w:top="1394" w:right="339" w:bottom="1440" w:gutter="0" w:footer="0" w:header="0"/>
        </w:sectPr>
      </w:pPr>
    </w:p>
    <w:bookmarkStart w:id="151" w:name="page152"/>
    <w:bookmarkEnd w:id="151"/>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permitted by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and applicable solely to the assets subject to such Disposition, (iv) customary provisions in joint venture agreements and similar agreements that restrict transfer of assets of, or Equity Interests in, joint ventures, (v) prohibitions and limitations that are binding on a Restricted Subsidiary at the time such Restricted Subsidiary first becomes a Restricted Subsidiary, so long as such prohibitions and limitations were not created in contemplation of such Person becoming a Restricted Subsidiary and apply only to such Restricted Subsidiary, (vi) restrictions with respect to Oil and Gas Properties that are not Borrowing Base Properties and are not included in the most recent Reserve Report delivered pursuant to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(vii) customary provisions contained in agreements that restrict assignment of such agreement entered into in the ordinary course of business, (viii) customary provisions in leases, subleases, licenses, sublicenses and similar contracts that restrict the transfer thereof or the transfer of the assets subject thereto by the lessee, sublessee, licensee or sublicensee, and (ix) prohibitions and limitations arising by operation of law.</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Fiscal Year</w:t>
      </w:r>
    </w:p>
    <w:p>
      <w:pPr>
        <w:spacing w:after="0" w:line="179" w:lineRule="exact"/>
        <w:rPr>
          <w:sz w:val="20"/>
          <w:szCs w:val="20"/>
          <w:color w:val="auto"/>
        </w:rPr>
      </w:pPr>
    </w:p>
    <w:p>
      <w:pPr>
        <w:ind w:left="660" w:right="3100" w:hanging="652"/>
        <w:spacing w:after="0" w:line="409" w:lineRule="auto"/>
        <w:tabs>
          <w:tab w:leader="none" w:pos="1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the Fiscal Year of any Credit Party or Parent to end on a day other than December 31. 1.10 </w:t>
      </w:r>
      <w:r>
        <w:rPr>
          <w:rFonts w:ascii="Times New Roman" w:cs="Times New Roman" w:eastAsia="Times New Roman" w:hAnsi="Times New Roman"/>
          <w:sz w:val="22"/>
          <w:szCs w:val="22"/>
          <w:u w:val="single" w:color="auto"/>
          <w:color w:val="auto"/>
        </w:rPr>
        <w:t>Gas Balancing Agreements and Advance Payment Contracts</w:t>
      </w:r>
    </w:p>
    <w:p>
      <w:pPr>
        <w:spacing w:after="0" w:line="2" w:lineRule="exact"/>
        <w:rPr>
          <w:sz w:val="20"/>
          <w:szCs w:val="20"/>
          <w:color w:val="auto"/>
        </w:rPr>
      </w:pPr>
    </w:p>
    <w:p>
      <w:pPr>
        <w:ind w:firstLine="8"/>
        <w:spacing w:after="0" w:line="236" w:lineRule="auto"/>
        <w:tabs>
          <w:tab w:leader="none" w:pos="12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 (a) any Material Gas Imbalance and (b) the aggregate amount of all Advance Payments received by any Credit Party under Advance Payment Contracts which have not been satisfied by delivery of production to exceed $1,000,000.</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Hedging Transactions</w:t>
      </w:r>
    </w:p>
    <w:p>
      <w:pPr>
        <w:spacing w:after="0" w:line="179" w:lineRule="exact"/>
        <w:rPr>
          <w:sz w:val="20"/>
          <w:szCs w:val="20"/>
          <w:color w:val="auto"/>
        </w:rPr>
      </w:pPr>
    </w:p>
    <w:p>
      <w:pPr>
        <w:jc w:val="both"/>
        <w:ind w:right="20" w:firstLine="8"/>
        <w:spacing w:after="0" w:line="225" w:lineRule="auto"/>
        <w:tabs>
          <w:tab w:leader="none" w:pos="135"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Commodity Hedging Agreements or Interest Rate Agreements, except Commodity Hedging Agreements and Interest Rate Agreements entered into with an Approved Counterparty in the ordinary course of business and not for speculative purposes to:</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3"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hedge or mitigate crude oil and condensate, natural gas and natural gas liquids price risks to which Borrower or any Restricted Subsidiary has actual exposure (whether or not treated as a hedge for accounting purposes under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Borrower or any Restricted Subsidiary enters into any such Commodity Hedging Agreement, such Commodity Hedging Agreement (A) does not have a term greater than forty-eight (48) months from the date such Commodity Hedging Agreement is entered into, and (B) when aggregated and netted with all other Commodity Hedging Agreements of Borrower and its Restricted Subsidiaries then in effect would not cause the aggregate notional volume per month for each of crude oil and condensate, natural gas and natural gas liquids, calculated separately, under all Commodity Hedging Agreements then in effect (other than Excluded Hedges) to exceed for any month during the forthcoming four year period, eighty-five percent (85%) of the total anticipated production of Borrower and its Restricted Subsidiaries, taken as a whole; and</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effectively cap, collar or exchange interest rates (from fixed to floating rates, from one floating rate to another floating rate or otherwise) with respect to any interest-bearing liability or investment of Borrower or any Restricted Subsidiary.</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In no event shall any Commodity Hedging Agreement or Interest Rate Agreement entered into by Borrower or any Restricted Subsidiary contain any requirement, agreement or covenant for Borrower or any Restricted Subsidiary to post collateral or margin to secure their obligations under such Commodity Hedging Agreement or Interest Rate Agreement, as the case may be, or to cover market exposures;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sentence shall not prevent (x) a Lender Counterparty from requiring the obligations under any Commodity Hedging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240"/>
          </w:cols>
          <w:pgMar w:left="320" w:top="1394" w:right="339" w:bottom="1440" w:gutter="0" w:footer="0" w:header="0"/>
        </w:sectPr>
      </w:pPr>
    </w:p>
    <w:bookmarkStart w:id="152" w:name="page153"/>
    <w:bookmarkEnd w:id="152"/>
    <w:p>
      <w:pPr>
        <w:jc w:val="both"/>
        <w:spacing w:after="0" w:line="217" w:lineRule="auto"/>
        <w:rPr>
          <w:sz w:val="20"/>
          <w:szCs w:val="20"/>
          <w:color w:val="auto"/>
        </w:rPr>
      </w:pPr>
      <w:r>
        <w:rPr>
          <w:rFonts w:ascii="Times New Roman" w:cs="Times New Roman" w:eastAsia="Times New Roman" w:hAnsi="Times New Roman"/>
          <w:sz w:val="22"/>
          <w:szCs w:val="22"/>
          <w:color w:val="auto"/>
        </w:rPr>
        <w:t>Interest Rate Agreement with Borrower or any Restricted Subsidiary to be secured by the Liens granted to Administrative Agent pursuant to the Collateral Documents and (y) Borrower or any Restricted Subsidiary from delivering letters of credit (including Letters of Credit issued by an Issuing Lender pursuant to this Agreement) to secure their obligations under Commodity Hedging Agreements and Interest Rate Agreements so long as the aggregate face amount of all such letters of credit, taken as a whole, shall not exceed fifty percent (50%) of the Letter of Credit Maximum Amount at any time.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Nature of Business</w:t>
      </w:r>
    </w:p>
    <w:p>
      <w:pPr>
        <w:spacing w:after="0" w:line="179" w:lineRule="exact"/>
        <w:rPr>
          <w:sz w:val="20"/>
          <w:szCs w:val="20"/>
          <w:color w:val="auto"/>
        </w:rPr>
      </w:pPr>
    </w:p>
    <w:p>
      <w:pPr>
        <w:ind w:firstLine="8"/>
        <w:spacing w:after="0" w:line="236" w:lineRule="auto"/>
        <w:tabs>
          <w:tab w:leader="none" w:pos="10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material change to be made in the character of its business as an oil and gas exploration and production company and related businesses.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Senior Notes Restrictions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1" w:lineRule="auto"/>
        <w:tabs>
          <w:tab w:leader="none" w:pos="1953"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regularly scheduled payments of interest required under the Senior Notes, directly or indirectly, optionally or voluntarily retire, redeem, defease, repurchase or prepay prior to the scheduled due date thereof any part of the principal of, or interest on, the Senior Notes (or any Permitted Refinancing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Default or Borrowing Base Deficiency has occurred and is continuing or would be caused thereby, the Credit Parties may retire, redeem, defease, repurchase or prepay the Senior Notes, in whole or in part, (x) with the proceeds of any Permitted Refinancing permitted pursuant to </w:t>
      </w:r>
      <w:r>
        <w:rPr>
          <w:rFonts w:ascii="Times New Roman" w:cs="Times New Roman" w:eastAsia="Times New Roman" w:hAnsi="Times New Roman"/>
          <w:sz w:val="22"/>
          <w:szCs w:val="22"/>
          <w:u w:val="single" w:color="auto"/>
          <w:color w:val="auto"/>
        </w:rPr>
        <w:t>Section 8.1(q)</w:t>
      </w:r>
      <w:r>
        <w:rPr>
          <w:rFonts w:ascii="Times New Roman" w:cs="Times New Roman" w:eastAsia="Times New Roman" w:hAnsi="Times New Roman"/>
          <w:sz w:val="22"/>
          <w:szCs w:val="22"/>
          <w:color w:val="auto"/>
        </w:rPr>
        <w:t xml:space="preserve"> and/or with the Net Cash Proceeds of any issuance of Equity Interests by the Parent or any of its Subsidiaries or (y) so long as the Borrower shall have a Total Debt to Consolidated EBITDA Ratio of not more than 3.00 to 1.00, calculated on a pro forma basis after giving effect thereto and the Borrower shall have Liquidity, calculated on a pro forma basis after giving effect thereto, of not less than twenty percent (20%) of the Revolving Credit Aggregate Commitments.</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2" w:lineRule="auto"/>
        <w:tabs>
          <w:tab w:leader="none" w:pos="1951"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or permit any modification or amendment of the Senior Note Documents the effect of which is to (a) increase the maximum principal amount of the Senior Notes or the rate of interest on any of the Senior Notes (other than as a result of the imposition of a default rate of interest in accordance with the terms of the Senior Note Documents),</w:t>
      </w:r>
    </w:p>
    <w:p>
      <w:pPr>
        <w:spacing w:after="0" w:line="1" w:lineRule="exact"/>
        <w:rPr>
          <w:rFonts w:ascii="Times New Roman" w:cs="Times New Roman" w:eastAsia="Times New Roman" w:hAnsi="Times New Roman"/>
          <w:sz w:val="21"/>
          <w:szCs w:val="21"/>
          <w:color w:val="auto"/>
        </w:rPr>
      </w:pPr>
    </w:p>
    <w:p>
      <w:pPr>
        <w:jc w:val="both"/>
        <w:ind w:left="660" w:hanging="4"/>
        <w:spacing w:after="0" w:line="214" w:lineRule="auto"/>
        <w:tabs>
          <w:tab w:leader="none" w:pos="982"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or add any event of default or any covenant with respect to the Senior Note Documents if the effect of such change or addition is to cause any one or more of the Senior Note Documents to be materially more restrictive on any Credit Party or any of its Restricted Subsidiaries than such Senior Note Documents were prior to such change or addition,</w:t>
      </w:r>
    </w:p>
    <w:p>
      <w:pPr>
        <w:spacing w:after="0" w:line="2" w:lineRule="exact"/>
        <w:rPr>
          <w:rFonts w:ascii="Times New Roman" w:cs="Times New Roman" w:eastAsia="Times New Roman" w:hAnsi="Times New Roman"/>
          <w:sz w:val="21"/>
          <w:szCs w:val="21"/>
          <w:color w:val="auto"/>
        </w:rPr>
      </w:pPr>
    </w:p>
    <w:p>
      <w:pPr>
        <w:jc w:val="both"/>
        <w:ind w:left="660" w:hanging="4"/>
        <w:spacing w:after="0" w:line="212" w:lineRule="auto"/>
        <w:tabs>
          <w:tab w:leader="none" w:pos="95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shorten the dates upon which payments of principal or interest on the Senior Notes are due, (d) change any redemption or prepayment provisions of the Senior Notes, (e) alter the subordination provisions, if any, with respect to any of the Senior Note Documents, (f) grant any Liens in any assets of any Credit Party or any of its Subsidiaries, or (g) permit any Subsidiary of any Credit Party to guarantee the Senior Notes unless such Subsidiary is (or concurrently with any such guarantee becomes) a Guarantor hereunder.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9. DEFAULTS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Events of Default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The occurrence of any of the following events shall constitute an Event of Default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1240"/>
          </w:cols>
          <w:pgMar w:left="320" w:top="1395" w:right="339" w:bottom="1440" w:gutter="0" w:footer="0" w:header="0"/>
        </w:sectPr>
      </w:pPr>
    </w:p>
    <w:bookmarkStart w:id="153" w:name="page154"/>
    <w:bookmarkEnd w:id="153"/>
    <w:p>
      <w:pPr>
        <w:ind w:left="660" w:right="20" w:firstLine="644"/>
        <w:spacing w:after="0" w:line="236" w:lineRule="auto"/>
        <w:tabs>
          <w:tab w:leader="none" w:pos="195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fail to pay when due or declared due any part of the principal of any Advance and any such payment default shall continue unremedied for more than one (1) Business Day;</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fail to pay when due or declared due any part of the interest on any Advance and any such payment default shall continue unremedied for more than three (3) Business Days;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non-payment of any Reimbursement Obligation, fees or other amounts (other than as set forth in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above) due and owing by Borrower, any other Credit Party or the Parent under this Agreement or by any Credit Party or the Parent under any of the other Loan Documents to which it is a party, when and as the same shall become due and payable, and such failure shall continue unremedied for a period of five (5) Business Days after the same is due and payable;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default in the observance or performance of any of the covenants or agreements (as applicable) of Borrower set forth in </w:t>
      </w:r>
      <w:r>
        <w:rPr>
          <w:rFonts w:ascii="Times New Roman" w:cs="Times New Roman" w:eastAsia="Times New Roman" w:hAnsi="Times New Roman"/>
          <w:sz w:val="22"/>
          <w:szCs w:val="22"/>
          <w:u w:val="single" w:color="auto"/>
          <w:color w:val="auto"/>
        </w:rPr>
        <w:t>Sections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7.5(d)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in its entirety,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Event of Default arising from a breach of </w:t>
      </w:r>
      <w:r>
        <w:rPr>
          <w:rFonts w:ascii="Times New Roman" w:cs="Times New Roman" w:eastAsia="Times New Roman" w:hAnsi="Times New Roman"/>
          <w:sz w:val="22"/>
          <w:szCs w:val="22"/>
          <w:u w:val="single" w:color="auto"/>
          <w:color w:val="auto"/>
        </w:rPr>
        <w:t>Sections 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7.15</w:t>
      </w:r>
      <w:r>
        <w:rPr>
          <w:rFonts w:ascii="Times New Roman" w:cs="Times New Roman" w:eastAsia="Times New Roman" w:hAnsi="Times New Roman"/>
          <w:sz w:val="22"/>
          <w:szCs w:val="22"/>
          <w:color w:val="auto"/>
        </w:rPr>
        <w:t xml:space="preserve"> shall be deemed to have been cured upon delivery of the required item; and provided further that any Event of Default arising solely due to a breach of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shall be deemed cured upon the earlier of (x) the giving of the notice required by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and (y) the date upon which the Default or Event of Default giving rise to the notice obligation is cured or waived;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observance or performance of any of the other covenants or agreements (as applicable) of the Parent or any Credit Party set forth in this Agreement or any other Loan Document (other than those specified in clauses (a), (c) and (d) above) and such default shall continue unremedied for a period of forty-five (45) consecutive days after written notice thereof has been given to Borrower;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under the Loan Documents, including this Agreement, or in any certificate or statement furnished or made to the Administrative Agent or Lenders pursuant hereto, or in connection herewith, or in connection with any document furnished hereunder, shall prove to be untrue in any material respect as of the date on which such representation or warranty is made (or deemed made), or any representation, statement (including financial statements), certificate, report or other data furnished or made under any Loan Document, including this Agreement, proves to have been untrue in any material respect, as of the date as of which the facts therein set forth were stated or certified (except as such information shall have specifically been replaced or modified);</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default by Parent or any Credit Party in the payment of any Material Debt, whether under a direct obligation or guaranty, and continuance thereof beyond any applicable period of grace or cure, if any, provided in the instrument or agreement under which such Material Debt was created or (ii) failure by Parent or any Credit Party to observe or perform any other agreement contained in any instrument or agreement evidencing or securing such Material Debt which continues beyond any applicable period of grace or cure, if any, provided in the instrument or agreement under which such Material Debt was created, and the effect of which would permit the holder or holders thereof to accelerate such Material Debt, or require the prepayment, repurchase, redemption or defeasance of such Material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default, event or condition described in clause (i) or (ii) of this paragraph (g) shall not constitute an Event of Default if any such defaults, events or conditions are remedied or waived, prior to the exercise of any remedies by Administrative Agent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1240"/>
          </w:cols>
          <w:pgMar w:left="320" w:top="1395" w:right="339" w:bottom="1440" w:gutter="0" w:footer="0" w:header="0"/>
        </w:sectPr>
      </w:pPr>
    </w:p>
    <w:bookmarkStart w:id="154" w:name="page155"/>
    <w:bookmarkEnd w:id="154"/>
    <w:p>
      <w:pPr>
        <w:ind w:left="660" w:right="20"/>
        <w:spacing w:after="0" w:line="236" w:lineRule="auto"/>
        <w:rPr>
          <w:sz w:val="20"/>
          <w:szCs w:val="20"/>
          <w:color w:val="auto"/>
        </w:rPr>
      </w:pPr>
      <w:r>
        <w:rPr>
          <w:rFonts w:ascii="Times New Roman" w:cs="Times New Roman" w:eastAsia="Times New Roman" w:hAnsi="Times New Roman"/>
          <w:sz w:val="22"/>
          <w:szCs w:val="22"/>
          <w:color w:val="auto"/>
        </w:rPr>
        <w:t>charging of interest at the default rate specified herein), by the requisite holders or beneficiaries of such Material Debt (or a trustee or agent on behalf of such holders or beneficiaries);</w:t>
      </w:r>
    </w:p>
    <w:p>
      <w:pPr>
        <w:spacing w:after="0" w:line="150" w:lineRule="exact"/>
        <w:rPr>
          <w:sz w:val="20"/>
          <w:szCs w:val="20"/>
          <w:color w:val="auto"/>
        </w:rPr>
      </w:pPr>
    </w:p>
    <w:p>
      <w:pPr>
        <w:jc w:val="both"/>
        <w:ind w:left="660" w:firstLine="644"/>
        <w:spacing w:after="0" w:line="213" w:lineRule="auto"/>
        <w:tabs>
          <w:tab w:leader="none" w:pos="1951"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judgment (not paid or fully covered by insurance as to which the relevant insurance company has not denied coverage in writing), for the payment of money in excess of the Threshold Amount is rendered by any court or other governmental body against Parent or any Credit Party and such Person does not discharge the judgment or provide for its discharge in accordance with its terms, or procure a stay of execution thereof within sixty (60) days from the date of entry thereof, and within said period of sixty (60) days from the date of entry thereof or such longer period during which execution of such judgment shall have been stayed, appeal therefrom and cause the execution thereof to be stayed during such appeal while providing such reserves therefor as may be required under GAAP;</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8" w:lineRule="auto"/>
        <w:tabs>
          <w:tab w:leader="none" w:pos="1944"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(i) a “reportable event”, as defined in ERISA, which is determined by the PBGC to constitute grounds for a distress termination of any Pension Plan subject to Title IV of ERISA maintained or contributed to by or on behalf of any Credit Party for the benefit of any of its employees or for the appointment by the appropriate United States District Court of a trustee to administer such Pension Plan and such reportable event is not corrected and such determination is not revoked within sixty (60) days after notice thereof has been given to the plan administrator of such Pension Plan (without limiting any of Administrative Agent’s or any Lender’s other rights or remedies hereunder), or</w:t>
      </w:r>
    </w:p>
    <w:p>
      <w:pPr>
        <w:spacing w:after="0" w:line="3" w:lineRule="exact"/>
        <w:rPr>
          <w:rFonts w:ascii="Times New Roman" w:cs="Times New Roman" w:eastAsia="Times New Roman" w:hAnsi="Times New Roman"/>
          <w:sz w:val="21"/>
          <w:szCs w:val="21"/>
          <w:color w:val="auto"/>
        </w:rPr>
      </w:pPr>
    </w:p>
    <w:p>
      <w:pPr>
        <w:jc w:val="both"/>
        <w:ind w:left="660" w:hanging="4"/>
        <w:spacing w:after="0" w:line="211" w:lineRule="auto"/>
        <w:tabs>
          <w:tab w:leader="none" w:pos="102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or the institution of proceedings by the PBGC to terminate any such Pension Plan, or (iii) the appointment of a trustee by the appropriate United States District Court to administer any such Pension Plan, or (iv) the reorganization (within the meaning of Section 4241 of ERISA) or insolvency (within the meaning of Section 4245 of ERISA) of any Multiemployer Plan, or receipt of notice from any Multiemployer Plan that it is in reorganization or insolvency, or the complete or partial withdrawal by any Credit Party from any Multiemployer Plan, which in the case of any of the foregoing, could reasonably be expected to have a Material Adverse Effect;</w:t>
      </w:r>
    </w:p>
    <w:p>
      <w:pPr>
        <w:spacing w:after="0" w:line="153"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44"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expressly permitted under this Agreement, the Parent or any Credit Party shall be dissolved or liquidated (or any judgment, order or decree therefor shall be entered); or (ii) a creditors’ committee shall have been appointed for the business of the Parent or any Credit Party; or (iii) the Parent or any Credit Party (A) shall have made a general assignment for the benefit of creditors or (B) shall have been adjudicated bankrupt and if not an adjudication based on a filing by the Parent or any Credit Party, as applicable, it shall not have been dismissed within sixty (60) days, or (C) shall have filed a voluntary petition in bankruptcy or for reorganization or to effect a plan or arrangement with creditors, or (D) shall file an answer to a creditor’s petition or other petition filed against it, admitting the material allegations thereof for an adjudication in bankruptcy or for reorganization, or (E) shall have applied for or permitted the appointment of a receiver or trustee or custodian for any of its property or assets; or (iv) a receiver, trustee or custodian shall have been appointed for any of its property or assets (other than upon application or consent of the Parent or any Credit Party, as applicable) and shall not have been removed within sixty (60) days; or (v) an order shall be entered approving any petition for reorganization of the Parent or any Credit Party (other than upon application or consent of the Parent or any Credit Party, as applicable) and shall not have been reversed or dismissed within sixty (60) days;</w:t>
      </w:r>
    </w:p>
    <w:p>
      <w:pPr>
        <w:spacing w:after="0" w:line="1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1240"/>
          </w:cols>
          <w:pgMar w:left="320" w:top="1395" w:right="339" w:bottom="1440" w:gutter="0" w:footer="0" w:header="0"/>
        </w:sectPr>
      </w:pPr>
    </w:p>
    <w:bookmarkStart w:id="155" w:name="page156"/>
    <w:bookmarkEnd w:id="155"/>
    <w:p>
      <w:pPr>
        <w:ind w:left="660" w:right="20" w:firstLine="644"/>
        <w:spacing w:after="0" w:line="236" w:lineRule="auto"/>
        <w:tabs>
          <w:tab w:leader="none" w:pos="194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any other Credit Party or the Parent shall admit in writing its inability to, or be generally unable to, pay its debts as such debts become due; or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44"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Documents after delivery thereof shall for any reason, except to the extent permitted by the terms hereof or thereof, cease to be in full force and effect and valid, binding and enforceable in accordance with their terms (other than in accordance with the terms hereof or thereof), or cease to create a valid and perfected Lien of the priority required thereby on any material portion of the Collateral, except to the extent permitted by the terms of this Agreement or any of the other Loan Documents, or Borrower, the Parent or any Credit Party shall so state in writing.</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Exercise of Remedies</w:t>
      </w:r>
    </w:p>
    <w:p>
      <w:pPr>
        <w:spacing w:after="0" w:line="179" w:lineRule="exact"/>
        <w:rPr>
          <w:sz w:val="20"/>
          <w:szCs w:val="20"/>
          <w:color w:val="auto"/>
        </w:rPr>
      </w:pPr>
    </w:p>
    <w:p>
      <w:pPr>
        <w:jc w:val="both"/>
        <w:ind w:firstLine="8"/>
        <w:spacing w:after="0" w:line="208" w:lineRule="auto"/>
        <w:tabs>
          <w:tab w:leader="none" w:pos="12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has occurred and is continuing hereunder: (a) with the consent of the Majority Lenders, Administrative Agent may, and shall, upon being directed to do so by the Majority Lenders, declare the Revolving Credit Aggregate Commitment terminated; (b) with the consent of the Majority Lenders, Administrative Agent may, and shall, upon being directed to do so by the Majority Lenders, declare the entire unpaid principal Indebtedness, including the Notes (but excepting Indebtedness under Lender Hedging Obligations and Lender Product Obligations), immediately due and payable, without presentment, notice or demand, all of which are hereby expressly waived by Borrower; (c) upon the occurrence of any Event of Default specified in </w:t>
      </w:r>
      <w:r>
        <w:rPr>
          <w:rFonts w:ascii="Times New Roman" w:cs="Times New Roman" w:eastAsia="Times New Roman" w:hAnsi="Times New Roman"/>
          <w:sz w:val="22"/>
          <w:szCs w:val="22"/>
          <w:u w:val="single" w:color="auto"/>
          <w:color w:val="auto"/>
        </w:rPr>
        <w:t>Section 9.1(j)</w:t>
      </w:r>
      <w:r>
        <w:rPr>
          <w:rFonts w:ascii="Times New Roman" w:cs="Times New Roman" w:eastAsia="Times New Roman" w:hAnsi="Times New Roman"/>
          <w:sz w:val="22"/>
          <w:szCs w:val="22"/>
          <w:color w:val="auto"/>
        </w:rPr>
        <w:t xml:space="preserve"> and notwithstanding the lack of any declaration by Administrative Agent under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the entire unpaid principal Indebtedness (excepting Indebtedness under Lender Hedging Obligations and Lender Product Obligations) shall become automatically and immediately due and payable, and the Revolving Credit Aggregate Commitment shall be automatically and immediately terminated; (d) Administrative Agent may, and shall, upon being directed to do so by the Majority Lenders, demand immediate delivery of cash collateral, and Borrower agrees to deliver such cash collateral upon demand, in an amount equal to 100% of the maximum amount that may be available to be drawn at any time prior to the stated expiry of all outstanding Letters of Credit, for deposit into an account controlled by Administrative Agent; (e) Administrative Agent may, and shall, upon being directed to do so by the Majority Lenders, notify Borrower or any Credit Party that interest shall be payable on demand on all Indebtedness (other than (1) Revolving Credit Advances with respect to which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govern and (2) Lender Hedging Obligations and Lender Product Obligations) owing from time to time to Administrative Agent or any Lender, at a per annum rate equal to the then applicable </w:t>
      </w:r>
      <w:r>
        <w:rPr>
          <w:rFonts w:ascii="Times New Roman" w:cs="Times New Roman" w:eastAsia="Times New Roman" w:hAnsi="Times New Roman"/>
          <w:sz w:val="22"/>
          <w:szCs w:val="22"/>
          <w:u w:val="single" w:color="auto"/>
          <w:color w:val="0000FF"/>
        </w:rPr>
        <w:t>Alternate</w:t>
      </w:r>
      <w:r>
        <w:rPr>
          <w:rFonts w:ascii="Times New Roman" w:cs="Times New Roman" w:eastAsia="Times New Roman" w:hAnsi="Times New Roman"/>
          <w:sz w:val="22"/>
          <w:szCs w:val="22"/>
          <w:color w:val="auto"/>
        </w:rPr>
        <w:t xml:space="preserve"> Base Rate plus 2%; and (f) Administrative Agent may, and shall, upon being directed to do so by the Majority Lenders or Lenders, as applicable (subject to the terms hereof), exercise any remedy permitted by this Agreement, the other Loan Documents or law.</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Rights Cumulative</w:t>
      </w:r>
    </w:p>
    <w:p>
      <w:pPr>
        <w:spacing w:after="0" w:line="179" w:lineRule="exact"/>
        <w:rPr>
          <w:sz w:val="20"/>
          <w:szCs w:val="20"/>
          <w:color w:val="auto"/>
        </w:rPr>
      </w:pPr>
    </w:p>
    <w:p>
      <w:pPr>
        <w:jc w:val="both"/>
        <w:ind w:firstLine="8"/>
        <w:spacing w:after="0" w:line="220" w:lineRule="auto"/>
        <w:tabs>
          <w:tab w:leader="none" w:pos="12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delay or failure of Administrative Agent and/or Lenders in exercising any right, power or privilege hereunder shall affect such right, power or privilege, nor shall any single or partial exercise thereof preclude any further exercise thereof, or the exercise of any other power, right or privilege. The rights of Administrative Agent and Lenders under this Agreement are cumulative and not exclusive of any right or remedies which Lenders would otherwise have.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Waiver by Borrower of Certain Laws</w:t>
      </w:r>
    </w:p>
    <w:p>
      <w:pPr>
        <w:spacing w:after="0" w:line="179" w:lineRule="exact"/>
        <w:rPr>
          <w:sz w:val="20"/>
          <w:szCs w:val="20"/>
          <w:color w:val="auto"/>
        </w:rPr>
      </w:pPr>
    </w:p>
    <w:p>
      <w:pPr>
        <w:jc w:val="both"/>
        <w:ind w:firstLine="8"/>
        <w:spacing w:after="0" w:line="220" w:lineRule="auto"/>
        <w:tabs>
          <w:tab w:leader="none" w:pos="10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1240"/>
          </w:cols>
          <w:pgMar w:left="320" w:top="1395" w:right="339" w:bottom="1440" w:gutter="0" w:footer="0" w:header="0"/>
        </w:sectPr>
      </w:pPr>
    </w:p>
    <w:bookmarkStart w:id="156" w:name="page157"/>
    <w:bookmarkEnd w:id="156"/>
    <w:p>
      <w:pPr>
        <w:spacing w:after="0" w:line="236" w:lineRule="auto"/>
        <w:rPr>
          <w:sz w:val="20"/>
          <w:szCs w:val="20"/>
          <w:color w:val="auto"/>
        </w:rPr>
      </w:pPr>
      <w:r>
        <w:rPr>
          <w:rFonts w:ascii="Times New Roman" w:cs="Times New Roman" w:eastAsia="Times New Roman" w:hAnsi="Times New Roman"/>
          <w:sz w:val="22"/>
          <w:szCs w:val="22"/>
          <w:color w:val="auto"/>
        </w:rPr>
        <w:t>contemplated by or granted under or in connection with this Agreement or any other Loan Document. These waivers have been voluntarily given, with full knowledge of the consequences thereof.</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Waiver of Defaults</w:t>
      </w:r>
    </w:p>
    <w:p>
      <w:pPr>
        <w:spacing w:after="0" w:line="179" w:lineRule="exact"/>
        <w:rPr>
          <w:sz w:val="20"/>
          <w:szCs w:val="20"/>
          <w:color w:val="auto"/>
        </w:rPr>
      </w:pPr>
    </w:p>
    <w:p>
      <w:pPr>
        <w:jc w:val="both"/>
        <w:ind w:firstLine="8"/>
        <w:spacing w:after="0" w:line="215" w:lineRule="auto"/>
        <w:tabs>
          <w:tab w:leader="none" w:pos="12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Event of Default shall be waived by Administrative Agent and the Lenders except in accordance with </w:t>
      </w:r>
      <w:r>
        <w:rPr>
          <w:rFonts w:ascii="Times New Roman" w:cs="Times New Roman" w:eastAsia="Times New Roman" w:hAnsi="Times New Roman"/>
          <w:sz w:val="22"/>
          <w:szCs w:val="22"/>
          <w:u w:val="single" w:color="auto"/>
          <w:color w:val="auto"/>
        </w:rPr>
        <w:t>Section 13.9</w:t>
      </w:r>
      <w:r>
        <w:rPr>
          <w:rFonts w:ascii="Times New Roman" w:cs="Times New Roman" w:eastAsia="Times New Roman" w:hAnsi="Times New Roman"/>
          <w:sz w:val="22"/>
          <w:szCs w:val="22"/>
          <w:color w:val="auto"/>
        </w:rPr>
        <w:t>. No single or partial exercise of any right, power or privilege hereunder, nor any delay in the exercise thereof, shall preclude other or further exercise of their rights by Administrative Agent or Lenders. No waiver of any Event of Default shall extend to any other or further Event of Default. No forbearance on the part of Administrative Agent or Lenders in enforcing any of their rights shall constitute a waiver of any of their rights. Borrower expressly agrees that this Section may not be waived or modified by Lenders or Administrative Agent by course of performance, estoppel or otherwise.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Set Off</w:t>
      </w:r>
    </w:p>
    <w:p>
      <w:pPr>
        <w:spacing w:after="0" w:line="179" w:lineRule="exact"/>
        <w:rPr>
          <w:sz w:val="20"/>
          <w:szCs w:val="20"/>
          <w:color w:val="auto"/>
        </w:rPr>
      </w:pPr>
    </w:p>
    <w:p>
      <w:pPr>
        <w:jc w:val="both"/>
        <w:ind w:firstLine="8"/>
        <w:spacing w:after="0" w:line="209" w:lineRule="auto"/>
        <w:tabs>
          <w:tab w:leader="none" w:pos="12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and during the continuance of any Event of Default, each Lender, each Issuing Lender and each of their respective Affiliates may at any time and from time to time, without notice to Borrower but subject to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10.3</w:t>
      </w:r>
      <w:r>
        <w:rPr>
          <w:rFonts w:ascii="Times New Roman" w:cs="Times New Roman" w:eastAsia="Times New Roman" w:hAnsi="Times New Roman"/>
          <w:sz w:val="22"/>
          <w:szCs w:val="22"/>
          <w:color w:val="auto"/>
        </w:rPr>
        <w:t xml:space="preserve"> (any requirement for such notice being expressly waived by Borrower), setoff and apply any and all deposits (general or special, time or demand, provisional or final, in whatever currency) at any time held, and other obligations (in whatever currency) at any time owing by such Lender, such Issuing Lender or any such Affiliate, to or for the credit or the account of Borrower or any other Credit Party against any and all of the obligations of Borrower or such Credit Party now or hereafter existing under this Agreement or any other Loan Document to such Lender, such Issuing Lender or their respective Affiliates, irrespective of whether or not such Lender, such Issuing Lender or Affiliate shall have made any demand under this Agreement or any other Loan Document and although such obligations of Borrower or such Credit Party may be contingent or unmatured or are owed to a branch, office or Affiliate of such Lender or such Issuing Lender different from the branch, office or Affiliate holding such deposit or obligated on such indebtedness. Each Lender and each Issuing Lender agrees to notify Borrower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 The rights of each Lender, each Issuing Lender and their respective Affiliates under this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are in addition to other rights and remedies (including other rights of setoff) that such Lender, such Issuing Lender or their respective Affiliates may have.</w:t>
      </w:r>
    </w:p>
    <w:p>
      <w:pPr>
        <w:spacing w:after="0" w:line="147"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10.</w:t>
      </w:r>
      <w:r>
        <w:rPr>
          <w:sz w:val="20"/>
          <w:szCs w:val="20"/>
          <w:color w:val="auto"/>
        </w:rPr>
        <w:tab/>
      </w:r>
      <w:r>
        <w:rPr>
          <w:rFonts w:ascii="Times New Roman" w:cs="Times New Roman" w:eastAsia="Times New Roman" w:hAnsi="Times New Roman"/>
          <w:sz w:val="21"/>
          <w:szCs w:val="21"/>
          <w:b w:val="1"/>
          <w:bCs w:val="1"/>
          <w:color w:val="auto"/>
        </w:rPr>
        <w:t>PAYMENTS, RECOVERIES AND COLLECTIONS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Payment Procedure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3" w:lineRule="auto"/>
        <w:tabs>
          <w:tab w:leader="none" w:pos="195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to be made by Borrower shall be made without condition or deduction for any counterclaim, defense, recoupment or setoff. Except as otherwise provided herein, all payments made by Borrower of principal, interest or fees hereunder shall be made without setoff or counterclaim on the date specified for payment under this Agreement and must be received by Administrative Agent not later than 1:00 p.m. (New York time) on the date such payment is required or intended to be made in Dollars in immediately available funds to Administrative Agent at Administrative Agent’s office identified on </w:t>
      </w:r>
      <w:r>
        <w:rPr>
          <w:rFonts w:ascii="Times New Roman" w:cs="Times New Roman" w:eastAsia="Times New Roman" w:hAnsi="Times New Roman"/>
          <w:sz w:val="22"/>
          <w:szCs w:val="22"/>
          <w:u w:val="single" w:color="auto"/>
          <w:color w:val="auto"/>
        </w:rPr>
        <w:t>Schedule 13.6</w:t>
      </w:r>
      <w:r>
        <w:rPr>
          <w:rFonts w:ascii="Times New Roman" w:cs="Times New Roman" w:eastAsia="Times New Roman" w:hAnsi="Times New Roman"/>
          <w:sz w:val="22"/>
          <w:szCs w:val="22"/>
          <w:color w:val="auto"/>
        </w:rPr>
        <w:t>, for the ratable benefit of the Revolving Credit Lenders in the case of payments in respect of the Revolving Credit and any Letter of Credit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1240"/>
          </w:cols>
          <w:pgMar w:left="320" w:top="1395" w:right="339" w:bottom="1440" w:gutter="0" w:footer="0" w:header="0"/>
        </w:sectPr>
      </w:pPr>
    </w:p>
    <w:bookmarkStart w:id="157" w:name="page158"/>
    <w:bookmarkEnd w:id="157"/>
    <w:p>
      <w:pPr>
        <w:jc w:val="both"/>
        <w:ind w:left="660"/>
        <w:spacing w:after="0" w:line="217" w:lineRule="auto"/>
        <w:rPr>
          <w:sz w:val="20"/>
          <w:szCs w:val="20"/>
          <w:color w:val="auto"/>
        </w:rPr>
      </w:pPr>
      <w:r>
        <w:rPr>
          <w:rFonts w:ascii="Times New Roman" w:cs="Times New Roman" w:eastAsia="Times New Roman" w:hAnsi="Times New Roman"/>
          <w:sz w:val="22"/>
          <w:szCs w:val="22"/>
          <w:color w:val="auto"/>
        </w:rPr>
        <w:t xml:space="preserve">Any payment received by Administrative Agent after 1:00 p.m. (New York time) shall be deemed received on the next succeeding Business Day and any applicable interest or fee shall continue to accrue. Upon receipt of each such payment, Administrative Agent shall make prompt payment to each applicable </w:t>
      </w:r>
      <w:r>
        <w:rPr>
          <w:rFonts w:ascii="Times New Roman" w:cs="Times New Roman" w:eastAsia="Times New Roman" w:hAnsi="Times New Roman"/>
          <w:sz w:val="22"/>
          <w:szCs w:val="22"/>
          <w:color w:val="FF0000"/>
          <w:strike w:val="1"/>
        </w:rPr>
        <w:t>Lender, or, in respect of Eurodollar-based Advances,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such Lender’s Eurodollar Lending Office, in like funds and currencies, of all amounts received by it for the account of such </w:t>
      </w:r>
      <w:r>
        <w:rPr>
          <w:rFonts w:ascii="Times New Roman" w:cs="Times New Roman" w:eastAsia="Times New Roman" w:hAnsi="Times New Roman"/>
          <w:sz w:val="22"/>
          <w:szCs w:val="22"/>
          <w:color w:val="000000"/>
          <w:strike w:val="1"/>
        </w:rPr>
        <w:t>Lender.</w:t>
      </w:r>
    </w:p>
    <w:p>
      <w:pPr>
        <w:spacing w:after="0" w:line="152" w:lineRule="exact"/>
        <w:rPr>
          <w:sz w:val="20"/>
          <w:szCs w:val="20"/>
          <w:color w:val="auto"/>
        </w:rPr>
      </w:pPr>
    </w:p>
    <w:p>
      <w:pPr>
        <w:jc w:val="both"/>
        <w:ind w:left="660" w:firstLine="644"/>
        <w:spacing w:after="0" w:line="210" w:lineRule="auto"/>
        <w:tabs>
          <w:tab w:leader="none" w:pos="1951"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Administrative Agent shall have been notified in writing by Borrower at least two (2) Business Days prior to the date on which any payment to be made by Borrower is due that Borrower does not intend to remit such payment, Administrative Agent may, in its sole discretion and without obligation to do so, assume that Borrower has remitted such payment when so due and Administrative Agent may, in reliance upon such assumption, make available to each Revolving Credit Lender on such payment date an amount equal to such Lender’s share of such assumed payment. If Borrower has not in fact remitted such payment to Administrative Agent, each Lender shall forthwith on demand repay to Administrative Agent the amount of such assumed payment made available or transferred to such Lender, together with the interest thereon, in respect of each day from and including the date such amount was made available by Administrative Agent to such Lender to the date such amount is repaid to Administrative Agent at a rate per annum equal to the Federal Funds Effective Rate for the first two (2) Business Days that such amount remains unpaid, and thereafter at a rate of interest then applicable to such Revolving Credit Advances.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definition of “</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this Agreement, 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Application of Proceeds of Collateral</w:t>
      </w:r>
    </w:p>
    <w:p>
      <w:pPr>
        <w:spacing w:after="0" w:line="179" w:lineRule="exact"/>
        <w:rPr>
          <w:sz w:val="20"/>
          <w:szCs w:val="20"/>
          <w:color w:val="auto"/>
        </w:rPr>
      </w:pPr>
    </w:p>
    <w:p>
      <w:pPr>
        <w:jc w:val="both"/>
        <w:ind w:firstLine="8"/>
        <w:spacing w:after="0" w:line="225" w:lineRule="auto"/>
        <w:tabs>
          <w:tab w:leader="none" w:pos="13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(x) in the case of any Event of Default under </w:t>
      </w:r>
      <w:r>
        <w:rPr>
          <w:rFonts w:ascii="Times New Roman" w:cs="Times New Roman" w:eastAsia="Times New Roman" w:hAnsi="Times New Roman"/>
          <w:sz w:val="22"/>
          <w:szCs w:val="22"/>
          <w:u w:val="single" w:color="auto"/>
          <w:color w:val="auto"/>
        </w:rPr>
        <w:t>Section 9.1(j)</w:t>
      </w:r>
      <w:r>
        <w:rPr>
          <w:rFonts w:ascii="Times New Roman" w:cs="Times New Roman" w:eastAsia="Times New Roman" w:hAnsi="Times New Roman"/>
          <w:sz w:val="22"/>
          <w:szCs w:val="22"/>
          <w:color w:val="auto"/>
        </w:rPr>
        <w:t>, immediately following the occurrence and during the continuance thereof, (y) on and after the Revolving Credit Maturity Date, and (z) in the case of any other Event of Default that is continuing:</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of the Revolving Credit Aggregate Commitment, or</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acceleration of any Indebtedness arising under this Agreement (other than Commodity Hedging Agreements and Interest Rate Agreements),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Administrative Agent’s option,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Majority Lenders after the commencement of any remedies hereunder,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proceeds realized from the liquidation or other disposition of Collateral or otherwise received after maturity of the</w:t>
      </w:r>
    </w:p>
    <w:p>
      <w:pPr>
        <w:spacing w:after="0"/>
        <w:rPr>
          <w:sz w:val="20"/>
          <w:szCs w:val="20"/>
          <w:color w:val="auto"/>
        </w:rPr>
      </w:pPr>
      <w:r>
        <w:rPr>
          <w:rFonts w:ascii="Times New Roman" w:cs="Times New Roman" w:eastAsia="Times New Roman" w:hAnsi="Times New Roman"/>
          <w:sz w:val="22"/>
          <w:szCs w:val="22"/>
          <w:color w:val="auto"/>
        </w:rPr>
        <w:t>Indebtedness, whether by acceleration or otherwise, shall be applied:</w:t>
      </w:r>
    </w:p>
    <w:p>
      <w:pPr>
        <w:spacing w:after="0" w:line="155" w:lineRule="exact"/>
        <w:rPr>
          <w:sz w:val="20"/>
          <w:szCs w:val="20"/>
          <w:color w:val="auto"/>
        </w:rPr>
      </w:pPr>
    </w:p>
    <w:p>
      <w:pPr>
        <w:ind w:left="660" w:right="20" w:firstLine="644"/>
        <w:spacing w:after="0" w:line="236" w:lineRule="auto"/>
        <w:tabs>
          <w:tab w:leader="none" w:pos="195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payment or reimbursement of that portion of the Indebtedness constituting reasonable fees, expenses and indemnities payable to the Administrative Agent in its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1240"/>
          </w:cols>
          <w:pgMar w:left="320" w:top="1395" w:right="339" w:bottom="1440" w:gutter="0" w:footer="0" w:header="0"/>
        </w:sectPr>
      </w:pPr>
    </w:p>
    <w:bookmarkStart w:id="158" w:name="page159"/>
    <w:bookmarkEnd w:id="158"/>
    <w:p>
      <w:pPr>
        <w:ind w:left="660" w:right="20" w:firstLine="644"/>
        <w:spacing w:after="0" w:line="236" w:lineRule="auto"/>
        <w:tabs>
          <w:tab w:leader="none" w:pos="195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pro rata to payment or reimbursement of that portion of the Indebtedness constituting reasonable fees, expenses and indemnities payable to the Lenders;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pro rata to payment of accrued interest on Advances;</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pro rata to payment of principal outstanding on Advances, and the payment of Lender Hedging Obligations and Lender Product Obligations;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pro rata to any other Indebtedness;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to serve as cash collateral to be held by the Administrative Agent to secure Reimbursement Obligations; and</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any excess, after all of the Indebtedness shall have been paid in full in cash, shall be paid to Borrower or as otherwise required by law.</w:t>
      </w:r>
    </w:p>
    <w:p>
      <w:pPr>
        <w:spacing w:after="0" w:line="15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Notwithstanding the foregoing, amounts received from Parent or any Credit Party (or from their respective assets) that is not an Eligible Contract Participant shall not be applied to any Excluded Swap Obligations owing to a Lender Counterparty (it being understood, that in the event that any amount is applied to Indebtedness as a result of this clause, the Administrative Agent shall make such adjustments as it determines are appropriate to distributions pursuant to clause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above from amounts received from such Eligible Contract Participants to ensure, as nearly as possible, that the proportional aggregate recoveries with respect to Indebtedness described in clause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above by Lender Counterparties that are the holders of any Excluded Swap Obligations are the same as the proportional aggregate recoveries with respect to other Indebtedness pursuant to clause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above).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Pro-rata Recovery</w:t>
      </w:r>
    </w:p>
    <w:p>
      <w:pPr>
        <w:spacing w:after="0" w:line="179" w:lineRule="exact"/>
        <w:rPr>
          <w:sz w:val="20"/>
          <w:szCs w:val="20"/>
          <w:color w:val="auto"/>
        </w:rPr>
      </w:pPr>
    </w:p>
    <w:p>
      <w:pPr>
        <w:jc w:val="both"/>
        <w:ind w:firstLine="8"/>
        <w:spacing w:after="0" w:line="222" w:lineRule="auto"/>
        <w:tabs>
          <w:tab w:leader="none" w:pos="148"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10.4(c)</w:t>
      </w:r>
      <w:r>
        <w:rPr>
          <w:rFonts w:ascii="Times New Roman" w:cs="Times New Roman" w:eastAsia="Times New Roman" w:hAnsi="Times New Roman"/>
          <w:sz w:val="21"/>
          <w:szCs w:val="21"/>
          <w:color w:val="auto"/>
        </w:rPr>
        <w:t xml:space="preserve">, if any Lender shall obtain any payment or other recovery (whether voluntary, involuntary, by application of setoff or otherwise) on account of principal of, or interest on, any of the Advances made by it, or the participations in Letter of Credit Obligations held by it in excess of its pro rata share of payments then or thereafter obtained by all Lenders upon principal of and interest on all such Indebtedness, such Lender shall purchase from the other Lenders such participations in the Revolving Credit and/or the Letter of Credit Obligations held by them as shall be necessary to cause such purchasing Lender to share the excess payment or other recovery ratably in accordance with the applicable Revolving Credit Percentages of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all or any portion of the excess payment or other recovery is thereafter recovered from such purchasing holder, the purchase shall be rescinded and the purchase price restored to the extent of such recovery, but without interest.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Treatment of a Defaulting Lender; Reallocation of Defaulting Lender’s Fronting Exposure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0" w:lineRule="auto"/>
        <w:tabs>
          <w:tab w:leader="none" w:pos="195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of any Lender to make any Advance hereunder shall not be affected by the failure of any other Lender to make any Advance under this Agreement, and no Lender shall have any liability to Borrower or any of their Subsidiaries, Administrative Agent, any other Lender, or any other Person for another Lender’s failure to make any loan or Advance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240"/>
          </w:cols>
          <w:pgMar w:left="320" w:top="1395" w:right="339" w:bottom="1440" w:gutter="0" w:footer="0" w:header="0"/>
        </w:sectPr>
      </w:pPr>
    </w:p>
    <w:bookmarkStart w:id="159" w:name="page160"/>
    <w:bookmarkEnd w:id="159"/>
    <w:p>
      <w:pPr>
        <w:jc w:val="both"/>
        <w:ind w:left="660" w:firstLine="644"/>
        <w:spacing w:after="0" w:line="220" w:lineRule="auto"/>
        <w:tabs>
          <w:tab w:leader="none" w:pos="195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become a Defaulting Lender, then such Defaulting Lender’s right to vote in respect of any amendment, consent or waiver of the terms of this Agreement or such other Loan Documents, or to approve or consent to any redetermination of the Borrowing Base or to direct or approve any action or inaction by Administrative Agent shall be subject to the restrictions set forth in </w:t>
      </w:r>
      <w:r>
        <w:rPr>
          <w:rFonts w:ascii="Times New Roman" w:cs="Times New Roman" w:eastAsia="Times New Roman" w:hAnsi="Times New Roman"/>
          <w:sz w:val="22"/>
          <w:szCs w:val="22"/>
          <w:u w:val="single" w:color="auto"/>
          <w:color w:val="auto"/>
        </w:rPr>
        <w:t>Section 13.9</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5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and for so long as a Lender remains a Defaulting Lender and notwithstanding the provisions of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hereof, Administrative Agent shall be entitled, without limitation, (i) to withhold or setoff and to apply in satisfaction of those obligations for payment (and any related interest) in respect of which the Defaulting Lender shall be delinquent or otherwise in default to Administrative Agent or any Lender (or to hold as cash collateral for such delinquent obligations or any future defaults) the amounts otherwise payable to such Defaulting Lender under this Agreement or any other Loan Document, (ii) if the amount of Advances made by such Defaulting Lender is less than its Revolving Credit Percentage requires, apply payments of principal made by Borrower amongst the Non-Defaulting Lenders on a pro rata basis until all outstanding Advances are held by all Lenders according to their respective Revolving Credit Percentages and (iii) to bring an action or other proceeding, in law or equity, against such Defaulting Lender in a court of competent jurisdiction to recover the delinquent amounts, and any related interest. Furthermore, the rights and remedies of Borrower, Administrative Agent, the Issuing Lenders, and the other Lenders against a Defaulting Lender under this Section shall be in addition to any other rights and remedies such parties may have against the Defaulting Lender under this Agreement or any of the other Loan Documents, applicable law or otherwise, and Borrower waives no rights or remedies against any Defaulting Lender.</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become a Defaulting Lender, then, for so long as such Lender remains a Defaulting Lender, any Fronting Exposure shall be reallocated by Administrative Agent at the request of any Issuing Lender among the Non-Defaulting Lenders in accordance with their respective Revolving Credit Percentages of the Revolving Credit, but only to the extent that the sum of the aggregate principal amount of all Revolving Credit Advances made by each Non-Defaulting Lender, plus such Non-Defaulting Lender’s Revolving Credit Percentage of the aggregate outstanding principal amount of Letter of Credit Obligations prior to giving effect to such reallocation plus such Non-Defaulting Lender’s Revolving Credit Percentage of the Fronting Exposure to be reallocated does not exceed such Non- Defaulting Lender’s Revolving Credit Percentage of the Revolving Credit Aggregate Commitment, and only so long as no Default or Event of Default has occurred and is continuing on the date of such reallocation.</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Fronting Exposure of a Defaulting Lender is reallocated among the Non-Defaulting Lenders pursuant to clause (d) above, then the fees payable to the Lenders pursuant to </w:t>
      </w:r>
      <w:r>
        <w:rPr>
          <w:rFonts w:ascii="Times New Roman" w:cs="Times New Roman" w:eastAsia="Times New Roman" w:hAnsi="Times New Roman"/>
          <w:sz w:val="22"/>
          <w:szCs w:val="22"/>
          <w:u w:val="single" w:color="auto"/>
          <w:color w:val="auto"/>
        </w:rPr>
        <w:t>Section 3.4(a)(i)</w:t>
      </w:r>
      <w:r>
        <w:rPr>
          <w:rFonts w:ascii="Times New Roman" w:cs="Times New Roman" w:eastAsia="Times New Roman" w:hAnsi="Times New Roman"/>
          <w:sz w:val="22"/>
          <w:szCs w:val="22"/>
          <w:color w:val="auto"/>
        </w:rPr>
        <w:t xml:space="preserve"> shall be adjusted in accordance with such Non-Defaulting Lenders’ reallocated Revolving Credit Percentages.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each of Administrative Agent, Borrower and each Issuing Lender agrees that a Defaulting Lender has adequately remedied all matters that caused such Lender to be a Defaulting Lender, then any reallocation of the Fronting Exposure of such Defaulting Lender pursuant to clause (d) above shall be readjusted to reflect the inclusion of such Lender’s Revolving Credit Commitment Amount and on the date of such readjustment such Lender shall purchase at par such of the Advances of the other Lenders as the Administrative Agent shall determine may be necessary in order for such Lender to hold such Advances in accordance with its Revolving Credit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1240"/>
          </w:cols>
          <w:pgMar w:left="320" w:top="1395" w:right="339" w:bottom="1440" w:gutter="0" w:footer="0" w:header="0"/>
        </w:sectPr>
      </w:pPr>
    </w:p>
    <w:bookmarkStart w:id="160" w:name="page161"/>
    <w:bookmarkEnd w:id="160"/>
    <w:p>
      <w:pPr>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11.</w:t>
      </w:r>
      <w:r>
        <w:rPr>
          <w:sz w:val="20"/>
          <w:szCs w:val="20"/>
          <w:color w:val="auto"/>
        </w:rPr>
        <w:tab/>
      </w:r>
      <w:r>
        <w:rPr>
          <w:rFonts w:ascii="Times New Roman" w:cs="Times New Roman" w:eastAsia="Times New Roman" w:hAnsi="Times New Roman"/>
          <w:sz w:val="21"/>
          <w:szCs w:val="21"/>
          <w:b w:val="1"/>
          <w:bCs w:val="1"/>
          <w:color w:val="auto"/>
        </w:rPr>
        <w:t>CHANGES IN LAW OR CIRCUMSTANCES; INCREASED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Reimbursement of Prepayment Costs</w:t>
      </w:r>
    </w:p>
    <w:p>
      <w:pPr>
        <w:spacing w:after="0" w:line="179" w:lineRule="exact"/>
        <w:rPr>
          <w:sz w:val="20"/>
          <w:szCs w:val="20"/>
          <w:color w:val="auto"/>
        </w:rPr>
      </w:pPr>
    </w:p>
    <w:p>
      <w:pPr>
        <w:jc w:val="both"/>
        <w:ind w:firstLine="8"/>
        <w:spacing w:after="0" w:line="217" w:lineRule="auto"/>
        <w:tabs>
          <w:tab w:leader="none" w:pos="108"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Borrower makes any prepayment of principal with respect to any </w:t>
      </w:r>
      <w:r>
        <w:rPr>
          <w:rFonts w:ascii="Times New Roman" w:cs="Times New Roman" w:eastAsia="Times New Roman" w:hAnsi="Times New Roman"/>
          <w:sz w:val="21"/>
          <w:szCs w:val="21"/>
          <w:color w:val="FF0000"/>
          <w:strike w:val="1"/>
        </w:rPr>
        <w:t>Eurodollar-based</w:t>
      </w:r>
      <w:r>
        <w:rPr>
          <w:rFonts w:ascii="Times New Roman" w:cs="Times New Roman" w:eastAsia="Times New Roman" w:hAnsi="Times New Roman"/>
          <w:sz w:val="21"/>
          <w:szCs w:val="21"/>
          <w:u w:val="single" w:color="auto"/>
          <w:color w:val="0000FF"/>
        </w:rPr>
        <w:t>SOFR</w:t>
      </w:r>
      <w:r>
        <w:rPr>
          <w:rFonts w:ascii="Times New Roman" w:cs="Times New Roman" w:eastAsia="Times New Roman" w:hAnsi="Times New Roman"/>
          <w:sz w:val="21"/>
          <w:szCs w:val="21"/>
          <w:color w:val="auto"/>
        </w:rPr>
        <w:t xml:space="preserve"> Advance on any day other than the last day of the Interest Period applicable thereto (whether voluntarily, pursuant to any mandatory provisions hereof, by acceleration, or otherwise); (ii) Borrower converts or continues (or attempts to convert or continue) any such Advance on any day other than the last day of the Interest Period applicable thereto; (iii) Borrower fails to borrow, continue, refund or convert any </w:t>
      </w:r>
      <w:r>
        <w:rPr>
          <w:rFonts w:ascii="Times New Roman" w:cs="Times New Roman" w:eastAsia="Times New Roman" w:hAnsi="Times New Roman"/>
          <w:sz w:val="21"/>
          <w:szCs w:val="21"/>
          <w:color w:val="FF0000"/>
          <w:strike w:val="1"/>
        </w:rPr>
        <w:t>Eurodollar-based</w:t>
      </w:r>
      <w:r>
        <w:rPr>
          <w:rFonts w:ascii="Times New Roman" w:cs="Times New Roman" w:eastAsia="Times New Roman" w:hAnsi="Times New Roman"/>
          <w:sz w:val="21"/>
          <w:szCs w:val="21"/>
          <w:u w:val="single" w:color="auto"/>
          <w:color w:val="0000FF"/>
        </w:rPr>
        <w:t>SOFR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Advance after notice has been given by Borrower to Administrative Agent in accordance with the terms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hereof requesting such Advance; or (iv) if Borrower fails to make any payment of principal in respect of a </w:t>
      </w:r>
      <w:r>
        <w:rPr>
          <w:rFonts w:ascii="Times New Roman" w:cs="Times New Roman" w:eastAsia="Times New Roman" w:hAnsi="Times New Roman"/>
          <w:sz w:val="21"/>
          <w:szCs w:val="21"/>
          <w:color w:val="FF0000"/>
          <w:strike w:val="1"/>
        </w:rPr>
        <w:t>Eurodollar-based</w:t>
      </w:r>
      <w:r>
        <w:rPr>
          <w:rFonts w:ascii="Times New Roman" w:cs="Times New Roman" w:eastAsia="Times New Roman" w:hAnsi="Times New Roman"/>
          <w:sz w:val="21"/>
          <w:szCs w:val="21"/>
          <w:u w:val="single" w:color="auto"/>
          <w:color w:val="0000FF"/>
        </w:rPr>
        <w:t>SOFR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Advance when due, Borrower shall reimburse Administrative Agent for itself and/or on behalf of any Lender, as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case may be, within ten (10) Business Days of written demand therefor for any resulting loss, cost or expense incurred (excluding the loss of any Applicable Margin) by Administrative Agent and Lenders, as the case may be, as a result thereof, including, without limitation, any such loss, cost or expense incurred in obtaining, liquidating, employing or redeploying deposits from third parties, whether or not Administrative Agent and Lenders, as the case may be, shall have funded or committed to fund such Advance. The amount payable under this Section by Borrower to Administrative Agent for itself and/or on behalf of any Lender, as the case may be, shall be deemed to equal an amount equal to the excess, if any, of (a) the amount of interest which would have accrued on the amount so prepaid, or not so borrowed, refunded, continued or converted, for the period from the date of such prepayment or of such failure to borrow, continue, refund or convert, through the last day of the relevant Interest Period, at the applicable rate of interest for said Advance(s) provided under this Agreement (excluding, however, the Applicable Margin included therein, if any), over (b) the amount of interest (as reasonably determined by Administrative Agent and Lenders, as the case may be) which would have accrued to Administrative Agent and Lenders, as the case may be, on such amount by placing such amount on deposit for a comparable period with leading banks in the interbank Eurocurrency market. Calculation of any amounts payable to any Lender under this paragraph shall be made as though such Lender shall have actually funded or committed to fund the relevant Advance through the purchase of an underlying deposit in an amount equal to the amount of such Advance and having a maturity comparable to the relevant Interest Period;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however, that any Lender may fund any </w:t>
      </w:r>
      <w:r>
        <w:rPr>
          <w:rFonts w:ascii="Times New Roman" w:cs="Times New Roman" w:eastAsia="Times New Roman" w:hAnsi="Times New Roman"/>
          <w:sz w:val="21"/>
          <w:szCs w:val="21"/>
          <w:color w:val="FF0000"/>
          <w:strike w:val="1"/>
        </w:rPr>
        <w:t>Eurodollar-based</w:t>
      </w:r>
      <w:r>
        <w:rPr>
          <w:rFonts w:ascii="Times New Roman" w:cs="Times New Roman" w:eastAsia="Times New Roman" w:hAnsi="Times New Roman"/>
          <w:sz w:val="21"/>
          <w:szCs w:val="21"/>
          <w:u w:val="single" w:color="auto"/>
          <w:color w:val="0000FF"/>
        </w:rPr>
        <w:t>SOFR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Advance in any manner it deems fit and the foregoing assumptions shall be utilized only for the purpose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of the calculation of amounts payable under this paragraph. Upon the written request of Borrower, Administrative Agent and Lenders shall deliver to Borrower a certificate setting forth in reasonable detail the basis for determining such losses, costs and expenses, which certificate shall be conclusively presumed correct, absent manifest error.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FF0000"/>
          <w:strike w:val="1"/>
        </w:rPr>
        <w:t>Eurodollar Lending Office</w:t>
      </w:r>
      <w:r>
        <w:rPr>
          <w:rFonts w:ascii="Times New Roman" w:cs="Times New Roman" w:eastAsia="Times New Roman" w:hAnsi="Times New Roman"/>
          <w:sz w:val="21"/>
          <w:szCs w:val="21"/>
          <w:u w:val="single" w:color="auto"/>
          <w:color w:val="0000FF"/>
          <w:strike w:val="1"/>
        </w:rPr>
        <w:t>[Reserved]</w:t>
      </w:r>
    </w:p>
    <w:p>
      <w:pPr>
        <w:spacing w:after="0" w:line="179" w:lineRule="exact"/>
        <w:rPr>
          <w:sz w:val="20"/>
          <w:szCs w:val="20"/>
          <w:color w:val="auto"/>
        </w:rPr>
      </w:pPr>
    </w:p>
    <w:p>
      <w:pPr>
        <w:jc w:val="both"/>
        <w:ind w:firstLine="8"/>
        <w:spacing w:after="0" w:line="220" w:lineRule="auto"/>
        <w:tabs>
          <w:tab w:leader="none" w:pos="121" w:val="left"/>
        </w:tabs>
        <w:numPr>
          <w:ilvl w:val="0"/>
          <w:numId w:val="192"/>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For any Eurodollar-based Advance, if Administrative Agent or a Lender, as applicable, shall designate a Eurodollar Lending Office which maintains books separate from those of the rest of Administrative Agent or such Lender, Administrative Agent or such Lender, as the case may be, shall have the option of maintaining and carrying the relevant Advance on the books of such Eurodollar Lending Office.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FF0000"/>
          <w:strike w:val="1"/>
        </w:rPr>
        <w:t>Circumstances Affecting LIBOR Rate Availability</w:t>
      </w:r>
      <w:r>
        <w:rPr>
          <w:rFonts w:ascii="Times New Roman" w:cs="Times New Roman" w:eastAsia="Times New Roman" w:hAnsi="Times New Roman"/>
          <w:sz w:val="21"/>
          <w:szCs w:val="21"/>
          <w:u w:val="single" w:color="auto"/>
          <w:color w:val="0000FF"/>
          <w:strike w:val="1"/>
        </w:rPr>
        <w:t>Alternate Rate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240"/>
          </w:cols>
          <w:pgMar w:left="320" w:top="139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FF0000"/>
          <w:strike w:val="1"/>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p>
    <w:p>
      <w:pPr>
        <w:spacing w:after="0" w:line="179" w:lineRule="exact"/>
        <w:rPr>
          <w:sz w:val="20"/>
          <w:szCs w:val="20"/>
          <w:color w:val="auto"/>
        </w:rPr>
      </w:pPr>
    </w:p>
    <w:p>
      <w:pPr>
        <w:ind w:left="1940" w:hanging="636"/>
        <w:spacing w:after="0"/>
        <w:tabs>
          <w:tab w:leader="none" w:pos="1940" w:val="left"/>
        </w:tabs>
        <w:numPr>
          <w:ilvl w:val="0"/>
          <w:numId w:val="19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Circumstances Affecting Benchmark Availability. Subject to Section 11.3(b) below, if:</w:t>
      </w:r>
    </w:p>
    <w:p>
      <w:pPr>
        <w:spacing w:after="0" w:line="179" w:lineRule="exact"/>
        <w:rPr>
          <w:rFonts w:ascii="Times New Roman" w:cs="Times New Roman" w:eastAsia="Times New Roman" w:hAnsi="Times New Roman"/>
          <w:sz w:val="22"/>
          <w:szCs w:val="22"/>
          <w:u w:val="single" w:color="auto"/>
          <w:color w:val="0000FF"/>
        </w:rPr>
      </w:pPr>
    </w:p>
    <w:p>
      <w:pPr>
        <w:jc w:val="both"/>
        <w:ind w:left="1300" w:firstLine="652"/>
        <w:spacing w:after="0" w:line="220" w:lineRule="auto"/>
        <w:tabs>
          <w:tab w:leader="none" w:pos="2584" w:val="left"/>
        </w:tabs>
        <w:numPr>
          <w:ilvl w:val="1"/>
          <w:numId w:val="19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Administrative Agent determines (which determination shall be conclusive absent manifest error) prior to the commencement of any Interest Period for a SOFR Borrowing, that adequate and reasonable means do not exist for ascertaining the Adjusted Term SOFR Rate or Term SOFR (including because the Term SOFR Reference Rate is not available or published on a current basis) for such Interest Period; or</w:t>
      </w:r>
    </w:p>
    <w:p>
      <w:pPr>
        <w:spacing w:after="0" w:line="152" w:lineRule="exact"/>
        <w:rPr>
          <w:rFonts w:ascii="Times New Roman" w:cs="Times New Roman" w:eastAsia="Times New Roman" w:hAnsi="Times New Roman"/>
          <w:sz w:val="22"/>
          <w:szCs w:val="22"/>
          <w:u w:val="single" w:color="auto"/>
          <w:color w:val="0000FF"/>
        </w:rPr>
      </w:pPr>
    </w:p>
    <w:p>
      <w:pPr>
        <w:jc w:val="both"/>
        <w:ind w:left="1300" w:firstLine="652"/>
        <w:spacing w:after="0" w:line="220" w:lineRule="auto"/>
        <w:tabs>
          <w:tab w:leader="none" w:pos="2590" w:val="left"/>
        </w:tabs>
        <w:numPr>
          <w:ilvl w:val="1"/>
          <w:numId w:val="19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Administrative Agent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C000"/>
        </w:rPr>
        <w:t>is advised by the Majority Lenders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that prior to the commencement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any Interest Period for a SOFR Borrowing, the Adjusted Term SOFR Rate for such Interest Period will not adequately and fairly reflect the cost to such Lenders (or Lender) of making or maintaining their Advances (or its Advance) included in such Borrowing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-442595</wp:posOffset>
            </wp:positionV>
            <wp:extent cx="20885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2088515" cy="8255"/>
                    </a:xfrm>
                    <a:prstGeom prst="rect">
                      <a:avLst/>
                    </a:prstGeom>
                    <a:noFill/>
                  </pic:spPr>
                </pic:pic>
              </a:graphicData>
            </a:graphic>
          </wp:anchor>
        </w:drawing>
      </w:r>
    </w:p>
    <w:p>
      <w:pPr>
        <w:spacing w:after="0" w:line="13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u w:val="single" w:color="auto"/>
          <w:color w:val="0000FF"/>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Request for Revolving Credit Advance in accordance with the terms of Section 2.3, to the extent of the affected SOFR Borrowing or affected Interest Period, any Request for Revolving Credit Advance that requests the conversion of any Borrowing to, or continuation of any Borrowing as, a SOFR Borrowing and any Request for Revolving Credit Advance that requests a SOFR Borrowing shall instead be deemed to be a Request for Revolving Credit Advance, for an ABR Borrowing. Furthermore, if any affected SOFR Advance is outstanding on the date of the Borrower’s receipt of the notice from the Administrative Agent referred to in this Section 11.3(a) with respect to the Adjusted Term SOFR Rate applicable to such SOFR Advance, then until (x) the Administrative Agent notifies the Borrower and the Lenders that the circumstances giving rise to such notice no longer exist with respect to the relevant Benchmark and (y) the Borrower delivers a new Request for Revolving Credit Advance in accordance with the terms of Section 2.3, any SOFR Advance shall on the last day of the Interest Period applicable to such Advance (or the next succeeding Business Day if such day is not a Business Day), be converted by the Administrative Agent to, and shall constitute, an ABR Advance.</w:t>
      </w:r>
    </w:p>
    <w:p>
      <w:pPr>
        <w:spacing w:after="0" w:line="156" w:lineRule="exact"/>
        <w:rPr>
          <w:sz w:val="20"/>
          <w:szCs w:val="20"/>
          <w:color w:val="auto"/>
        </w:rPr>
      </w:pPr>
    </w:p>
    <w:p>
      <w:pPr>
        <w:ind w:left="1940" w:hanging="636"/>
        <w:spacing w:after="0"/>
        <w:tabs>
          <w:tab w:leader="none" w:pos="1940" w:val="left"/>
        </w:tabs>
        <w:numPr>
          <w:ilvl w:val="0"/>
          <w:numId w:val="19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Effect of Benchmark Transition Event.</w:t>
      </w:r>
    </w:p>
    <w:p>
      <w:pPr>
        <w:spacing w:after="0" w:line="179" w:lineRule="exact"/>
        <w:rPr>
          <w:sz w:val="20"/>
          <w:szCs w:val="20"/>
          <w:color w:val="auto"/>
        </w:rPr>
      </w:pPr>
    </w:p>
    <w:p>
      <w:pPr>
        <w:ind w:left="2580" w:hanging="628"/>
        <w:spacing w:after="0"/>
        <w:tabs>
          <w:tab w:leader="none" w:pos="2580" w:val="left"/>
        </w:tabs>
        <w:numPr>
          <w:ilvl w:val="0"/>
          <w:numId w:val="19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Benchmark Replacement</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left="1300" w:firstLine="652"/>
        <w:spacing w:after="0" w:line="212" w:lineRule="auto"/>
        <w:tabs>
          <w:tab w:leader="none" w:pos="2219" w:val="left"/>
        </w:tabs>
        <w:numPr>
          <w:ilvl w:val="0"/>
          <w:numId w:val="19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auto"/>
        </w:rPr>
        <w:t xml:space="preserve">Notwithstanding anything to the contrary herein or in any other Loan Document </w:t>
      </w:r>
      <w:r>
        <w:rPr>
          <w:rFonts w:ascii="Times New Roman" w:cs="Times New Roman" w:eastAsia="Times New Roman" w:hAnsi="Times New Roman"/>
          <w:sz w:val="22"/>
          <w:szCs w:val="22"/>
          <w:color w:val="FF0000"/>
        </w:rPr>
        <w:t>(and any Commodity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Hedging Agreement or Interest Rate Agreement shall be deemed not to be a “Loan Document” for purposes of this </w:t>
      </w:r>
      <w:r>
        <w:rPr>
          <w:rFonts w:ascii="Times New Roman" w:cs="Times New Roman" w:eastAsia="Times New Roman" w:hAnsi="Times New Roman"/>
          <w:sz w:val="22"/>
          <w:szCs w:val="22"/>
          <w:u w:val="single" w:color="auto"/>
          <w:color w:val="FF0000"/>
          <w:strike w:val="1"/>
        </w:rPr>
        <w:t>Section 11.3</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000000"/>
          <w:strike w:val="1"/>
        </w:rPr>
        <w:t>, if a Benchmark Transition Event</w:t>
      </w:r>
      <w:r>
        <w:rPr>
          <w:rFonts w:ascii="Times New Roman" w:cs="Times New Roman" w:eastAsia="Times New Roman" w:hAnsi="Times New Roman"/>
          <w:sz w:val="22"/>
          <w:szCs w:val="22"/>
          <w:color w:val="FF0000"/>
          <w:strike w:val="1"/>
        </w:rPr>
        <w:t xml:space="preserve"> or an Early Opt-in Election, as applicable, </w:t>
      </w:r>
      <w:r>
        <w:rPr>
          <w:rFonts w:ascii="Times New Roman" w:cs="Times New Roman" w:eastAsia="Times New Roman" w:hAnsi="Times New Roman"/>
          <w:sz w:val="22"/>
          <w:szCs w:val="22"/>
          <w:color w:val="000000"/>
          <w:strike w:val="1"/>
        </w:rPr>
        <w:t>and its related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Benchmark Replacement Date have occurred prior to </w:t>
      </w:r>
      <w:r>
        <w:rPr>
          <w:rFonts w:ascii="Times New Roman" w:cs="Times New Roman" w:eastAsia="Times New Roman" w:hAnsi="Times New Roman"/>
          <w:sz w:val="22"/>
          <w:szCs w:val="22"/>
          <w:color w:val="FF0000"/>
          <w:strike w:val="1"/>
        </w:rPr>
        <w:t>the Reference Time in respect of</w:t>
      </w:r>
      <w:r>
        <w:rPr>
          <w:rFonts w:ascii="Times New Roman" w:cs="Times New Roman" w:eastAsia="Times New Roman" w:hAnsi="Times New Roman"/>
          <w:sz w:val="22"/>
          <w:szCs w:val="22"/>
          <w:color w:val="000000"/>
          <w:strike w:val="1"/>
        </w:rPr>
        <w:t xml:space="preserve"> any setting of the then-current Benchmark, then (x) if a Benchmark Replacement is determined in accordance with </w:t>
      </w:r>
      <w:r>
        <w:rPr>
          <w:rFonts w:ascii="Times New Roman" w:cs="Times New Roman" w:eastAsia="Times New Roman" w:hAnsi="Times New Roman"/>
          <w:sz w:val="22"/>
          <w:szCs w:val="22"/>
          <w:u w:val="single" w:color="auto"/>
          <w:color w:val="000000"/>
          <w:strike w:val="1"/>
        </w:rPr>
        <w:t>clause (</w:t>
      </w:r>
      <w:r>
        <w:rPr>
          <w:rFonts w:ascii="Times New Roman" w:cs="Times New Roman" w:eastAsia="Times New Roman" w:hAnsi="Times New Roman"/>
          <w:sz w:val="22"/>
          <w:szCs w:val="22"/>
          <w:color w:val="FF0000"/>
          <w:strike w:val="1"/>
        </w:rPr>
        <w:t>1) or (2</w:t>
      </w:r>
      <w:r>
        <w:rPr>
          <w:rFonts w:ascii="Times New Roman" w:cs="Times New Roman" w:eastAsia="Times New Roman" w:hAnsi="Times New Roman"/>
          <w:sz w:val="22"/>
          <w:szCs w:val="22"/>
          <w:u w:val="single" w:color="auto"/>
          <w:color w:val="0000FF"/>
          <w:strike w:val="1"/>
        </w:rPr>
        <w:t>a</w:t>
      </w:r>
      <w:r>
        <w:rPr>
          <w:rFonts w:ascii="Times New Roman" w:cs="Times New Roman" w:eastAsia="Times New Roman" w:hAnsi="Times New Roman"/>
          <w:sz w:val="22"/>
          <w:szCs w:val="22"/>
          <w:u w:val="single" w:color="auto"/>
          <w:color w:val="000000"/>
          <w:strike w:val="1"/>
        </w:rPr>
        <w:t>)</w:t>
      </w:r>
      <w:r>
        <w:rPr>
          <w:rFonts w:ascii="Times New Roman" w:cs="Times New Roman" w:eastAsia="Times New Roman" w:hAnsi="Times New Roman"/>
          <w:sz w:val="22"/>
          <w:szCs w:val="22"/>
          <w:color w:val="000000"/>
          <w:strike w:val="1"/>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-1040130</wp:posOffset>
            </wp:positionV>
            <wp:extent cx="12255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240"/>
          </w:cols>
          <w:pgMar w:left="320" w:top="1395" w:right="339" w:bottom="1440" w:gutter="0" w:footer="0" w:header="0"/>
        </w:sectPr>
      </w:pPr>
    </w:p>
    <w:bookmarkStart w:id="162" w:name="page163"/>
    <w:bookmarkEnd w:id="162"/>
    <w:p>
      <w:pPr>
        <w:jc w:val="both"/>
        <w:ind w:left="1300"/>
        <w:spacing w:after="0" w:line="212" w:lineRule="auto"/>
        <w:rPr>
          <w:sz w:val="20"/>
          <w:szCs w:val="20"/>
          <w:color w:val="auto"/>
        </w:rPr>
      </w:pPr>
      <w:r>
        <w:rPr>
          <w:rFonts w:ascii="Times New Roman" w:cs="Times New Roman" w:eastAsia="Times New Roman" w:hAnsi="Times New Roman"/>
          <w:sz w:val="22"/>
          <w:szCs w:val="22"/>
          <w:color w:val="auto"/>
        </w:rPr>
        <w:t xml:space="preserve">or consent of any other party to, this Agreement or any other Loan Document and (y) if a Benchmark Replacement is determined in accordance with </w:t>
      </w:r>
      <w:r>
        <w:rPr>
          <w:rFonts w:ascii="Times New Roman" w:cs="Times New Roman" w:eastAsia="Times New Roman" w:hAnsi="Times New Roman"/>
          <w:sz w:val="22"/>
          <w:szCs w:val="22"/>
          <w:u w:val="single" w:color="auto"/>
          <w:color w:val="auto"/>
        </w:rPr>
        <w:t>clause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w:t>
      </w:r>
      <w:r>
        <w:rPr>
          <w:rFonts w:ascii="Times New Roman" w:cs="Times New Roman" w:eastAsia="Times New Roman" w:hAnsi="Times New Roman"/>
          <w:sz w:val="22"/>
          <w:szCs w:val="22"/>
          <w:color w:val="0000FF"/>
        </w:rPr>
        <w:t>the</w:t>
      </w:r>
      <w:r>
        <w:rPr>
          <w:rFonts w:ascii="Times New Roman" w:cs="Times New Roman" w:eastAsia="Times New Roman" w:hAnsi="Times New Roman"/>
          <w:sz w:val="22"/>
          <w:szCs w:val="22"/>
          <w:color w:val="auto"/>
        </w:rPr>
        <w:t xml:space="preserve"> Administrative Agent has not received, by such time, written notice of objection to such Benchmark Replacement from Lenders comprising the Majority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-165735</wp:posOffset>
            </wp:positionV>
            <wp:extent cx="2019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136" w:lineRule="exact"/>
        <w:rPr>
          <w:sz w:val="20"/>
          <w:szCs w:val="20"/>
          <w:color w:val="auto"/>
        </w:rPr>
      </w:pPr>
    </w:p>
    <w:p>
      <w:pPr>
        <w:jc w:val="both"/>
        <w:ind w:left="1300" w:firstLine="652"/>
        <w:spacing w:after="0" w:line="222" w:lineRule="auto"/>
        <w:tabs>
          <w:tab w:leader="none" w:pos="2490" w:val="left"/>
        </w:tabs>
        <w:numPr>
          <w:ilvl w:val="0"/>
          <w:numId w:val="197"/>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Term </w:t>
      </w:r>
      <w:r>
        <w:rPr>
          <w:rFonts w:ascii="Times New Roman" w:cs="Times New Roman" w:eastAsia="Times New Roman" w:hAnsi="Times New Roman"/>
          <w:sz w:val="21"/>
          <w:szCs w:val="21"/>
          <w:color w:val="0000FF"/>
          <w:strike w:val="1"/>
        </w:rPr>
        <w:t>If</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the Benchmark Replacement is Adjusted Daily Simple</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SOFR</w:t>
      </w:r>
      <w:r>
        <w:rPr>
          <w:rFonts w:ascii="Times New Roman" w:cs="Times New Roman" w:eastAsia="Times New Roman" w:hAnsi="Times New Roman"/>
          <w:sz w:val="21"/>
          <w:szCs w:val="21"/>
          <w:u w:val="single" w:color="auto"/>
          <w:color w:val="0000FF"/>
          <w:strike w:val="1"/>
        </w:rPr>
        <w:t>, all interest payments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will</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replace the then-current</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FF0000"/>
          <w:strike w:val="1"/>
        </w:rPr>
        <w:t xml:space="preserve">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FF0000"/>
          <w:strike w:val="1"/>
        </w:rPr>
        <w:t xml:space="preserve"> that this clause (ii) shall not be effective unless Administrative Agent has delivered to the Lenders and Borrower a Term SOFR Notice</w:t>
      </w:r>
      <w:r>
        <w:rPr>
          <w:rFonts w:ascii="Times New Roman" w:cs="Times New Roman" w:eastAsia="Times New Roman" w:hAnsi="Times New Roman"/>
          <w:sz w:val="21"/>
          <w:szCs w:val="21"/>
          <w:u w:val="single" w:color="auto"/>
          <w:color w:val="0000FF"/>
          <w:strike w:val="1"/>
        </w:rPr>
        <w:t>be payable on a monthly basis</w:t>
      </w:r>
      <w:r>
        <w:rPr>
          <w:rFonts w:ascii="Times New Roman" w:cs="Times New Roman" w:eastAsia="Times New Roman" w:hAnsi="Times New Roman"/>
          <w:sz w:val="21"/>
          <w:szCs w:val="21"/>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-713740</wp:posOffset>
            </wp:positionV>
            <wp:extent cx="1339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133985" cy="8255"/>
                    </a:xfrm>
                    <a:prstGeom prst="rect">
                      <a:avLst/>
                    </a:prstGeom>
                    <a:noFill/>
                  </pic:spPr>
                </pic:pic>
              </a:graphicData>
            </a:graphic>
          </wp:anchor>
        </w:drawing>
      </w:r>
    </w:p>
    <w:p>
      <w:pPr>
        <w:spacing w:after="0" w:line="137" w:lineRule="exact"/>
        <w:rPr>
          <w:sz w:val="20"/>
          <w:szCs w:val="20"/>
          <w:color w:val="auto"/>
        </w:rPr>
      </w:pPr>
    </w:p>
    <w:p>
      <w:pPr>
        <w:jc w:val="both"/>
        <w:ind w:left="1300" w:firstLine="652"/>
        <w:spacing w:after="0" w:line="213" w:lineRule="auto"/>
        <w:tabs>
          <w:tab w:leader="none" w:pos="2590" w:val="left"/>
        </w:tabs>
        <w:numPr>
          <w:ilvl w:val="0"/>
          <w:numId w:val="19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Benchmark Replacement Conforming Changes</w:t>
      </w:r>
      <w:r>
        <w:rPr>
          <w:rFonts w:ascii="Times New Roman" w:cs="Times New Roman" w:eastAsia="Times New Roman" w:hAnsi="Times New Roman"/>
          <w:sz w:val="22"/>
          <w:szCs w:val="22"/>
          <w:color w:val="000000"/>
        </w:rPr>
        <w:t>. In connection with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use, administration,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adoption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implementation of a Benchmark Replacement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(including</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rPr>
        <w:t>for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avoidance of doubt, in connection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with the occurrence of a Term SOFR Transition Event),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Administrative Agent will have the right to make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Benchmark Replacement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Conforming Changes from time to time and, notwithstanding anything to the contrary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herein or in any other Loan Document, any amendments implementing such </w:t>
      </w:r>
      <w:r>
        <w:rPr>
          <w:rFonts w:ascii="Times New Roman" w:cs="Times New Roman" w:eastAsia="Times New Roman" w:hAnsi="Times New Roman"/>
          <w:sz w:val="22"/>
          <w:szCs w:val="22"/>
          <w:color w:val="FF0000"/>
          <w:strike w:val="1"/>
        </w:rPr>
        <w:t>Benchmark Replacement</w:t>
      </w:r>
      <w:r>
        <w:rPr>
          <w:rFonts w:ascii="Times New Roman" w:cs="Times New Roman" w:eastAsia="Times New Roman" w:hAnsi="Times New Roman"/>
          <w:sz w:val="22"/>
          <w:szCs w:val="22"/>
          <w:color w:val="000000"/>
        </w:rPr>
        <w:t xml:space="preserve"> Conforming Changes will become effective without any further action or consent of any other party to this Agreement or any other Loan Document.</w:t>
      </w:r>
    </w:p>
    <w:p>
      <w:pPr>
        <w:spacing w:after="0" w:line="156" w:lineRule="exact"/>
        <w:rPr>
          <w:rFonts w:ascii="Times New Roman" w:cs="Times New Roman" w:eastAsia="Times New Roman" w:hAnsi="Times New Roman"/>
          <w:sz w:val="22"/>
          <w:szCs w:val="22"/>
          <w:u w:val="single" w:color="auto"/>
          <w:color w:val="0000FF"/>
        </w:rPr>
      </w:pPr>
    </w:p>
    <w:p>
      <w:pPr>
        <w:jc w:val="both"/>
        <w:ind w:left="1300" w:firstLine="652"/>
        <w:spacing w:after="0" w:line="210" w:lineRule="auto"/>
        <w:tabs>
          <w:tab w:leader="none" w:pos="2596" w:val="left"/>
        </w:tabs>
        <w:numPr>
          <w:ilvl w:val="0"/>
          <w:numId w:val="19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(c)</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Notices; Standards for Decisions and Determinations</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Administrative Agent will promptly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notify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00"/>
        </w:rPr>
        <w:t xml:space="preserve"> Borrower and the Lenders of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000000"/>
        </w:rPr>
        <w:t xml:space="preserve">) any occurrence of a Benchmark Transition Event, </w:t>
      </w:r>
      <w:r>
        <w:rPr>
          <w:rFonts w:ascii="Times New Roman" w:cs="Times New Roman" w:eastAsia="Times New Roman" w:hAnsi="Times New Roman"/>
          <w:sz w:val="22"/>
          <w:szCs w:val="22"/>
          <w:color w:val="FF0000"/>
          <w:strike w:val="1"/>
        </w:rPr>
        <w:t>a Term SOFR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Transition Event or an Early Opt-in Election, as applicable, and its related Benchmark Replacement Date,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000000"/>
        </w:rPr>
        <w:t>)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implementation of any Benchmark Replacement, (</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000000"/>
        </w:rPr>
        <w:t xml:space="preserve">) the effectiveness of any </w:t>
      </w:r>
      <w:r>
        <w:rPr>
          <w:rFonts w:ascii="Times New Roman" w:cs="Times New Roman" w:eastAsia="Times New Roman" w:hAnsi="Times New Roman"/>
          <w:sz w:val="22"/>
          <w:szCs w:val="22"/>
          <w:color w:val="FF0000"/>
          <w:strike w:val="1"/>
        </w:rPr>
        <w:t>Benchmark Replacement</w:t>
      </w:r>
      <w:r>
        <w:rPr>
          <w:rFonts w:ascii="Times New Roman" w:cs="Times New Roman" w:eastAsia="Times New Roman" w:hAnsi="Times New Roman"/>
          <w:sz w:val="22"/>
          <w:szCs w:val="22"/>
          <w:color w:val="000000"/>
        </w:rPr>
        <w:t xml:space="preserve"> Conforming Changes, (</w:t>
      </w: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u w:val="single" w:color="auto"/>
          <w:color w:val="0000FF"/>
        </w:rPr>
        <w:t>D</w:t>
      </w:r>
      <w:r>
        <w:rPr>
          <w:rFonts w:ascii="Times New Roman" w:cs="Times New Roman" w:eastAsia="Times New Roman" w:hAnsi="Times New Roman"/>
          <w:sz w:val="22"/>
          <w:szCs w:val="22"/>
          <w:color w:val="000000"/>
        </w:rPr>
        <w:t xml:space="preserve">) the removal or reinstatement of any tenor of a Benchmark pursuant to </w:t>
      </w:r>
      <w:r>
        <w:rPr>
          <w:rFonts w:ascii="Times New Roman" w:cs="Times New Roman" w:eastAsia="Times New Roman" w:hAnsi="Times New Roman"/>
          <w:sz w:val="22"/>
          <w:szCs w:val="22"/>
          <w:u w:val="single" w:color="auto"/>
          <w:color w:val="000000"/>
        </w:rPr>
        <w:t>clause (</w:t>
      </w: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u w:val="single" w:color="auto"/>
          <w:color w:val="0000FF"/>
        </w:rPr>
        <w:t>iv</w:t>
      </w:r>
      <w:r>
        <w:rPr>
          <w:rFonts w:ascii="Times New Roman" w:cs="Times New Roman" w:eastAsia="Times New Roman" w:hAnsi="Times New Roman"/>
          <w:sz w:val="22"/>
          <w:szCs w:val="22"/>
          <w:u w:val="single" w:color="auto"/>
          <w:color w:val="000000"/>
        </w:rPr>
        <w:t>)</w:t>
      </w:r>
      <w:r>
        <w:rPr>
          <w:rFonts w:ascii="Times New Roman" w:cs="Times New Roman" w:eastAsia="Times New Roman" w:hAnsi="Times New Roman"/>
          <w:sz w:val="22"/>
          <w:szCs w:val="22"/>
          <w:color w:val="000000"/>
        </w:rPr>
        <w:t xml:space="preserve"> below and (</w:t>
      </w: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u w:val="single" w:color="auto"/>
          <w:color w:val="0000FF"/>
        </w:rPr>
        <w:t>E</w:t>
      </w:r>
      <w:r>
        <w:rPr>
          <w:rFonts w:ascii="Times New Roman" w:cs="Times New Roman" w:eastAsia="Times New Roman" w:hAnsi="Times New Roman"/>
          <w:sz w:val="22"/>
          <w:szCs w:val="22"/>
          <w:color w:val="000000"/>
        </w:rPr>
        <w:t xml:space="preserve">) the commencement or conclusion of any Benchmark Unavailability Period. Any determination, decision or election that may be made by </w:t>
      </w:r>
      <w:r>
        <w:rPr>
          <w:rFonts w:ascii="Times New Roman" w:cs="Times New Roman" w:eastAsia="Times New Roman" w:hAnsi="Times New Roman"/>
          <w:sz w:val="22"/>
          <w:szCs w:val="22"/>
          <w:color w:val="0000FF"/>
        </w:rPr>
        <w:t>the</w:t>
      </w:r>
      <w:r>
        <w:rPr>
          <w:rFonts w:ascii="Times New Roman" w:cs="Times New Roman" w:eastAsia="Times New Roman" w:hAnsi="Times New Roman"/>
          <w:sz w:val="22"/>
          <w:szCs w:val="22"/>
          <w:color w:val="000000"/>
        </w:rPr>
        <w:t xml:space="preserve"> Administrative Agent or, if applicable, any Lender (or group of Lenders) pursuant to this </w:t>
      </w:r>
      <w:r>
        <w:rPr>
          <w:rFonts w:ascii="Times New Roman" w:cs="Times New Roman" w:eastAsia="Times New Roman" w:hAnsi="Times New Roman"/>
          <w:sz w:val="22"/>
          <w:szCs w:val="22"/>
          <w:u w:val="single" w:color="auto"/>
          <w:color w:val="000000"/>
        </w:rPr>
        <w:t>Section 11.3</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00000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000000"/>
        </w:rPr>
        <w:t>Section 11.3</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-2551430</wp:posOffset>
            </wp:positionV>
            <wp:extent cx="2025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202565" cy="889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-716915</wp:posOffset>
            </wp:positionV>
            <wp:extent cx="2190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1240"/>
          </w:cols>
          <w:pgMar w:left="320" w:top="1395" w:right="339" w:bottom="1440" w:gutter="0" w:footer="0" w:header="0"/>
        </w:sectPr>
      </w:pPr>
    </w:p>
    <w:bookmarkStart w:id="163" w:name="page164"/>
    <w:bookmarkEnd w:id="163"/>
    <w:p>
      <w:pPr>
        <w:jc w:val="both"/>
        <w:ind w:left="1300" w:firstLine="652"/>
        <w:spacing w:after="0" w:line="209" w:lineRule="auto"/>
        <w:tabs>
          <w:tab w:leader="none" w:pos="2584" w:val="left"/>
        </w:tabs>
        <w:numPr>
          <w:ilvl w:val="0"/>
          <w:numId w:val="19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Unavailability of Tenor of Benchmark</w:t>
      </w:r>
      <w:r>
        <w:rPr>
          <w:rFonts w:ascii="Times New Roman" w:cs="Times New Roman" w:eastAsia="Times New Roman" w:hAnsi="Times New Roman"/>
          <w:sz w:val="22"/>
          <w:szCs w:val="22"/>
          <w:color w:val="000000"/>
        </w:rPr>
        <w:t>. Notwithstanding anything to the contrary herein or 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any other Loan Document, at any time (including in connection with the implementation of a Benchmark Replacement), (i) if the then-current Benchmark is a term rate (including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00"/>
        </w:rPr>
        <w:t xml:space="preserve"> Term SOFR </w:t>
      </w:r>
      <w:r>
        <w:rPr>
          <w:rFonts w:ascii="Times New Roman" w:cs="Times New Roman" w:eastAsia="Times New Roman" w:hAnsi="Times New Roman"/>
          <w:sz w:val="22"/>
          <w:szCs w:val="22"/>
          <w:color w:val="FF0000"/>
          <w:strike w:val="1"/>
        </w:rPr>
        <w:t>or USD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u w:val="single" w:color="auto"/>
          <w:color w:val="0000FF"/>
        </w:rPr>
        <w:t>Reference Rate</w:t>
      </w:r>
      <w:r>
        <w:rPr>
          <w:rFonts w:ascii="Times New Roman" w:cs="Times New Roman" w:eastAsia="Times New Roman" w:hAnsi="Times New Roman"/>
          <w:sz w:val="22"/>
          <w:szCs w:val="22"/>
          <w:color w:val="000000"/>
        </w:rPr>
        <w:t>) and either (A) any tenor for such Benchmark is not displayed on a screen or other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information service that publishes such rate from time to time as selected by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00"/>
        </w:rPr>
        <w:t xml:space="preserve"> Administrative Agent in its reasonable discretion or (B) the regulatory supervisor for the administrator of such Benchmark has provided a public statement or publication of information announcing that any tenor for such Benchmark is or will be no longer representative, then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00"/>
        </w:rPr>
        <w:t xml:space="preserve"> Administrative Agent may modify the definition of “</w:t>
      </w:r>
      <w:r>
        <w:rPr>
          <w:rFonts w:ascii="Times New Roman" w:cs="Times New Roman" w:eastAsia="Times New Roman" w:hAnsi="Times New Roman"/>
          <w:sz w:val="22"/>
          <w:szCs w:val="22"/>
          <w:color w:val="FF0000"/>
          <w:strike w:val="1"/>
        </w:rPr>
        <w:t>Interest Period” 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“Eurodollar-</w:t>
      </w:r>
      <w:r>
        <w:rPr>
          <w:rFonts w:ascii="Times New Roman" w:cs="Times New Roman" w:eastAsia="Times New Roman" w:hAnsi="Times New Roman"/>
          <w:sz w:val="22"/>
          <w:szCs w:val="22"/>
          <w:color w:val="000000"/>
        </w:rPr>
        <w:t xml:space="preserve">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22"/>
          <w:szCs w:val="22"/>
          <w:u w:val="single" w:color="auto"/>
          <w:color w:val="000000"/>
        </w:rPr>
        <w:t>clause (i)</w:t>
      </w:r>
      <w:r>
        <w:rPr>
          <w:rFonts w:ascii="Times New Roman" w:cs="Times New Roman" w:eastAsia="Times New Roman" w:hAnsi="Times New Roman"/>
          <w:sz w:val="22"/>
          <w:szCs w:val="22"/>
          <w:color w:val="000000"/>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00"/>
        </w:rPr>
        <w:t xml:space="preserve"> Administrative Agent may modify the definition of “</w:t>
      </w:r>
      <w:r>
        <w:rPr>
          <w:rFonts w:ascii="Times New Roman" w:cs="Times New Roman" w:eastAsia="Times New Roman" w:hAnsi="Times New Roman"/>
          <w:sz w:val="22"/>
          <w:szCs w:val="22"/>
          <w:color w:val="FF0000"/>
          <w:strike w:val="1"/>
        </w:rPr>
        <w:t>Interest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Period” or “Eurodollar-</w:t>
      </w:r>
      <w:r>
        <w:rPr>
          <w:rFonts w:ascii="Times New Roman" w:cs="Times New Roman" w:eastAsia="Times New Roman" w:hAnsi="Times New Roman"/>
          <w:sz w:val="22"/>
          <w:szCs w:val="22"/>
          <w:color w:val="000000"/>
        </w:rPr>
        <w:t>Interest Period” for all Benchmark settings at or after such time to reinstate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previously removed tenor.</w:t>
      </w:r>
    </w:p>
    <w:p>
      <w:pPr>
        <w:spacing w:after="0" w:line="151" w:lineRule="exact"/>
        <w:rPr>
          <w:rFonts w:ascii="Times New Roman" w:cs="Times New Roman" w:eastAsia="Times New Roman" w:hAnsi="Times New Roman"/>
          <w:sz w:val="22"/>
          <w:szCs w:val="22"/>
          <w:u w:val="single" w:color="auto"/>
          <w:color w:val="0000FF"/>
        </w:rPr>
      </w:pPr>
    </w:p>
    <w:p>
      <w:pPr>
        <w:jc w:val="both"/>
        <w:ind w:left="1300" w:firstLine="652"/>
        <w:spacing w:after="0" w:line="211" w:lineRule="auto"/>
        <w:tabs>
          <w:tab w:leader="none" w:pos="2591" w:val="left"/>
        </w:tabs>
        <w:numPr>
          <w:ilvl w:val="0"/>
          <w:numId w:val="19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Benchmark Unavailability Period</w:t>
      </w:r>
      <w:r>
        <w:rPr>
          <w:rFonts w:ascii="Times New Roman" w:cs="Times New Roman" w:eastAsia="Times New Roman" w:hAnsi="Times New Roman"/>
          <w:sz w:val="22"/>
          <w:szCs w:val="22"/>
          <w:color w:val="000000"/>
        </w:rPr>
        <w:t>. Upon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Borrower’s receipt of notice of the commencement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of a Benchmark Unavailability Period,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00"/>
        </w:rPr>
        <w:t xml:space="preserve"> Borrower may revoke any request for a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Advance</w:t>
      </w:r>
      <w:r>
        <w:rPr>
          <w:rFonts w:ascii="Times New Roman" w:cs="Times New Roman" w:eastAsia="Times New Roman" w:hAnsi="Times New Roman"/>
          <w:sz w:val="22"/>
          <w:szCs w:val="22"/>
          <w:u w:val="single" w:color="auto"/>
          <w:color w:val="0000FF"/>
        </w:rPr>
        <w:t>SOFR Borrowing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conversion to or continuation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Advances to be made,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converted or continued during any Benchmark Unavailability Period and, failing that, the Borrower will be deemed to have converted any such request into a request for a Borrowing of or conversion to </w:t>
      </w: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000000"/>
        </w:rPr>
        <w:t xml:space="preserve"> Advances. During any Benchmark Unavailability Period or at any time that a tenor for the then-current Benchmark is not an Available Tenor, the component of </w:t>
      </w:r>
      <w:r>
        <w:rPr>
          <w:rFonts w:ascii="Times New Roman" w:cs="Times New Roman" w:eastAsia="Times New Roman" w:hAnsi="Times New Roman"/>
          <w:sz w:val="22"/>
          <w:szCs w:val="22"/>
          <w:color w:val="0000FF"/>
        </w:rPr>
        <w:t>the Alternate</w:t>
      </w:r>
      <w:r>
        <w:rPr>
          <w:rFonts w:ascii="Times New Roman" w:cs="Times New Roman" w:eastAsia="Times New Roman" w:hAnsi="Times New Roman"/>
          <w:sz w:val="22"/>
          <w:szCs w:val="22"/>
          <w:color w:val="000000"/>
        </w:rPr>
        <w:t xml:space="preserve"> Base Rate based upon the then-current Benchmark or such tenor for such Benchmark, as applicable, will not be used in any determination of </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Alternate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-301625</wp:posOffset>
            </wp:positionV>
            <wp:extent cx="789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138"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2"/>
          <w:szCs w:val="22"/>
          <w:color w:val="FF0000"/>
          <w:strike w:val="1"/>
        </w:rPr>
        <w:t>the Administrative Agent will promptly so notify the Borrower and each Lender. Thereafter, the obligation of the Lenders to make or grant a continuation of Eurodollar-based Advances shall be suspended until the Administrative Agent notifies the Borrower and the Lenders that the circumstances giving rise to such notice no longer exist. Upon receipt of such notice, the Borrower may revoke any pending request for a borrowing of, conversion to or continuation of a Eurodollar-based Advance or, failing that, will be deemed to have converted such request into a request for a Base Rate Advance in the amount specified therein.</w:t>
      </w:r>
    </w:p>
    <w:p>
      <w:pPr>
        <w:spacing w:after="0" w:line="152" w:lineRule="exact"/>
        <w:rPr>
          <w:sz w:val="20"/>
          <w:szCs w:val="20"/>
          <w:color w:val="auto"/>
        </w:rPr>
      </w:pPr>
    </w:p>
    <w:p>
      <w:pPr>
        <w:jc w:val="both"/>
        <w:ind w:left="660"/>
        <w:spacing w:after="0" w:line="219" w:lineRule="auto"/>
        <w:rPr>
          <w:sz w:val="20"/>
          <w:szCs w:val="20"/>
          <w:color w:val="auto"/>
        </w:rPr>
      </w:pPr>
      <w:r>
        <w:rPr>
          <w:rFonts w:ascii="Times New Roman" w:cs="Times New Roman" w:eastAsia="Times New Roman" w:hAnsi="Times New Roman"/>
          <w:sz w:val="21"/>
          <w:szCs w:val="21"/>
          <w:color w:val="FF0000"/>
          <w:strike w:val="1"/>
        </w:rPr>
        <w:t xml:space="preserve">Notwithstanding the foregoing, if the Administrative Agent (i) determines that the circumstances described in clause (a) of this Section 11.3 have arisen and such circumstances are unlikely to be temporary, (ii) determines that the circumstances described in clause (a) of this Section 11.3 have not arisen but the </w:t>
      </w:r>
      <w:r>
        <w:rPr>
          <w:rFonts w:ascii="Times New Roman" w:cs="Times New Roman" w:eastAsia="Times New Roman" w:hAnsi="Times New Roman"/>
          <w:sz w:val="21"/>
          <w:szCs w:val="21"/>
          <w:color w:val="00C000"/>
          <w:strike w:val="1"/>
        </w:rPr>
        <w:t>supervisor for the administrator of</w:t>
      </w:r>
      <w:r>
        <w:rPr>
          <w:rFonts w:ascii="Times New Roman" w:cs="Times New Roman" w:eastAsia="Times New Roman" w:hAnsi="Times New Roman"/>
          <w:sz w:val="21"/>
          <w:szCs w:val="21"/>
          <w:color w:val="FF0000"/>
          <w:strike w:val="1"/>
        </w:rPr>
        <w:t xml:space="preserve"> the LIBOR Rate or a Governmental Authority having jurisdiction over the Administrative Agent has made a public statement identifying a specific date after which the LIBOR Rate shall no longer be used for determining interest rates for loans, or</w:t>
      </w:r>
    </w:p>
    <w:p>
      <w:pPr>
        <w:spacing w:after="0" w:line="2" w:lineRule="exact"/>
        <w:rPr>
          <w:sz w:val="20"/>
          <w:szCs w:val="20"/>
          <w:color w:val="auto"/>
        </w:rPr>
      </w:pPr>
    </w:p>
    <w:p>
      <w:pPr>
        <w:jc w:val="both"/>
        <w:ind w:left="660" w:hanging="4"/>
        <w:spacing w:after="0" w:line="218" w:lineRule="auto"/>
        <w:tabs>
          <w:tab w:leader="none" w:pos="1046" w:val="left"/>
        </w:tabs>
        <w:numPr>
          <w:ilvl w:val="0"/>
          <w:numId w:val="200"/>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00C000"/>
        </w:rPr>
        <w:t xml:space="preserve">is advised by the Majority Lenders </w:t>
      </w:r>
      <w:r>
        <w:rPr>
          <w:rFonts w:ascii="Times New Roman" w:cs="Times New Roman" w:eastAsia="Times New Roman" w:hAnsi="Times New Roman"/>
          <w:sz w:val="22"/>
          <w:szCs w:val="22"/>
          <w:color w:val="FF0000"/>
          <w:strike w:val="1"/>
        </w:rPr>
        <w:t>of their determination in accordance with clause (b) of this Section 11.3, then the</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FF0000"/>
          <w:strike w:val="1"/>
        </w:rPr>
        <w:t>Administrative Agent and the Borrower shall endeavor to establish an alternate rate of interest to the LIBOR Rate that gives due consideration to the then prevailing market convention for determining a rate of interest for syndicated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-357505</wp:posOffset>
            </wp:positionV>
            <wp:extent cx="20110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1240"/>
          </w:cols>
          <w:pgMar w:left="320" w:top="1395" w:right="339" w:bottom="1440" w:gutter="0" w:footer="0" w:header="0"/>
        </w:sectPr>
      </w:pPr>
    </w:p>
    <w:bookmarkStart w:id="164" w:name="page165"/>
    <w:bookmarkEnd w:id="164"/>
    <w:p>
      <w:pPr>
        <w:jc w:val="both"/>
        <w:ind w:left="660"/>
        <w:spacing w:after="0" w:line="217" w:lineRule="auto"/>
        <w:rPr>
          <w:sz w:val="20"/>
          <w:szCs w:val="20"/>
          <w:color w:val="auto"/>
        </w:rPr>
      </w:pPr>
      <w:r>
        <w:rPr>
          <w:rFonts w:ascii="Times New Roman" w:cs="Times New Roman" w:eastAsia="Times New Roman" w:hAnsi="Times New Roman"/>
          <w:sz w:val="21"/>
          <w:szCs w:val="21"/>
          <w:color w:val="FF0000"/>
          <w:strike w:val="1"/>
        </w:rPr>
        <w:t xml:space="preserve">loans in the United States at such time, and shall enter into an amendment to this Agreement to reflect such alternate rate of interest and such other related changes to this Agreement as may be applicable, </w:t>
      </w:r>
      <w:r>
        <w:rPr>
          <w:rFonts w:ascii="Times New Roman" w:cs="Times New Roman" w:eastAsia="Times New Roman" w:hAnsi="Times New Roman"/>
          <w:sz w:val="21"/>
          <w:szCs w:val="21"/>
          <w:u w:val="single" w:color="auto"/>
          <w:color w:val="FF0000"/>
          <w:strike w:val="1"/>
        </w:rPr>
        <w:t>provided</w:t>
      </w:r>
      <w:r>
        <w:rPr>
          <w:rFonts w:ascii="Times New Roman" w:cs="Times New Roman" w:eastAsia="Times New Roman" w:hAnsi="Times New Roman"/>
          <w:sz w:val="21"/>
          <w:szCs w:val="21"/>
          <w:color w:val="FF0000"/>
          <w:strike w:val="1"/>
        </w:rPr>
        <w:t xml:space="preserve"> that to the extent that the Administrative Agent determines that adoption of any portion of such market convention is not administratively feasible or that no market convention for the administration of such alternate rate of interest exists, the Administrative Agent shall administer such alternate rate of interest in a manner determined by the Administrative Agent in consultation with the Borrower. Notwithstanding anything to the contrary,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Majority Lenders stating that such Majority Lenders object to such amendment. If a notice of an alternate rate of interest has been given and no such alternate rate of interest has been determined, and (x) the circumstances under clause (i) or</w:t>
      </w:r>
    </w:p>
    <w:p>
      <w:pPr>
        <w:spacing w:after="0" w:line="1" w:lineRule="exact"/>
        <w:rPr>
          <w:sz w:val="20"/>
          <w:szCs w:val="20"/>
          <w:color w:val="auto"/>
        </w:rPr>
      </w:pPr>
    </w:p>
    <w:p>
      <w:pPr>
        <w:jc w:val="both"/>
        <w:ind w:left="660" w:hanging="4"/>
        <w:spacing w:after="0" w:line="218" w:lineRule="auto"/>
        <w:tabs>
          <w:tab w:leader="none" w:pos="1069" w:val="left"/>
        </w:tabs>
        <w:numPr>
          <w:ilvl w:val="0"/>
          <w:numId w:val="201"/>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above exist or (y) the specific date referred to in clause (ii) has occurred (as applicable), the Base Rate shall be calculated without regard to clause (c) of the definition thereof. Provided that, if such alternate rate of interest shall be less than zero, such rate shall be deemed to be zero for the purposes of this Agreement.</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FF0000"/>
          <w:strike w:val="1"/>
        </w:rPr>
        <w:t>Laws Affecting LIBOR Rate Availability</w:t>
      </w:r>
      <w:r>
        <w:rPr>
          <w:rFonts w:ascii="Times New Roman" w:cs="Times New Roman" w:eastAsia="Times New Roman" w:hAnsi="Times New Roman"/>
          <w:sz w:val="21"/>
          <w:szCs w:val="21"/>
          <w:u w:val="single" w:color="auto"/>
          <w:color w:val="0000FF"/>
          <w:strike w:val="1"/>
        </w:rPr>
        <w:t>[Reserved]</w:t>
      </w:r>
    </w:p>
    <w:p>
      <w:pPr>
        <w:spacing w:after="0" w:line="179" w:lineRule="exact"/>
        <w:rPr>
          <w:sz w:val="20"/>
          <w:szCs w:val="20"/>
          <w:color w:val="auto"/>
        </w:rPr>
      </w:pPr>
    </w:p>
    <w:p>
      <w:pPr>
        <w:jc w:val="both"/>
        <w:ind w:firstLine="8"/>
        <w:spacing w:after="0" w:line="212" w:lineRule="auto"/>
        <w:tabs>
          <w:tab w:leader="none" w:pos="121" w:val="left"/>
        </w:tabs>
        <w:numPr>
          <w:ilvl w:val="0"/>
          <w:numId w:val="202"/>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If any Change in Law shall make it unlawful or impossible for any of Lenders (or any of their respective Eurodollar Lending Offices) to honor its obligations hereunder to make or maintain any Advance which bears interest at or by reference to the LIBOR Rate, such Lender shall forthwith give notice thereof to Borrower and to Administrative Agent. Thereafter, (a) the obligations of the applicable Lenders to make Advances which bear interest at or by reference to the LIBOR Rate and the right of Borrower to convert an Advance into or continue or refund an Advance as an Advance which bears interest at or by reference to the LIBOR Rate shall be suspended and thereafter only the Base Rate shall be available, and (b) if any of Lenders may not lawfully continue to maintain an Advance which bears interest at or by reference to the LIBOR Rate, the applicable Advance shall immediately be converted to an Advance which bears interest at or by reference to the Base Rate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 xml:space="preserve">Increased </w:t>
      </w:r>
      <w:r>
        <w:rPr>
          <w:rFonts w:ascii="Times New Roman" w:cs="Times New Roman" w:eastAsia="Times New Roman" w:hAnsi="Times New Roman"/>
          <w:sz w:val="21"/>
          <w:szCs w:val="21"/>
          <w:u w:val="single" w:color="auto"/>
          <w:color w:val="FF0000"/>
          <w:strike w:val="1"/>
        </w:rPr>
        <w:t>Cost of Advances Carried at the LIBOR Rate</w:t>
      </w:r>
      <w:r>
        <w:rPr>
          <w:rFonts w:ascii="Times New Roman" w:cs="Times New Roman" w:eastAsia="Times New Roman" w:hAnsi="Times New Roman"/>
          <w:sz w:val="21"/>
          <w:szCs w:val="21"/>
          <w:u w:val="single" w:color="auto"/>
          <w:color w:val="0000FF"/>
        </w:rPr>
        <w:t>Costs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p>
    <w:p>
      <w:pPr>
        <w:spacing w:after="0" w:line="179" w:lineRule="exact"/>
        <w:rPr>
          <w:sz w:val="20"/>
          <w:szCs w:val="20"/>
          <w:color w:val="auto"/>
        </w:rPr>
      </w:pPr>
    </w:p>
    <w:p>
      <w:pPr>
        <w:ind w:left="1940" w:hanging="636"/>
        <w:spacing w:after="0"/>
        <w:tabs>
          <w:tab w:leader="none" w:pos="1940" w:val="left"/>
        </w:tabs>
        <w:numPr>
          <w:ilvl w:val="0"/>
          <w:numId w:val="20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Changes in Law</w:t>
      </w:r>
      <w:r>
        <w:rPr>
          <w:rFonts w:ascii="Times New Roman" w:cs="Times New Roman" w:eastAsia="Times New Roman" w:hAnsi="Times New Roman"/>
          <w:sz w:val="22"/>
          <w:szCs w:val="22"/>
          <w:color w:val="000000"/>
        </w:rPr>
        <w:t>. If any Change in Law shall:</w:t>
      </w:r>
    </w:p>
    <w:p>
      <w:pPr>
        <w:spacing w:after="0" w:line="179" w:lineRule="exact"/>
        <w:rPr>
          <w:rFonts w:ascii="Times New Roman" w:cs="Times New Roman" w:eastAsia="Times New Roman" w:hAnsi="Times New Roman"/>
          <w:sz w:val="22"/>
          <w:szCs w:val="22"/>
          <w:u w:val="single" w:color="auto"/>
          <w:color w:val="0000FF"/>
        </w:rPr>
      </w:pPr>
    </w:p>
    <w:p>
      <w:pPr>
        <w:jc w:val="both"/>
        <w:ind w:firstLine="1952"/>
        <w:spacing w:after="0" w:line="220" w:lineRule="auto"/>
        <w:tabs>
          <w:tab w:leader="none" w:pos="2580" w:val="left"/>
        </w:tabs>
        <w:numPr>
          <w:ilvl w:val="1"/>
          <w:numId w:val="20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C000"/>
        </w:rPr>
        <w:t>impose, modify or deem applicable any reserve</w:t>
      </w:r>
      <w:r>
        <w:rPr>
          <w:rFonts w:ascii="Times New Roman" w:cs="Times New Roman" w:eastAsia="Times New Roman" w:hAnsi="Times New Roman"/>
          <w:sz w:val="22"/>
          <w:szCs w:val="22"/>
          <w:u w:val="single" w:color="auto"/>
          <w:color w:val="0000FF"/>
        </w:rPr>
        <w:t>, special deposit, liquidity or similar requirement</w:t>
      </w:r>
      <w:r>
        <w:rPr>
          <w:rFonts w:ascii="Times New Roman" w:cs="Times New Roman" w:eastAsia="Times New Roman" w:hAnsi="Times New Roman"/>
          <w:sz w:val="22"/>
          <w:szCs w:val="22"/>
          <w:u w:val="single" w:color="auto"/>
          <w:color w:val="00C000"/>
        </w:rPr>
        <w:t xml:space="preserve"> </w:t>
      </w:r>
      <w:r>
        <w:rPr>
          <w:rFonts w:ascii="Times New Roman" w:cs="Times New Roman" w:eastAsia="Times New Roman" w:hAnsi="Times New Roman"/>
          <w:sz w:val="22"/>
          <w:szCs w:val="22"/>
          <w:u w:val="single" w:color="auto"/>
          <w:color w:val="0000FF"/>
        </w:rPr>
        <w:t xml:space="preserve">(including any compulsory loan requirements, insurance charge or other assessment) </w:t>
      </w:r>
      <w:r>
        <w:rPr>
          <w:rFonts w:ascii="Times New Roman" w:cs="Times New Roman" w:eastAsia="Times New Roman" w:hAnsi="Times New Roman"/>
          <w:sz w:val="22"/>
          <w:szCs w:val="22"/>
          <w:u w:val="single" w:color="auto"/>
          <w:color w:val="00C000"/>
        </w:rPr>
        <w:t>against assets of, deposits with or for the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C000"/>
        </w:rPr>
        <w:t xml:space="preserve">account of, or credit extended by, any </w:t>
      </w:r>
      <w:r>
        <w:rPr>
          <w:rFonts w:ascii="Times New Roman" w:cs="Times New Roman" w:eastAsia="Times New Roman" w:hAnsi="Times New Roman"/>
          <w:sz w:val="22"/>
          <w:szCs w:val="22"/>
          <w:u w:val="single" w:color="auto"/>
          <w:color w:val="0000FF"/>
        </w:rPr>
        <w:t>Lender (except any such</w:t>
      </w:r>
      <w:r>
        <w:rPr>
          <w:rFonts w:ascii="Times New Roman" w:cs="Times New Roman" w:eastAsia="Times New Roman" w:hAnsi="Times New Roman"/>
          <w:sz w:val="22"/>
          <w:szCs w:val="22"/>
          <w:u w:val="single" w:color="auto"/>
          <w:color w:val="00C000"/>
        </w:rPr>
        <w:t xml:space="preserve"> reserve requirement reflected in the </w:t>
      </w:r>
      <w:r>
        <w:rPr>
          <w:rFonts w:ascii="Times New Roman" w:cs="Times New Roman" w:eastAsia="Times New Roman" w:hAnsi="Times New Roman"/>
          <w:sz w:val="22"/>
          <w:szCs w:val="22"/>
          <w:u w:val="single" w:color="auto"/>
          <w:color w:val="0000FF"/>
        </w:rPr>
        <w:t>Adjusted Term SOFR Rate)</w:t>
      </w:r>
      <w:r>
        <w:rPr>
          <w:rFonts w:ascii="Times New Roman" w:cs="Times New Roman" w:eastAsia="Times New Roman" w:hAnsi="Times New Roman"/>
          <w:sz w:val="22"/>
          <w:szCs w:val="22"/>
          <w:u w:val="single" w:color="auto"/>
          <w:color w:val="00C000"/>
        </w:rPr>
        <w:t xml:space="preserve"> </w:t>
      </w:r>
      <w:r>
        <w:rPr>
          <w:rFonts w:ascii="Times New Roman" w:cs="Times New Roman" w:eastAsia="Times New Roman" w:hAnsi="Times New Roman"/>
          <w:sz w:val="22"/>
          <w:szCs w:val="22"/>
          <w:u w:val="single" w:color="auto"/>
          <w:color w:val="0000FF"/>
        </w:rPr>
        <w:t>or any Issuing Lender;</w:t>
      </w:r>
    </w:p>
    <w:p>
      <w:pPr>
        <w:spacing w:after="0" w:line="152" w:lineRule="exact"/>
        <w:rPr>
          <w:rFonts w:ascii="Times New Roman" w:cs="Times New Roman" w:eastAsia="Times New Roman" w:hAnsi="Times New Roman"/>
          <w:sz w:val="22"/>
          <w:szCs w:val="22"/>
          <w:u w:val="single" w:color="auto"/>
          <w:color w:val="0000FF"/>
        </w:rPr>
      </w:pPr>
    </w:p>
    <w:p>
      <w:pPr>
        <w:jc w:val="both"/>
        <w:ind w:firstLine="1952"/>
        <w:spacing w:after="0" w:line="220" w:lineRule="auto"/>
        <w:tabs>
          <w:tab w:leader="none" w:pos="2586" w:val="left"/>
        </w:tabs>
        <w:numPr>
          <w:ilvl w:val="1"/>
          <w:numId w:val="20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subject any Recipient to any Taxes (other than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000000"/>
        </w:rPr>
        <w:t>) Indemnified Taxes,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000000"/>
        </w:rPr>
        <w:t>) Taxes described 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clauses (b)</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(d)</w:t>
      </w:r>
      <w:r>
        <w:rPr>
          <w:rFonts w:ascii="Times New Roman" w:cs="Times New Roman" w:eastAsia="Times New Roman" w:hAnsi="Times New Roman"/>
          <w:sz w:val="22"/>
          <w:szCs w:val="22"/>
          <w:color w:val="000000"/>
        </w:rPr>
        <w:t xml:space="preserve"> of the definition of Excluded Taxes </w:t>
      </w:r>
      <w:r>
        <w:rPr>
          <w:rFonts w:ascii="Times New Roman" w:cs="Times New Roman" w:eastAsia="Times New Roman" w:hAnsi="Times New Roman"/>
          <w:sz w:val="22"/>
          <w:szCs w:val="22"/>
          <w:color w:val="FF0000"/>
          <w:strike w:val="1"/>
        </w:rPr>
        <w:t>and</w:t>
      </w:r>
      <w:r>
        <w:rPr>
          <w:rFonts w:ascii="Times New Roman" w:cs="Times New Roman" w:eastAsia="Times New Roman" w:hAnsi="Times New Roman"/>
          <w:sz w:val="22"/>
          <w:szCs w:val="22"/>
          <w:u w:val="single" w:color="auto"/>
          <w:color w:val="0000FF"/>
        </w:rPr>
        <w:t>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000000"/>
        </w:rPr>
        <w:t>) Connection Income Taxes) on its advances,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240"/>
          </w:cols>
          <w:pgMar w:left="320" w:top="1395" w:right="339" w:bottom="1440" w:gutter="0" w:footer="0" w:header="0"/>
        </w:sectPr>
      </w:pPr>
    </w:p>
    <w:bookmarkStart w:id="165" w:name="page166"/>
    <w:bookmarkEnd w:id="165"/>
    <w:p>
      <w:pPr>
        <w:jc w:val="both"/>
        <w:ind w:left="660" w:firstLine="644"/>
        <w:spacing w:after="0" w:line="215" w:lineRule="auto"/>
        <w:tabs>
          <w:tab w:leader="none" w:pos="1803" w:val="left"/>
        </w:tabs>
        <w:numPr>
          <w:ilvl w:val="0"/>
          <w:numId w:val="204"/>
        </w:numPr>
        <w:rPr>
          <w:rFonts w:ascii="Times New Roman" w:cs="Times New Roman" w:eastAsia="Times New Roman" w:hAnsi="Times New Roman"/>
          <w:sz w:val="22"/>
          <w:szCs w:val="22"/>
          <w:color w:val="FF0000"/>
        </w:rPr>
      </w:pPr>
      <w:r>
        <w:rPr>
          <w:rFonts w:ascii="Times New Roman" w:cs="Times New Roman" w:eastAsia="Times New Roman" w:hAnsi="Times New Roman"/>
          <w:sz w:val="22"/>
          <w:szCs w:val="22"/>
          <w:color w:val="00C000"/>
          <w:strike w:val="1"/>
        </w:rPr>
        <w:t xml:space="preserve">impose, modify or deem applicable any reserve </w:t>
      </w:r>
      <w:r>
        <w:rPr>
          <w:rFonts w:ascii="Times New Roman" w:cs="Times New Roman" w:eastAsia="Times New Roman" w:hAnsi="Times New Roman"/>
          <w:sz w:val="22"/>
          <w:szCs w:val="22"/>
          <w:color w:val="FF0000"/>
          <w:strike w:val="1"/>
        </w:rPr>
        <w:t>(including, without limitation, any imposed by the Board of</w:t>
      </w:r>
      <w:r>
        <w:rPr>
          <w:rFonts w:ascii="Times New Roman" w:cs="Times New Roman" w:eastAsia="Times New Roman" w:hAnsi="Times New Roman"/>
          <w:sz w:val="22"/>
          <w:szCs w:val="22"/>
          <w:color w:val="00C000"/>
          <w:strike w:val="1"/>
        </w:rPr>
        <w:t xml:space="preserve"> </w:t>
      </w:r>
      <w:r>
        <w:rPr>
          <w:rFonts w:ascii="Times New Roman" w:cs="Times New Roman" w:eastAsia="Times New Roman" w:hAnsi="Times New Roman"/>
          <w:sz w:val="22"/>
          <w:szCs w:val="22"/>
          <w:color w:val="FF0000"/>
          <w:strike w:val="1"/>
        </w:rPr>
        <w:t xml:space="preserve">Governors of the Federal Reserve System), special deposit or similar requirement </w:t>
      </w:r>
      <w:r>
        <w:rPr>
          <w:rFonts w:ascii="Times New Roman" w:cs="Times New Roman" w:eastAsia="Times New Roman" w:hAnsi="Times New Roman"/>
          <w:sz w:val="22"/>
          <w:szCs w:val="22"/>
          <w:color w:val="00C000"/>
          <w:strike w:val="1"/>
        </w:rPr>
        <w:t>against assets of, deposits with or for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C000"/>
          <w:strike w:val="1"/>
        </w:rPr>
        <w:t xml:space="preserve">the account of, or credit extended by, any </w:t>
      </w:r>
      <w:r>
        <w:rPr>
          <w:rFonts w:ascii="Times New Roman" w:cs="Times New Roman" w:eastAsia="Times New Roman" w:hAnsi="Times New Roman"/>
          <w:sz w:val="22"/>
          <w:szCs w:val="22"/>
          <w:color w:val="FF0000"/>
          <w:strike w:val="1"/>
        </w:rPr>
        <w:t>of Lenders (or any of their respective Eurodollar Lending Offices) (except any</w:t>
      </w:r>
      <w:r>
        <w:rPr>
          <w:rFonts w:ascii="Times New Roman" w:cs="Times New Roman" w:eastAsia="Times New Roman" w:hAnsi="Times New Roman"/>
          <w:sz w:val="22"/>
          <w:szCs w:val="22"/>
          <w:color w:val="00C000"/>
          <w:strike w:val="1"/>
        </w:rPr>
        <w:t xml:space="preserve"> reserve requirement reflected in the </w:t>
      </w:r>
      <w:r>
        <w:rPr>
          <w:rFonts w:ascii="Times New Roman" w:cs="Times New Roman" w:eastAsia="Times New Roman" w:hAnsi="Times New Roman"/>
          <w:sz w:val="22"/>
          <w:szCs w:val="22"/>
          <w:color w:val="FF0000"/>
          <w:strike w:val="1"/>
        </w:rPr>
        <w:t>Eurodollar-based rate) or shall impose on any of Lenders (or any of their respective</w:t>
      </w:r>
      <w:r>
        <w:rPr>
          <w:rFonts w:ascii="Times New Roman" w:cs="Times New Roman" w:eastAsia="Times New Roman" w:hAnsi="Times New Roman"/>
          <w:sz w:val="22"/>
          <w:szCs w:val="22"/>
          <w:color w:val="00C000"/>
          <w:strike w:val="1"/>
        </w:rPr>
        <w:t xml:space="preserve"> </w:t>
      </w:r>
      <w:r>
        <w:rPr>
          <w:rFonts w:ascii="Times New Roman" w:cs="Times New Roman" w:eastAsia="Times New Roman" w:hAnsi="Times New Roman"/>
          <w:sz w:val="22"/>
          <w:szCs w:val="22"/>
          <w:color w:val="FF0000"/>
          <w:strike w:val="1"/>
        </w:rPr>
        <w:t>Eurodollar Lending Offices) or the foreign exchange and interbank markets any other condition (other than Taxes) affecting any Eurodollar-based Advance</w:t>
      </w:r>
    </w:p>
    <w:p>
      <w:pPr>
        <w:spacing w:after="0" w:line="152" w:lineRule="exact"/>
        <w:rPr>
          <w:rFonts w:ascii="Times New Roman" w:cs="Times New Roman" w:eastAsia="Times New Roman" w:hAnsi="Times New Roman"/>
          <w:sz w:val="22"/>
          <w:szCs w:val="22"/>
          <w:color w:val="FF0000"/>
        </w:rPr>
      </w:pPr>
    </w:p>
    <w:p>
      <w:pPr>
        <w:ind w:firstLine="1952"/>
        <w:spacing w:after="0" w:line="236" w:lineRule="auto"/>
        <w:tabs>
          <w:tab w:leader="none" w:pos="2592" w:val="left"/>
        </w:tabs>
        <w:numPr>
          <w:ilvl w:val="1"/>
          <w:numId w:val="2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impose on any Lender or any Issuing Lender any other condition, cost or expense (other than Taxes) affecting this Agreement or Advances made by such Lender or any Letter of Credit or participation therein</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-1181100</wp:posOffset>
            </wp:positionV>
            <wp:extent cx="314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30"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and the result of any of the foregoing </w:t>
      </w:r>
      <w:r>
        <w:rPr>
          <w:rFonts w:ascii="Times New Roman" w:cs="Times New Roman" w:eastAsia="Times New Roman" w:hAnsi="Times New Roman"/>
          <w:sz w:val="22"/>
          <w:szCs w:val="22"/>
          <w:color w:val="FF0000"/>
          <w:strike w:val="1"/>
        </w:rPr>
        <w:t>matters is</w:t>
      </w:r>
      <w:r>
        <w:rPr>
          <w:rFonts w:ascii="Times New Roman" w:cs="Times New Roman" w:eastAsia="Times New Roman" w:hAnsi="Times New Roman"/>
          <w:sz w:val="22"/>
          <w:szCs w:val="22"/>
          <w:u w:val="single" w:color="auto"/>
          <w:color w:val="0000FF"/>
        </w:rPr>
        <w:t>shall be</w:t>
      </w:r>
      <w:r>
        <w:rPr>
          <w:rFonts w:ascii="Times New Roman" w:cs="Times New Roman" w:eastAsia="Times New Roman" w:hAnsi="Times New Roman"/>
          <w:sz w:val="22"/>
          <w:szCs w:val="22"/>
          <w:color w:val="auto"/>
        </w:rPr>
        <w:t xml:space="preserve"> to increase the </w:t>
      </w:r>
      <w:r>
        <w:rPr>
          <w:rFonts w:ascii="Times New Roman" w:cs="Times New Roman" w:eastAsia="Times New Roman" w:hAnsi="Times New Roman"/>
          <w:sz w:val="22"/>
          <w:szCs w:val="22"/>
          <w:color w:val="FF0000"/>
          <w:strike w:val="1"/>
        </w:rPr>
        <w:t>costs</w:t>
      </w:r>
      <w:r>
        <w:rPr>
          <w:rFonts w:ascii="Times New Roman" w:cs="Times New Roman" w:eastAsia="Times New Roman" w:hAnsi="Times New Roman"/>
          <w:sz w:val="22"/>
          <w:szCs w:val="22"/>
          <w:u w:val="single" w:color="auto"/>
          <w:color w:val="0000FF"/>
        </w:rPr>
        <w:t>cost</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color w:val="FF0000"/>
          <w:strike w:val="1"/>
        </w:rPr>
        <w:t>any of Lenders by an amount that any</w:t>
      </w:r>
      <w:r>
        <w:rPr>
          <w:rFonts w:ascii="Times New Roman" w:cs="Times New Roman" w:eastAsia="Times New Roman" w:hAnsi="Times New Roman"/>
          <w:sz w:val="22"/>
          <w:szCs w:val="22"/>
          <w:color w:val="auto"/>
        </w:rPr>
        <w:t xml:space="preserve"> such Lender </w:t>
      </w:r>
      <w:r>
        <w:rPr>
          <w:rFonts w:ascii="Times New Roman" w:cs="Times New Roman" w:eastAsia="Times New Roman" w:hAnsi="Times New Roman"/>
          <w:sz w:val="22"/>
          <w:szCs w:val="22"/>
          <w:color w:val="FF0000"/>
          <w:strike w:val="1"/>
        </w:rPr>
        <w:t>in its sole and absolute discretion deems material, of maintaining any part of the Indebtedness hereunder as an Advance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which bears interest at or by reference to the LIBOR Rate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rPr>
        <w:t>or to reduce the amount of any sum received or receivable by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any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Lenders under this Agreement in respect of an</w:t>
      </w:r>
      <w:r>
        <w:rPr>
          <w:rFonts w:ascii="Times New Roman" w:cs="Times New Roman" w:eastAsia="Times New Roman" w:hAnsi="Times New Roman"/>
          <w:sz w:val="22"/>
          <w:szCs w:val="22"/>
          <w:u w:val="single" w:color="auto"/>
          <w:color w:val="0000FF"/>
          <w:strike w:val="1"/>
        </w:rPr>
        <w:t>or such other Recipient of making, continuing, converting or maintaining any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Advance (or of maintaining its obligation to make any such</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Advance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which bears interest at</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or</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by reference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to</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increase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the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LIBOR Rate, then</w:t>
      </w:r>
      <w:r>
        <w:rPr>
          <w:rFonts w:ascii="Times New Roman" w:cs="Times New Roman" w:eastAsia="Times New Roman" w:hAnsi="Times New Roman"/>
          <w:sz w:val="22"/>
          <w:szCs w:val="22"/>
          <w:u w:val="single" w:color="auto"/>
          <w:color w:val="0000FF"/>
          <w:strike w:val="1"/>
        </w:rPr>
        <w:t>cost to</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such Lender</w:t>
      </w:r>
      <w:r>
        <w:rPr>
          <w:rFonts w:ascii="Times New Roman" w:cs="Times New Roman" w:eastAsia="Times New Roman" w:hAnsi="Times New Roman"/>
          <w:sz w:val="22"/>
          <w:szCs w:val="22"/>
          <w:color w:val="FF0000"/>
          <w:strike w:val="1"/>
        </w:rPr>
        <w:t xml:space="preserve"> shall promptly notify Administrative Agent, and Administrative Agent shall promptly notify Borrower of such fact and demand compensation therefor and, </w:t>
      </w:r>
      <w:r>
        <w:rPr>
          <w:rFonts w:ascii="Times New Roman" w:cs="Times New Roman" w:eastAsia="Times New Roman" w:hAnsi="Times New Roman"/>
          <w:sz w:val="22"/>
          <w:szCs w:val="22"/>
          <w:color w:val="00C000"/>
          <w:strike w:val="1"/>
        </w:rPr>
        <w:t>within thirty (30) Business Days after</w:t>
      </w:r>
      <w:r>
        <w:rPr>
          <w:rFonts w:ascii="Times New Roman" w:cs="Times New Roman" w:eastAsia="Times New Roman" w:hAnsi="Times New Roman"/>
          <w:sz w:val="22"/>
          <w:szCs w:val="22"/>
          <w:color w:val="FF0000"/>
          <w:strike w:val="1"/>
        </w:rPr>
        <w:t xml:space="preserve"> such notice, Borrower agrees to pay to such Lender or Lenders such additional amount or amounts as will compensate such</w:t>
      </w:r>
      <w:r>
        <w:rPr>
          <w:rFonts w:ascii="Times New Roman" w:cs="Times New Roman" w:eastAsia="Times New Roman" w:hAnsi="Times New Roman"/>
          <w:sz w:val="22"/>
          <w:szCs w:val="22"/>
          <w:u w:val="single" w:color="auto"/>
          <w:color w:val="0000FF"/>
          <w:strike w:val="1"/>
        </w:rPr>
        <w:t>, such Issuing</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Lender or </w:t>
      </w:r>
      <w:r>
        <w:rPr>
          <w:rFonts w:ascii="Times New Roman" w:cs="Times New Roman" w:eastAsia="Times New Roman" w:hAnsi="Times New Roman"/>
          <w:sz w:val="22"/>
          <w:szCs w:val="22"/>
          <w:color w:val="FF0000"/>
          <w:strike w:val="1"/>
        </w:rPr>
        <w:t>Lenders for</w:t>
      </w:r>
      <w:r>
        <w:rPr>
          <w:rFonts w:ascii="Times New Roman" w:cs="Times New Roman" w:eastAsia="Times New Roman" w:hAnsi="Times New Roman"/>
          <w:sz w:val="22"/>
          <w:szCs w:val="22"/>
          <w:color w:val="000000"/>
          <w:strike w:val="1"/>
        </w:rPr>
        <w:t xml:space="preserve"> such </w:t>
      </w:r>
      <w:r>
        <w:rPr>
          <w:rFonts w:ascii="Times New Roman" w:cs="Times New Roman" w:eastAsia="Times New Roman" w:hAnsi="Times New Roman"/>
          <w:sz w:val="22"/>
          <w:szCs w:val="22"/>
          <w:color w:val="FF0000"/>
          <w:strike w:val="1"/>
        </w:rPr>
        <w:t>increased cost or reduction,</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that each Lender agrees to take any reasonable action, to the</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 xml:space="preserve">extent such action could be taken without cost or administrative or other burden or restriction to </w:t>
      </w:r>
      <w:r>
        <w:rPr>
          <w:rFonts w:ascii="Times New Roman" w:cs="Times New Roman" w:eastAsia="Times New Roman" w:hAnsi="Times New Roman"/>
          <w:sz w:val="22"/>
          <w:szCs w:val="22"/>
          <w:u w:val="single" w:color="auto"/>
          <w:color w:val="0000FF"/>
          <w:strike w:val="1"/>
        </w:rPr>
        <w:t>other Recipient of participating</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in, issuing or maintaining any Letter of Credit</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C000"/>
          <w:strike w:val="1"/>
        </w:rPr>
        <w:t>or to reduce the amount of any sum received or receivable by</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such Lender,</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to</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 xml:space="preserve">mitigate or eliminate </w:t>
      </w:r>
      <w:r>
        <w:rPr>
          <w:rFonts w:ascii="Times New Roman" w:cs="Times New Roman" w:eastAsia="Times New Roman" w:hAnsi="Times New Roman"/>
          <w:sz w:val="22"/>
          <w:szCs w:val="22"/>
          <w:color w:val="000000"/>
          <w:strike w:val="1"/>
        </w:rPr>
        <w:t>such</w:t>
      </w:r>
      <w:r>
        <w:rPr>
          <w:rFonts w:ascii="Times New Roman" w:cs="Times New Roman" w:eastAsia="Times New Roman" w:hAnsi="Times New Roman"/>
          <w:sz w:val="22"/>
          <w:szCs w:val="22"/>
          <w:color w:val="FF0000"/>
          <w:strike w:val="1"/>
        </w:rPr>
        <w:t xml:space="preserve"> cost</w:t>
      </w:r>
      <w:r>
        <w:rPr>
          <w:rFonts w:ascii="Times New Roman" w:cs="Times New Roman" w:eastAsia="Times New Roman" w:hAnsi="Times New Roman"/>
          <w:sz w:val="22"/>
          <w:szCs w:val="22"/>
          <w:u w:val="single" w:color="auto"/>
          <w:color w:val="0000FF"/>
          <w:strike w:val="1"/>
        </w:rPr>
        <w:t>Issuing Lender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or</w:t>
      </w:r>
      <w:r>
        <w:rPr>
          <w:rFonts w:ascii="Times New Roman" w:cs="Times New Roman" w:eastAsia="Times New Roman" w:hAnsi="Times New Roman"/>
          <w:sz w:val="22"/>
          <w:szCs w:val="22"/>
          <w:color w:val="FF0000"/>
          <w:strike w:val="1"/>
        </w:rPr>
        <w:t xml:space="preserve"> reduction, within a reasonable time after becoming aware of the foregoing matters. Administrative Agent will promptly notify Borrower of any event of which it has knowledge which will entitle Lenders to </w:t>
      </w:r>
      <w:r>
        <w:rPr>
          <w:rFonts w:ascii="Times New Roman" w:cs="Times New Roman" w:eastAsia="Times New Roman" w:hAnsi="Times New Roman"/>
          <w:sz w:val="22"/>
          <w:szCs w:val="22"/>
          <w:color w:val="00C000"/>
          <w:strike w:val="1"/>
        </w:rPr>
        <w:t>compensation pursuant to this Section</w:t>
      </w:r>
      <w:r>
        <w:rPr>
          <w:rFonts w:ascii="Times New Roman" w:cs="Times New Roman" w:eastAsia="Times New Roman" w:hAnsi="Times New Roman"/>
          <w:sz w:val="22"/>
          <w:szCs w:val="22"/>
          <w:color w:val="FF0000"/>
          <w:strike w:val="1"/>
        </w:rPr>
        <w:t xml:space="preserve">, or which will cause Borrower to incur additional liability under </w:t>
      </w:r>
      <w:r>
        <w:rPr>
          <w:rFonts w:ascii="Times New Roman" w:cs="Times New Roman" w:eastAsia="Times New Roman" w:hAnsi="Times New Roman"/>
          <w:sz w:val="22"/>
          <w:szCs w:val="22"/>
          <w:u w:val="single" w:color="auto"/>
          <w:color w:val="FF0000"/>
          <w:strike w:val="1"/>
        </w:rPr>
        <w:t>Section 11.1</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Administrative Agent shall incur no liability whatsoever to Lenders or Borrower in the event it fails to do so. A certificate of Administrative Agent (or</w:t>
      </w:r>
      <w:r>
        <w:rPr>
          <w:rFonts w:ascii="Times New Roman" w:cs="Times New Roman" w:eastAsia="Times New Roman" w:hAnsi="Times New Roman"/>
          <w:sz w:val="22"/>
          <w:szCs w:val="22"/>
          <w:u w:val="single" w:color="auto"/>
          <w:color w:val="0000FF"/>
          <w:strike w:val="1"/>
        </w:rPr>
        <w:t>such other Recipient (whether of principal, interest or otherwise), then the Borrower will pay to such</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Lender,</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such</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Issuing</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Lender</w:t>
      </w:r>
      <w:r>
        <w:rPr>
          <w:rFonts w:ascii="Times New Roman" w:cs="Times New Roman" w:eastAsia="Times New Roman" w:hAnsi="Times New Roman"/>
          <w:sz w:val="22"/>
          <w:szCs w:val="22"/>
          <w:color w:val="FF0000"/>
          <w:strike w:val="1"/>
        </w:rPr>
        <w:t>, if applicable) setting forth the basis for determining</w:t>
      </w:r>
      <w:r>
        <w:rPr>
          <w:rFonts w:ascii="Times New Roman" w:cs="Times New Roman" w:eastAsia="Times New Roman" w:hAnsi="Times New Roman"/>
          <w:sz w:val="22"/>
          <w:szCs w:val="22"/>
          <w:color w:val="0000FF"/>
          <w:strike w:val="1"/>
        </w:rPr>
        <w:t xml:space="preserve"> or such other Recipient, as the case may be, </w:t>
      </w:r>
      <w:r>
        <w:rPr>
          <w:rFonts w:ascii="Times New Roman" w:cs="Times New Roman" w:eastAsia="Times New Roman" w:hAnsi="Times New Roman"/>
          <w:sz w:val="22"/>
          <w:szCs w:val="22"/>
          <w:color w:val="000000"/>
          <w:strike w:val="1"/>
        </w:rPr>
        <w:t xml:space="preserve">such additional amount or amounts </w:t>
      </w:r>
      <w:r>
        <w:rPr>
          <w:rFonts w:ascii="Times New Roman" w:cs="Times New Roman" w:eastAsia="Times New Roman" w:hAnsi="Times New Roman"/>
          <w:sz w:val="22"/>
          <w:szCs w:val="22"/>
          <w:color w:val="FF0000"/>
          <w:strike w:val="1"/>
        </w:rPr>
        <w:t>necessary to</w:t>
      </w:r>
      <w:r>
        <w:rPr>
          <w:rFonts w:ascii="Times New Roman" w:cs="Times New Roman" w:eastAsia="Times New Roman" w:hAnsi="Times New Roman"/>
          <w:sz w:val="22"/>
          <w:szCs w:val="22"/>
          <w:u w:val="single" w:color="auto"/>
          <w:color w:val="0000FF"/>
          <w:strike w:val="1"/>
        </w:rPr>
        <w:t>as will</w:t>
      </w:r>
      <w:r>
        <w:rPr>
          <w:rFonts w:ascii="Times New Roman" w:cs="Times New Roman" w:eastAsia="Times New Roman" w:hAnsi="Times New Roman"/>
          <w:sz w:val="22"/>
          <w:szCs w:val="22"/>
          <w:color w:val="000000"/>
          <w:strike w:val="1"/>
        </w:rPr>
        <w:t xml:space="preserve"> compensate such Lender</w:t>
      </w:r>
      <w:r>
        <w:rPr>
          <w:rFonts w:ascii="Times New Roman" w:cs="Times New Roman" w:eastAsia="Times New Roman" w:hAnsi="Times New Roman"/>
          <w:sz w:val="22"/>
          <w:szCs w:val="22"/>
          <w:u w:val="single" w:color="auto"/>
          <w:color w:val="0000FF"/>
          <w:strike w:val="1"/>
        </w:rPr>
        <w:t>, such Issuing Lender</w:t>
      </w:r>
      <w:r>
        <w:rPr>
          <w:rFonts w:ascii="Times New Roman" w:cs="Times New Roman" w:eastAsia="Times New Roman" w:hAnsi="Times New Roman"/>
          <w:sz w:val="22"/>
          <w:szCs w:val="22"/>
          <w:color w:val="000000"/>
          <w:strike w:val="1"/>
        </w:rPr>
        <w:t xml:space="preserve"> or </w:t>
      </w:r>
      <w:r>
        <w:rPr>
          <w:rFonts w:ascii="Times New Roman" w:cs="Times New Roman" w:eastAsia="Times New Roman" w:hAnsi="Times New Roman"/>
          <w:sz w:val="22"/>
          <w:szCs w:val="22"/>
          <w:color w:val="FF0000"/>
          <w:strike w:val="1"/>
        </w:rPr>
        <w:t>Lenders shall</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 xml:space="preserve">accompany </w:t>
      </w:r>
      <w:r>
        <w:rPr>
          <w:rFonts w:ascii="Times New Roman" w:cs="Times New Roman" w:eastAsia="Times New Roman" w:hAnsi="Times New Roman"/>
          <w:sz w:val="22"/>
          <w:szCs w:val="22"/>
          <w:color w:val="000000"/>
          <w:strike w:val="1"/>
        </w:rPr>
        <w:t>such</w:t>
      </w:r>
      <w:r>
        <w:rPr>
          <w:rFonts w:ascii="Times New Roman" w:cs="Times New Roman" w:eastAsia="Times New Roman" w:hAnsi="Times New Roman"/>
          <w:sz w:val="22"/>
          <w:szCs w:val="22"/>
          <w:color w:val="FF0000"/>
          <w:strike w:val="1"/>
        </w:rPr>
        <w:t xml:space="preserve"> demand and shall be conclusively presumed to be correct absent manifest error</w:t>
      </w:r>
      <w:r>
        <w:rPr>
          <w:rFonts w:ascii="Times New Roman" w:cs="Times New Roman" w:eastAsia="Times New Roman" w:hAnsi="Times New Roman"/>
          <w:sz w:val="22"/>
          <w:szCs w:val="22"/>
          <w:u w:val="single" w:color="auto"/>
          <w:color w:val="0000FF"/>
          <w:strike w:val="1"/>
        </w:rPr>
        <w:t>other Recipient, as the case may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be, for such additional costs incurred or reduction suffered</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-2414905</wp:posOffset>
            </wp:positionV>
            <wp:extent cx="35255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52552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-2140585</wp:posOffset>
            </wp:positionV>
            <wp:extent cx="13328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1332865" cy="825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-2003425</wp:posOffset>
            </wp:positionV>
            <wp:extent cx="4965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4965700" cy="825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-1866265</wp:posOffset>
            </wp:positionV>
            <wp:extent cx="23602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2360295"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-1266190</wp:posOffset>
            </wp:positionV>
            <wp:extent cx="36283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3628390" cy="8255"/>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-443230</wp:posOffset>
            </wp:positionV>
            <wp:extent cx="25539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13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FF0000"/>
          <w:strike w:val="1"/>
        </w:rPr>
        <w:t xml:space="preserve">Notwithstanding anything to the contrary contained in this </w:t>
      </w:r>
      <w:r>
        <w:rPr>
          <w:rFonts w:ascii="Times New Roman" w:cs="Times New Roman" w:eastAsia="Times New Roman" w:hAnsi="Times New Roman"/>
          <w:sz w:val="22"/>
          <w:szCs w:val="22"/>
          <w:u w:val="single" w:color="auto"/>
          <w:color w:val="FF0000"/>
          <w:strike w:val="1"/>
        </w:rPr>
        <w:t>Section 11.5</w:t>
      </w:r>
      <w:r>
        <w:rPr>
          <w:rFonts w:ascii="Times New Roman" w:cs="Times New Roman" w:eastAsia="Times New Roman" w:hAnsi="Times New Roman"/>
          <w:sz w:val="22"/>
          <w:szCs w:val="22"/>
          <w:color w:val="FF0000"/>
          <w:strike w:val="1"/>
        </w:rPr>
        <w:t xml:space="preserve">, Borrower shall not be required to reimburse or pay any costs or expenses to any Lender as required by such sections which have accrued more than 180 days prior to such Lender’s giving notice to Borrower that such Lender has suffered or incurred such costs or expenses, and none of the Lenders shall be permitted to pass through to Borrower costs and expenses under this </w:t>
      </w:r>
      <w:r>
        <w:rPr>
          <w:rFonts w:ascii="Times New Roman" w:cs="Times New Roman" w:eastAsia="Times New Roman" w:hAnsi="Times New Roman"/>
          <w:sz w:val="22"/>
          <w:szCs w:val="22"/>
          <w:u w:val="single" w:color="auto"/>
          <w:color w:val="FF0000"/>
          <w:strike w:val="1"/>
        </w:rPr>
        <w:t>Section 11.5</w:t>
      </w:r>
      <w:r>
        <w:rPr>
          <w:rFonts w:ascii="Times New Roman" w:cs="Times New Roman" w:eastAsia="Times New Roman" w:hAnsi="Times New Roman"/>
          <w:sz w:val="22"/>
          <w:szCs w:val="22"/>
          <w:color w:val="FF0000"/>
          <w:strike w:val="1"/>
        </w:rPr>
        <w:t xml:space="preserve"> which are not also passed through by such Lender to other customers of such Lender similarly situated when such customer is subject to documents containing substantively similar provisions as those contained in such Section.</w:t>
      </w:r>
    </w:p>
    <w:p>
      <w:pPr>
        <w:spacing w:after="0" w:line="15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FF0000"/>
          <w:strike w:val="1"/>
        </w:rPr>
        <w:t>11.6</w:t>
      </w:r>
      <w:r>
        <w:rPr>
          <w:sz w:val="20"/>
          <w:szCs w:val="20"/>
          <w:color w:val="auto"/>
        </w:rPr>
        <w:tab/>
      </w:r>
      <w:r>
        <w:rPr>
          <w:rFonts w:ascii="Times New Roman" w:cs="Times New Roman" w:eastAsia="Times New Roman" w:hAnsi="Times New Roman"/>
          <w:sz w:val="21"/>
          <w:szCs w:val="21"/>
          <w:u w:val="single" w:color="auto"/>
          <w:color w:val="FF0000"/>
          <w:strike w:val="1"/>
        </w:rPr>
        <w:t>Capital Adequacy and Other Increased Costs</w:t>
      </w:r>
    </w:p>
    <w:p>
      <w:pPr>
        <w:spacing w:after="0" w:line="179" w:lineRule="exact"/>
        <w:rPr>
          <w:sz w:val="20"/>
          <w:szCs w:val="20"/>
          <w:color w:val="auto"/>
        </w:rPr>
      </w:pPr>
    </w:p>
    <w:p>
      <w:pPr>
        <w:jc w:val="both"/>
        <w:ind w:firstLine="8"/>
        <w:spacing w:after="0" w:line="225" w:lineRule="auto"/>
        <w:tabs>
          <w:tab w:leader="none" w:pos="135" w:val="left"/>
        </w:tabs>
        <w:numPr>
          <w:ilvl w:val="0"/>
          <w:numId w:val="205"/>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If, after the Effective Date, the adoption or introduction of, or any change in any applicable law, treaty, rule or regulation (whether domestic or foreign) now or hereafter in effect and whether or not presently applicable to any Lender or Administrative Agent, or any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240"/>
          </w:cols>
          <w:pgMar w:left="320" w:top="1395" w:right="339" w:bottom="1440" w:gutter="0" w:footer="0" w:header="0"/>
        </w:sectPr>
      </w:pPr>
    </w:p>
    <w:bookmarkStart w:id="166" w:name="page167"/>
    <w:bookmarkEnd w:id="166"/>
    <w:p>
      <w:pPr>
        <w:jc w:val="both"/>
        <w:spacing w:after="0" w:line="218" w:lineRule="auto"/>
        <w:rPr>
          <w:sz w:val="20"/>
          <w:szCs w:val="20"/>
          <w:color w:val="auto"/>
        </w:rPr>
      </w:pPr>
      <w:r>
        <w:rPr>
          <w:rFonts w:ascii="Times New Roman" w:cs="Times New Roman" w:eastAsia="Times New Roman" w:hAnsi="Times New Roman"/>
          <w:sz w:val="21"/>
          <w:szCs w:val="21"/>
          <w:color w:val="FF0000"/>
          <w:strike w:val="1"/>
        </w:rPr>
        <w:t xml:space="preserve">or administration thereof by any Governmental Authority charged with the interpretation or administration thereof, or compliance by any Lender or Administrative Agent with any guideline, request or directive of any such authority (whether or not having the force of law), including any risk based capital guidelines, affects or would affect the amount of capital or liquidity required to be maintained by such Lender or Administrative Agent (or any corporation controlling such Lender or Administrative Agent) and such Lender or Administrative Agent, as the case may be, determines that the amount of such capital or liquidity is increased by or based upon the existence of such Lender’s or Administrative Agent’s obligations or Advances hereunder, the effect of such Change in Law to result in such an increase, and such increase has </w:t>
      </w:r>
      <w:r>
        <w:rPr>
          <w:rFonts w:ascii="Times New Roman" w:cs="Times New Roman" w:eastAsia="Times New Roman" w:hAnsi="Times New Roman"/>
          <w:sz w:val="21"/>
          <w:szCs w:val="21"/>
          <w:color w:val="00C000"/>
          <w:strike w:val="1"/>
        </w:rPr>
        <w:t>the effect of reducing the rate of return on such Lender’s or</w:t>
      </w:r>
      <w:r>
        <w:rPr>
          <w:rFonts w:ascii="Times New Roman" w:cs="Times New Roman" w:eastAsia="Times New Roman" w:hAnsi="Times New Roman"/>
          <w:sz w:val="21"/>
          <w:szCs w:val="21"/>
          <w:color w:val="FF0000"/>
          <w:strike w:val="1"/>
        </w:rPr>
        <w:t xml:space="preserve"> Administrative Agent’s (or such controlling corporation’s) capital as a consequence of such obligations or Advances hereunder </w:t>
      </w:r>
      <w:r>
        <w:rPr>
          <w:rFonts w:ascii="Times New Roman" w:cs="Times New Roman" w:eastAsia="Times New Roman" w:hAnsi="Times New Roman"/>
          <w:sz w:val="21"/>
          <w:szCs w:val="21"/>
          <w:color w:val="00C000"/>
          <w:strike w:val="1"/>
        </w:rPr>
        <w:t>to</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C000"/>
          <w:strike w:val="1"/>
        </w:rPr>
        <w:t xml:space="preserve">a level below that which such Lender or </w:t>
      </w:r>
      <w:r>
        <w:rPr>
          <w:rFonts w:ascii="Times New Roman" w:cs="Times New Roman" w:eastAsia="Times New Roman" w:hAnsi="Times New Roman"/>
          <w:sz w:val="21"/>
          <w:szCs w:val="21"/>
          <w:color w:val="FF0000"/>
          <w:strike w:val="1"/>
        </w:rPr>
        <w:t>Administrative Agent (or such controlling corporation) could have achieved but for such</w:t>
      </w:r>
      <w:r>
        <w:rPr>
          <w:rFonts w:ascii="Times New Roman" w:cs="Times New Roman" w:eastAsia="Times New Roman" w:hAnsi="Times New Roman"/>
          <w:sz w:val="21"/>
          <w:szCs w:val="21"/>
          <w:color w:val="00C000"/>
          <w:strike w:val="1"/>
        </w:rPr>
        <w:t xml:space="preserve"> </w:t>
      </w:r>
      <w:r>
        <w:rPr>
          <w:rFonts w:ascii="Times New Roman" w:cs="Times New Roman" w:eastAsia="Times New Roman" w:hAnsi="Times New Roman"/>
          <w:sz w:val="21"/>
          <w:szCs w:val="21"/>
          <w:color w:val="FF0000"/>
          <w:strike w:val="1"/>
        </w:rPr>
        <w:t xml:space="preserve">circumstances </w:t>
      </w:r>
      <w:r>
        <w:rPr>
          <w:rFonts w:ascii="Times New Roman" w:cs="Times New Roman" w:eastAsia="Times New Roman" w:hAnsi="Times New Roman"/>
          <w:sz w:val="21"/>
          <w:szCs w:val="21"/>
          <w:color w:val="00C000"/>
          <w:strike w:val="1"/>
        </w:rPr>
        <w:t>(taking into consideration</w:t>
      </w:r>
      <w:r>
        <w:rPr>
          <w:rFonts w:ascii="Times New Roman" w:cs="Times New Roman" w:eastAsia="Times New Roman" w:hAnsi="Times New Roman"/>
          <w:sz w:val="21"/>
          <w:szCs w:val="21"/>
          <w:color w:val="FF0000"/>
          <w:strike w:val="1"/>
        </w:rPr>
        <w:t xml:space="preserve"> its policies with respect to capital adequacy) by an amount deemed by such Lender or Administrative Agent to be material (collectively, “</w:t>
      </w:r>
      <w:r>
        <w:rPr>
          <w:rFonts w:ascii="Times New Roman" w:cs="Times New Roman" w:eastAsia="Times New Roman" w:hAnsi="Times New Roman"/>
          <w:sz w:val="21"/>
          <w:szCs w:val="21"/>
          <w:u w:val="single" w:color="auto"/>
          <w:color w:val="FF0000"/>
          <w:strike w:val="1"/>
        </w:rPr>
        <w:t>Increased Costs</w:t>
      </w:r>
      <w:r>
        <w:rPr>
          <w:rFonts w:ascii="Times New Roman" w:cs="Times New Roman" w:eastAsia="Times New Roman" w:hAnsi="Times New Roman"/>
          <w:sz w:val="21"/>
          <w:szCs w:val="21"/>
          <w:color w:val="FF0000"/>
          <w:strike w:val="1"/>
        </w:rPr>
        <w:t>”), then Administrative Agent or such Lender shall notify Borrower, and thereafter Borrower shall pay to such Lender or Administrative Agent, as the case may be, within ten (10) Business Days of written demand therefor from such Lender or Administrative Agent, additional amounts sufficient to compensate such Lender or Administrative Agent (or such controlling corporation) for any increase in the amount of capital or liquidity and reduced rate of return which such Lender or Administrative Agent reasonably determines to be allocable to the existence of such Lender’s or Administrative Agent’s obligations or Advances hereunder.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-1310640</wp:posOffset>
            </wp:positionV>
            <wp:extent cx="33883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3388360" cy="8255"/>
                    </a:xfrm>
                    <a:prstGeom prst="rect">
                      <a:avLst/>
                    </a:prstGeom>
                    <a:noFill/>
                  </pic:spPr>
                </pic:pic>
              </a:graphicData>
            </a:graphic>
          </wp:anchor>
        </w:drawing>
        <w:drawing>
          <wp:anchor simplePos="0" relativeHeight="251657728" behindDoc="1" locked="0" layoutInCell="0" allowOverlap="1">
            <wp:simplePos x="0" y="0"/>
            <wp:positionH relativeFrom="column">
              <wp:posOffset>6988810</wp:posOffset>
            </wp:positionH>
            <wp:positionV relativeFrom="paragraph">
              <wp:posOffset>-1173480</wp:posOffset>
            </wp:positionV>
            <wp:extent cx="1409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140970" cy="8890"/>
                    </a:xfrm>
                    <a:prstGeom prst="rect">
                      <a:avLst/>
                    </a:prstGeom>
                    <a:noFill/>
                  </pic:spPr>
                </pic:pic>
              </a:graphicData>
            </a:graphic>
          </wp:anchor>
        </w:drawing>
      </w:r>
    </w:p>
    <w:p>
      <w:pPr>
        <w:spacing w:after="0" w:line="142" w:lineRule="exact"/>
        <w:rPr>
          <w:sz w:val="20"/>
          <w:szCs w:val="20"/>
          <w:color w:val="auto"/>
        </w:rPr>
      </w:pPr>
    </w:p>
    <w:p>
      <w:pPr>
        <w:jc w:val="both"/>
        <w:ind w:firstLine="1304"/>
        <w:spacing w:after="0" w:line="211" w:lineRule="auto"/>
        <w:tabs>
          <w:tab w:leader="none" w:pos="1939" w:val="left"/>
        </w:tabs>
        <w:numPr>
          <w:ilvl w:val="0"/>
          <w:numId w:val="20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Capital Requirements. If any Lender or any Issuing Lender determines that any Change in Law regarding capital or liquidity requirements has or would have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C000"/>
        </w:rPr>
        <w:t>the effect of reducing the rate of return on such Lender’s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such Issuing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Lender’s capital or on the capital of such Lender’s or such Issuing Lender’s holding company, if any, as a consequence of this Agreement or the Advances made by, or participations in Letters of Credit held by, such Lender, or the Letters of Credit issued by such Issuing Lender,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C000"/>
        </w:rPr>
        <w:t>to a level below that which such Lender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such Issuing Lender or such Lender’s or such Issuing Lender’s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 xml:space="preserve">holding company could have achieved but for such Change in Law </w:t>
      </w:r>
      <w:r>
        <w:rPr>
          <w:rFonts w:ascii="Times New Roman" w:cs="Times New Roman" w:eastAsia="Times New Roman" w:hAnsi="Times New Roman"/>
          <w:sz w:val="22"/>
          <w:szCs w:val="22"/>
          <w:u w:val="single" w:color="auto"/>
          <w:color w:val="00C000"/>
        </w:rPr>
        <w:t>(taking into consideration</w:t>
      </w:r>
      <w:r>
        <w:rPr>
          <w:rFonts w:ascii="Times New Roman" w:cs="Times New Roman" w:eastAsia="Times New Roman" w:hAnsi="Times New Roman"/>
          <w:sz w:val="22"/>
          <w:szCs w:val="22"/>
          <w:u w:val="single" w:color="auto"/>
          <w:color w:val="0000FF"/>
        </w:rPr>
        <w:t xml:space="preserve"> such Lender’s or such Issuing Lender’s policies and the policies of such Lender’s or such Issuing Lender’s holding company with respect to capital adequacy and liquidity), then from time to time the Borrower will pay to such Lender or such Issuing Lender, as the case may be, such additional amount or amounts as will compensate such Lender or such Issuing Lender or such Lender’s or such Issuing Lender’s holding company for any such reduction suffered.</w:t>
      </w:r>
    </w:p>
    <w:p>
      <w:pPr>
        <w:spacing w:after="0" w:line="151" w:lineRule="exact"/>
        <w:rPr>
          <w:rFonts w:ascii="Times New Roman" w:cs="Times New Roman" w:eastAsia="Times New Roman" w:hAnsi="Times New Roman"/>
          <w:sz w:val="22"/>
          <w:szCs w:val="22"/>
          <w:u w:val="single" w:color="auto"/>
          <w:color w:val="0000FF"/>
        </w:rPr>
      </w:pPr>
    </w:p>
    <w:p>
      <w:pPr>
        <w:jc w:val="both"/>
        <w:ind w:firstLine="1304"/>
        <w:spacing w:after="0" w:line="217" w:lineRule="auto"/>
        <w:tabs>
          <w:tab w:leader="none" w:pos="1941" w:val="left"/>
        </w:tabs>
        <w:numPr>
          <w:ilvl w:val="0"/>
          <w:numId w:val="20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Certificates. A certificate of a Lender or an Issuing Lender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setting forth the amount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of such compensation,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the methodology for the calculation and the calculation thereof which shall also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rPr>
        <w:t>be prepared in good faith and in reasonable detail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strike w:val="1"/>
        </w:rPr>
        <w:t xml:space="preserve">by such Lender or </w:t>
      </w:r>
      <w:r>
        <w:rPr>
          <w:rFonts w:ascii="Times New Roman" w:cs="Times New Roman" w:eastAsia="Times New Roman" w:hAnsi="Times New Roman"/>
          <w:sz w:val="22"/>
          <w:szCs w:val="22"/>
          <w:color w:val="FF0000"/>
          <w:strike w:val="1"/>
        </w:rPr>
        <w:t>Administrative Agent, as the case may be, shall be submitted by such Lender or by Administrative Agent to</w:t>
      </w:r>
      <w:r>
        <w:rPr>
          <w:rFonts w:ascii="Times New Roman" w:cs="Times New Roman" w:eastAsia="Times New Roman" w:hAnsi="Times New Roman"/>
          <w:sz w:val="22"/>
          <w:szCs w:val="22"/>
          <w:color w:val="00C000"/>
          <w:strike w:val="1"/>
        </w:rPr>
        <w:t xml:space="preserve"> </w:t>
      </w:r>
      <w:r>
        <w:rPr>
          <w:rFonts w:ascii="Times New Roman" w:cs="Times New Roman" w:eastAsia="Times New Roman" w:hAnsi="Times New Roman"/>
          <w:sz w:val="22"/>
          <w:szCs w:val="22"/>
          <w:color w:val="FF0000"/>
          <w:strike w:val="1"/>
        </w:rPr>
        <w:t xml:space="preserve">Borrower, reasonably promptly after becoming aware of any event described in this </w:t>
      </w:r>
      <w:r>
        <w:rPr>
          <w:rFonts w:ascii="Times New Roman" w:cs="Times New Roman" w:eastAsia="Times New Roman" w:hAnsi="Times New Roman"/>
          <w:sz w:val="22"/>
          <w:szCs w:val="22"/>
          <w:u w:val="single" w:color="auto"/>
          <w:color w:val="FF0000"/>
          <w:strike w:val="1"/>
        </w:rPr>
        <w:t>Section 11.6</w:t>
      </w:r>
      <w:r>
        <w:rPr>
          <w:rFonts w:ascii="Times New Roman" w:cs="Times New Roman" w:eastAsia="Times New Roman" w:hAnsi="Times New Roman"/>
          <w:sz w:val="22"/>
          <w:szCs w:val="22"/>
          <w:color w:val="FF0000"/>
          <w:strike w:val="1"/>
        </w:rPr>
        <w:t xml:space="preserve"> and shall be conclusively presumed to be correct,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-1951355</wp:posOffset>
            </wp:positionV>
            <wp:extent cx="35255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3525520" cy="8255"/>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-1539875</wp:posOffset>
            </wp:positionV>
            <wp:extent cx="24758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2475865" cy="8255"/>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-494030</wp:posOffset>
            </wp:positionV>
            <wp:extent cx="27546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2754630" cy="8255"/>
                    </a:xfrm>
                    <a:prstGeom prst="rect">
                      <a:avLst/>
                    </a:prstGeom>
                    <a:noFill/>
                  </pic:spPr>
                </pic:pic>
              </a:graphicData>
            </a:graphic>
          </wp:anchor>
        </w:drawing>
      </w:r>
    </w:p>
    <w:p>
      <w:pPr>
        <w:spacing w:after="0" w:line="13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FF0000"/>
          <w:strike w:val="1"/>
        </w:rPr>
        <w:t xml:space="preserve">Notwithstanding anything to the contrary contained in this </w:t>
      </w:r>
      <w:r>
        <w:rPr>
          <w:rFonts w:ascii="Times New Roman" w:cs="Times New Roman" w:eastAsia="Times New Roman" w:hAnsi="Times New Roman"/>
          <w:sz w:val="22"/>
          <w:szCs w:val="22"/>
          <w:u w:val="single" w:color="auto"/>
          <w:color w:val="FF0000"/>
          <w:strike w:val="1"/>
        </w:rPr>
        <w:t>Section 11.6</w:t>
      </w:r>
      <w:r>
        <w:rPr>
          <w:rFonts w:ascii="Times New Roman" w:cs="Times New Roman" w:eastAsia="Times New Roman" w:hAnsi="Times New Roman"/>
          <w:sz w:val="22"/>
          <w:szCs w:val="22"/>
          <w:color w:val="FF0000"/>
          <w:strike w:val="1"/>
        </w:rPr>
        <w:t xml:space="preserve">, Borrower shall not be required to reimburse or pay any costs or expenses to any Lender as required by this Section which have accrued more than 180 days prior to such Lender’s giving notice to Borrower that such Lender has suffered or incurred such costs or expenses, and none of the Lenders shall be permitted to pass through to Borrower costs and expenses under this </w:t>
      </w:r>
      <w:r>
        <w:rPr>
          <w:rFonts w:ascii="Times New Roman" w:cs="Times New Roman" w:eastAsia="Times New Roman" w:hAnsi="Times New Roman"/>
          <w:sz w:val="22"/>
          <w:szCs w:val="22"/>
          <w:u w:val="single" w:color="auto"/>
          <w:color w:val="FF0000"/>
          <w:strike w:val="1"/>
        </w:rPr>
        <w:t>Section 11.6</w:t>
      </w:r>
      <w:r>
        <w:rPr>
          <w:rFonts w:ascii="Times New Roman" w:cs="Times New Roman" w:eastAsia="Times New Roman" w:hAnsi="Times New Roman"/>
          <w:sz w:val="22"/>
          <w:szCs w:val="22"/>
          <w:color w:val="FF0000"/>
          <w:strike w:val="1"/>
        </w:rPr>
        <w:t xml:space="preserve"> which are not also passed through by such Lender to other customers of such Lender similarly situated when such customer is subject to documents containing substantively similar provisions as those contained in this Section.</w:t>
      </w:r>
      <w:r>
        <w:rPr>
          <w:rFonts w:ascii="Times New Roman" w:cs="Times New Roman" w:eastAsia="Times New Roman" w:hAnsi="Times New Roman"/>
          <w:sz w:val="22"/>
          <w:szCs w:val="22"/>
          <w:u w:val="single" w:color="auto"/>
          <w:color w:val="0000FF"/>
          <w:strike w:val="1"/>
        </w:rPr>
        <w:t>or amounts necessary to compensate such Lender or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such Issuing Lender or its holding company, as the case may be, as specified in Section 11.5(a) or 11.5(b),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1240"/>
          </w:cols>
          <w:pgMar w:left="320" w:top="1395" w:right="339" w:bottom="1440" w:gutter="0" w:footer="0" w:header="0"/>
        </w:sectPr>
      </w:pPr>
    </w:p>
    <w:bookmarkStart w:id="167" w:name="page168"/>
    <w:bookmarkEnd w:id="167"/>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0000FF"/>
        </w:rPr>
        <w:t>which shall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C000"/>
        </w:rPr>
        <w:t>be prepared in good faith and in reasonable detail by such Lender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Issuing Lender, shall be delivered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 xml:space="preserve">Borrower and shall be conclusive absent manifest error. The Borrower shall pay such Lender or such Issuing Lender, as the case may be, the amount shown as due on any such certificate </w:t>
      </w:r>
      <w:r>
        <w:rPr>
          <w:rFonts w:ascii="Times New Roman" w:cs="Times New Roman" w:eastAsia="Times New Roman" w:hAnsi="Times New Roman"/>
          <w:sz w:val="22"/>
          <w:szCs w:val="22"/>
          <w:u w:val="single" w:color="auto"/>
          <w:color w:val="00C000"/>
        </w:rPr>
        <w:t>within thirty (30) Business Days after</w:t>
      </w:r>
      <w:r>
        <w:rPr>
          <w:rFonts w:ascii="Times New Roman" w:cs="Times New Roman" w:eastAsia="Times New Roman" w:hAnsi="Times New Roman"/>
          <w:sz w:val="22"/>
          <w:szCs w:val="22"/>
          <w:u w:val="single" w:color="auto"/>
          <w:color w:val="0000FF"/>
        </w:rPr>
        <w:t xml:space="preserve"> receipt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-305435</wp:posOffset>
            </wp:positionV>
            <wp:extent cx="41427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4142740" cy="8890"/>
                    </a:xfrm>
                    <a:prstGeom prst="rect">
                      <a:avLst/>
                    </a:prstGeom>
                    <a:noFill/>
                  </pic:spPr>
                </pic:pic>
              </a:graphicData>
            </a:graphic>
          </wp:anchor>
        </w:drawing>
      </w:r>
    </w:p>
    <w:p>
      <w:pPr>
        <w:spacing w:after="0" w:line="133" w:lineRule="exact"/>
        <w:rPr>
          <w:sz w:val="20"/>
          <w:szCs w:val="20"/>
          <w:color w:val="auto"/>
        </w:rPr>
      </w:pPr>
    </w:p>
    <w:p>
      <w:pPr>
        <w:jc w:val="both"/>
        <w:ind w:firstLine="1304"/>
        <w:spacing w:after="0" w:line="220" w:lineRule="auto"/>
        <w:tabs>
          <w:tab w:leader="none" w:pos="1939" w:val="left"/>
        </w:tabs>
        <w:numPr>
          <w:ilvl w:val="0"/>
          <w:numId w:val="20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Effect of Failure or Delay in Requesting Compensation. Failure or delay on the part of any Lender or any Issuing Lender to demand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C000"/>
        </w:rPr>
        <w:t>compensation pursuant to this Section</w:t>
      </w:r>
      <w:r>
        <w:rPr>
          <w:rFonts w:ascii="Times New Roman" w:cs="Times New Roman" w:eastAsia="Times New Roman" w:hAnsi="Times New Roman"/>
          <w:sz w:val="22"/>
          <w:szCs w:val="22"/>
          <w:color w:val="0000FF"/>
        </w:rPr>
        <w:t xml:space="preserve"> 11.5 shall not constitute a waiver of such Lender’s or such </w:t>
      </w:r>
      <w:r>
        <w:rPr>
          <w:rFonts w:ascii="Times New Roman" w:cs="Times New Roman" w:eastAsia="Times New Roman" w:hAnsi="Times New Roman"/>
          <w:sz w:val="22"/>
          <w:szCs w:val="22"/>
          <w:u w:val="single" w:color="auto"/>
          <w:color w:val="0000FF"/>
        </w:rPr>
        <w:t>Issuing Lender’s right to demand such compensation; provided that notice of the demand is made within 180 days of the date on which the condition or event giving rise to compensation first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-305435</wp:posOffset>
            </wp:positionV>
            <wp:extent cx="34442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3444240" cy="8255"/>
                    </a:xfrm>
                    <a:prstGeom prst="rect">
                      <a:avLst/>
                    </a:prstGeom>
                    <a:noFill/>
                  </pic:spPr>
                </pic:pic>
              </a:graphicData>
            </a:graphic>
          </wp:anchor>
        </w:drawing>
      </w:r>
    </w:p>
    <w:p>
      <w:pPr>
        <w:spacing w:after="0" w:line="13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u w:val="single" w:color="auto"/>
          <w:color w:val="0000FF"/>
        </w:rPr>
        <w:t>1.6</w:t>
      </w:r>
      <w:r>
        <w:rPr>
          <w:sz w:val="20"/>
          <w:szCs w:val="20"/>
          <w:color w:val="auto"/>
        </w:rPr>
        <w:tab/>
      </w:r>
      <w:r>
        <w:rPr>
          <w:rFonts w:ascii="Times New Roman" w:cs="Times New Roman" w:eastAsia="Times New Roman" w:hAnsi="Times New Roman"/>
          <w:sz w:val="21"/>
          <w:szCs w:val="21"/>
          <w:u w:val="single" w:color="auto"/>
          <w:color w:val="0000FF"/>
        </w:rPr>
        <w:t>[Reserved]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FF0000"/>
          <w:strike w:val="1"/>
        </w:rPr>
        <w:t>Right of Lenders to Fund through Branches and Affiliates</w:t>
      </w:r>
      <w:r>
        <w:rPr>
          <w:rFonts w:ascii="Times New Roman" w:cs="Times New Roman" w:eastAsia="Times New Roman" w:hAnsi="Times New Roman"/>
          <w:sz w:val="21"/>
          <w:szCs w:val="21"/>
          <w:u w:val="single" w:color="auto"/>
          <w:color w:val="0000FF"/>
          <w:strike w:val="1"/>
        </w:rPr>
        <w:t>Designation of Different Lending Office</w:t>
      </w:r>
    </w:p>
    <w:p>
      <w:pPr>
        <w:spacing w:after="0" w:line="179" w:lineRule="exact"/>
        <w:rPr>
          <w:sz w:val="20"/>
          <w:szCs w:val="20"/>
          <w:color w:val="auto"/>
        </w:rPr>
      </w:pPr>
    </w:p>
    <w:p>
      <w:pPr>
        <w:jc w:val="both"/>
        <w:ind w:firstLine="8"/>
        <w:spacing w:after="0" w:line="225" w:lineRule="auto"/>
        <w:tabs>
          <w:tab w:leader="none" w:pos="108" w:val="left"/>
        </w:tabs>
        <w:numPr>
          <w:ilvl w:val="0"/>
          <w:numId w:val="208"/>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Each Lender may, if it so elects, fulfill its commitment as to any Advance hereunder by designating a branch or Affiliate of such Lender to make such Advance;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(a) such Lender shall remain solely responsible for the performances of its obligations hereunder and (b) no such designation shall result in any material increased costs to Borrower</w:t>
      </w:r>
    </w:p>
    <w:p>
      <w:pPr>
        <w:spacing w:after="0" w:line="153" w:lineRule="exact"/>
        <w:rPr>
          <w:sz w:val="20"/>
          <w:szCs w:val="20"/>
          <w:color w:val="auto"/>
        </w:rPr>
      </w:pPr>
    </w:p>
    <w:p>
      <w:pPr>
        <w:jc w:val="both"/>
        <w:ind w:firstLine="8"/>
        <w:spacing w:after="0" w:line="212" w:lineRule="auto"/>
        <w:tabs>
          <w:tab w:leader="none" w:pos="108" w:val="left"/>
        </w:tabs>
        <w:numPr>
          <w:ilvl w:val="0"/>
          <w:numId w:val="20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If any Lender requests compensation under Section 11.5, or if any Loan Party is required to indemnify any Lender or pay any additional amount to any Lender or any Governmental Authority for the account of any Lender pursuant to Section 11.9, then such Lender shall use reasonable efforts to designate a different lending office for funding or booking its Advances hereunder or to assign its rights and obligations hereunder to another of its offices, branches or Affiliates, if, in the judgment of such Lender, such designation or assignment (i) would eliminate or reduce amounts payable pursuant to Section 11.5 or Section 11.9, as the case may be, in the future and (ii) would not subject such Lender to any unreimbursed cost or expense and would not otherwise be disadvantageous to such Lender. The Borrower hereby agrees to pay all reasonable and documented out-of-pocket costs and expenses incurred by any Lender in connection with any such designation or assignment</w:t>
      </w:r>
      <w:r>
        <w:rPr>
          <w:rFonts w:ascii="Times New Roman" w:cs="Times New Roman" w:eastAsia="Times New Roman" w:hAnsi="Times New Roman"/>
          <w:sz w:val="22"/>
          <w:szCs w:val="22"/>
          <w:color w:val="000000"/>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Margin Adjustment</w:t>
      </w:r>
    </w:p>
    <w:p>
      <w:pPr>
        <w:spacing w:after="0" w:line="179" w:lineRule="exact"/>
        <w:rPr>
          <w:sz w:val="20"/>
          <w:szCs w:val="20"/>
          <w:color w:val="auto"/>
        </w:rPr>
      </w:pPr>
    </w:p>
    <w:p>
      <w:pPr>
        <w:jc w:val="both"/>
        <w:ind w:firstLine="8"/>
        <w:spacing w:after="0" w:line="212" w:lineRule="auto"/>
        <w:tabs>
          <w:tab w:leader="none" w:pos="12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Adjustments to the Applicable Margins and the Applicable Fee Percentages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shall be calculated by Administrative Agent and based on the Borrowing Base Utilization in effect from time to time. Each change in the Applicable Margins and the Applicable Fee Percentages (based on the Borrowing Base Utilization) shall apply during the period commencing on the effective date of such change and ending on the date immediately preceding the effective date of the next 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at any time Borrower fails to deliver a Reserve Report within five (5) days of the date required to be delivered pursuant to </w:t>
      </w:r>
      <w:r>
        <w:rPr>
          <w:rFonts w:ascii="Times New Roman" w:cs="Times New Roman" w:eastAsia="Times New Roman" w:hAnsi="Times New Roman"/>
          <w:sz w:val="22"/>
          <w:szCs w:val="22"/>
          <w:u w:val="single" w:color="auto"/>
          <w:color w:val="auto"/>
        </w:rPr>
        <w:t>Section 7.15</w:t>
      </w:r>
      <w:r>
        <w:rPr>
          <w:rFonts w:ascii="Times New Roman" w:cs="Times New Roman" w:eastAsia="Times New Roman" w:hAnsi="Times New Roman"/>
          <w:sz w:val="22"/>
          <w:szCs w:val="22"/>
          <w:color w:val="auto"/>
        </w:rPr>
        <w:t>, and for each day during the period from and including such date to but excluding the date on which such Reserve Report is delivered, the Applicable Margins and Applicable Fee Percentages shall be at the highest level on the Applicable Margin Grid.</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firstLine="644"/>
        <w:spacing w:after="0" w:line="236" w:lineRule="auto"/>
        <w:tabs>
          <w:tab w:leader="none" w:pos="195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the term “Lender” includes any Issuing Lender and the term “applicable law” includes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1240"/>
          </w:cols>
          <w:pgMar w:left="320" w:top="1395" w:right="339" w:bottom="1440" w:gutter="0" w:footer="0" w:header="0"/>
        </w:sectPr>
      </w:pPr>
    </w:p>
    <w:bookmarkStart w:id="168" w:name="page169"/>
    <w:bookmarkEnd w:id="168"/>
    <w:p>
      <w:pPr>
        <w:jc w:val="both"/>
        <w:ind w:left="660" w:firstLine="644"/>
        <w:spacing w:after="0" w:line="211" w:lineRule="auto"/>
        <w:tabs>
          <w:tab w:leader="none" w:pos="195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paragraph (a)) the applicable Recipient receives an amount equal to the sum it would have received had no such deduction or withholding been made.</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Borrower</w:t>
      </w:r>
      <w:r>
        <w:rPr>
          <w:rFonts w:ascii="Times New Roman" w:cs="Times New Roman" w:eastAsia="Times New Roman" w:hAnsi="Times New Roman"/>
          <w:sz w:val="22"/>
          <w:szCs w:val="22"/>
          <w:color w:val="auto"/>
        </w:rPr>
        <w:t>. The Credit Parties shall timely pay to the relevant Governmental Authority in accordance with applicable law, or at the option of the Administrative Agent timely reimburse it for the payment of, any Other Taxes.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Borrower</w:t>
      </w:r>
      <w:r>
        <w:rPr>
          <w:rFonts w:ascii="Times New Roman" w:cs="Times New Roman" w:eastAsia="Times New Roman" w:hAnsi="Times New Roman"/>
          <w:sz w:val="22"/>
          <w:szCs w:val="22"/>
          <w:color w:val="auto"/>
        </w:rPr>
        <w:t>. The Credit Parties shall jointly and severally indemnify each Recipient, within 10 days after demand therefor, for the full amount of any Indemnified Taxes (including Indemnified Taxes imposed or asserted on or attributable to amounts payable under this paragraph (d)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the Administrative Agent), or by the Administrative Agent on its own behalf or on behalf of a Lender, shall be conclusive absent manifest error.</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195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13.7(d)</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any Credit Party to a Governmental Authority pursuant to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such Credit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240"/>
          </w:cols>
          <w:pgMar w:left="320" w:top="1395" w:right="339" w:bottom="1440" w:gutter="0" w:footer="0" w:header="0"/>
        </w:sectPr>
      </w:pPr>
    </w:p>
    <w:bookmarkStart w:id="169" w:name="page170"/>
    <w:bookmarkEnd w:id="169"/>
    <w:p>
      <w:pPr>
        <w:jc w:val="both"/>
        <w:ind w:left="660" w:firstLine="644"/>
        <w:spacing w:after="0" w:line="210" w:lineRule="auto"/>
        <w:tabs>
          <w:tab w:leader="none" w:pos="195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w:t>
      </w:r>
      <w:r>
        <w:rPr>
          <w:rFonts w:ascii="Times New Roman" w:cs="Times New Roman" w:eastAsia="Times New Roman" w:hAnsi="Times New Roman"/>
          <w:sz w:val="22"/>
          <w:szCs w:val="22"/>
          <w:color w:val="auto"/>
        </w:rPr>
        <w:t>. Any Lender that is entitled to an exemption from or reduction of withholding Tax with respect to payments made under any Loan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prescribed by applicable law or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clause (i), (ii) and (iv)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Without limiting the generality of the foregoing:</w:t>
      </w:r>
    </w:p>
    <w:p>
      <w:pPr>
        <w:spacing w:after="0" w:line="179" w:lineRule="exact"/>
        <w:rPr>
          <w:sz w:val="20"/>
          <w:szCs w:val="20"/>
          <w:color w:val="auto"/>
        </w:rPr>
      </w:pPr>
    </w:p>
    <w:p>
      <w:pPr>
        <w:jc w:val="both"/>
        <w:ind w:left="1300" w:firstLine="652"/>
        <w:spacing w:after="0" w:line="220" w:lineRule="auto"/>
        <w:tabs>
          <w:tab w:leader="none" w:pos="2584"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that is a U.S. Person shall deliver to Borrower and the Administrative Agent on or prior to the date on which such Lender becomes a Lender under this Agreement (and from time to time thereafter upon the reasonable request of Borrower or the Administrative Agent), </w:t>
      </w:r>
      <w:r>
        <w:rPr>
          <w:rFonts w:ascii="Times New Roman" w:cs="Times New Roman" w:eastAsia="Times New Roman" w:hAnsi="Times New Roman"/>
          <w:sz w:val="22"/>
          <w:szCs w:val="22"/>
          <w:u w:val="single" w:color="auto"/>
          <w:color w:val="0000FF"/>
        </w:rPr>
        <w:t>an</w:t>
      </w:r>
      <w:r>
        <w:rPr>
          <w:rFonts w:ascii="Times New Roman" w:cs="Times New Roman" w:eastAsia="Times New Roman" w:hAnsi="Times New Roman"/>
          <w:sz w:val="22"/>
          <w:szCs w:val="22"/>
          <w:color w:val="auto"/>
        </w:rPr>
        <w:t xml:space="preserve"> executed </w:t>
      </w:r>
      <w:r>
        <w:rPr>
          <w:rFonts w:ascii="Times New Roman" w:cs="Times New Roman" w:eastAsia="Times New Roman" w:hAnsi="Times New Roman"/>
          <w:sz w:val="22"/>
          <w:szCs w:val="22"/>
          <w:color w:val="FF0000"/>
          <w:strike w:val="1"/>
        </w:rPr>
        <w:t>originals</w:t>
      </w:r>
      <w:r>
        <w:rPr>
          <w:rFonts w:ascii="Times New Roman" w:cs="Times New Roman" w:eastAsia="Times New Roman" w:hAnsi="Times New Roman"/>
          <w:sz w:val="22"/>
          <w:szCs w:val="22"/>
          <w:u w:val="single" w:color="auto"/>
          <w:color w:val="0000FF"/>
        </w:rPr>
        <w:t>copy</w:t>
      </w:r>
      <w:r>
        <w:rPr>
          <w:rFonts w:ascii="Times New Roman" w:cs="Times New Roman" w:eastAsia="Times New Roman" w:hAnsi="Times New Roman"/>
          <w:sz w:val="22"/>
          <w:szCs w:val="22"/>
          <w:color w:val="auto"/>
        </w:rPr>
        <w:t xml:space="preserve"> of IRS Form W-9 certifying that such Lender is exempt from U.S. federal backup withholding tax;</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and the Administrative Agent (in such number of copies as shall be requested by the recipient) on or prior to the date on which such Foreign Lender becomes a Lender under this Agreement (and from time to time thereafter upon the reasonable request of Borrower or the Administrative Agent), whichever of the following is applicable:</w:t>
      </w:r>
    </w:p>
    <w:p>
      <w:pPr>
        <w:spacing w:after="0" w:line="152" w:lineRule="exact"/>
        <w:rPr>
          <w:rFonts w:ascii="Times New Roman" w:cs="Times New Roman" w:eastAsia="Times New Roman" w:hAnsi="Times New Roman"/>
          <w:sz w:val="22"/>
          <w:szCs w:val="22"/>
          <w:color w:val="auto"/>
        </w:rPr>
      </w:pPr>
    </w:p>
    <w:p>
      <w:pPr>
        <w:jc w:val="both"/>
        <w:ind w:left="1960" w:firstLine="640"/>
        <w:spacing w:after="0" w:line="213" w:lineRule="auto"/>
        <w:tabs>
          <w:tab w:leader="none" w:pos="3245"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an income tax treaty to which the United States is a party (2) with respect to payments of interest under any Loan Document, </w:t>
      </w:r>
      <w:r>
        <w:rPr>
          <w:rFonts w:ascii="Times New Roman" w:cs="Times New Roman" w:eastAsia="Times New Roman" w:hAnsi="Times New Roman"/>
          <w:sz w:val="22"/>
          <w:szCs w:val="22"/>
          <w:u w:val="single" w:color="auto"/>
          <w:color w:val="0000FF"/>
        </w:rPr>
        <w:t>an</w:t>
      </w:r>
      <w:r>
        <w:rPr>
          <w:rFonts w:ascii="Times New Roman" w:cs="Times New Roman" w:eastAsia="Times New Roman" w:hAnsi="Times New Roman"/>
          <w:sz w:val="22"/>
          <w:szCs w:val="22"/>
          <w:color w:val="auto"/>
        </w:rPr>
        <w:t xml:space="preserve"> executed </w:t>
      </w:r>
      <w:r>
        <w:rPr>
          <w:rFonts w:ascii="Times New Roman" w:cs="Times New Roman" w:eastAsia="Times New Roman" w:hAnsi="Times New Roman"/>
          <w:sz w:val="22"/>
          <w:szCs w:val="22"/>
          <w:color w:val="FF0000"/>
          <w:strike w:val="1"/>
        </w:rPr>
        <w:t>originals</w:t>
      </w:r>
      <w:r>
        <w:rPr>
          <w:rFonts w:ascii="Times New Roman" w:cs="Times New Roman" w:eastAsia="Times New Roman" w:hAnsi="Times New Roman"/>
          <w:sz w:val="22"/>
          <w:szCs w:val="22"/>
          <w:u w:val="single" w:color="auto"/>
          <w:color w:val="0000FF"/>
        </w:rPr>
        <w:t>copy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IRS Form W-8BEN establishing an exemption from, or reduction of, U.S. federal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withholding Tax pursuant to the “interest” article of such tax treaty and (2) with respect to any other applicable payments under any Loan Document, IRS Form W-8BEN establishing an exemption from, or reduction of, U.S. federal withholding Tax pursuant to the “business profits” or “other income” article of such tax treaty;</w:t>
      </w:r>
    </w:p>
    <w:p>
      <w:pPr>
        <w:spacing w:after="0" w:line="15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executed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originals</w:t>
      </w:r>
      <w:r>
        <w:rPr>
          <w:rFonts w:ascii="Times New Roman" w:cs="Times New Roman" w:eastAsia="Times New Roman" w:hAnsi="Times New Roman"/>
          <w:sz w:val="22"/>
          <w:szCs w:val="22"/>
          <w:u w:val="single" w:color="auto"/>
          <w:color w:val="0000FF"/>
        </w:rPr>
        <w:t>copy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IRS Form W-8ECI;</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20" w:lineRule="auto"/>
        <w:tabs>
          <w:tab w:leader="none" w:pos="3247"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Foreign Lender claiming the benefits of the exemption for portfolio interest under Section 881(c) of the Internal Revenue Code, (1) a certificate substantially in the form of </w:t>
      </w:r>
      <w:r>
        <w:rPr>
          <w:rFonts w:ascii="Times New Roman" w:cs="Times New Roman" w:eastAsia="Times New Roman" w:hAnsi="Times New Roman"/>
          <w:sz w:val="21"/>
          <w:szCs w:val="21"/>
          <w:u w:val="single" w:color="auto"/>
          <w:color w:val="auto"/>
        </w:rPr>
        <w:t>Exhibit H-1</w:t>
      </w:r>
      <w:r>
        <w:rPr>
          <w:rFonts w:ascii="Times New Roman" w:cs="Times New Roman" w:eastAsia="Times New Roman" w:hAnsi="Times New Roman"/>
          <w:sz w:val="21"/>
          <w:szCs w:val="21"/>
          <w:color w:val="auto"/>
        </w:rPr>
        <w:t xml:space="preserve"> to the effect that such Foreign Lender is not a “bank” within the meaning of Section 881(c)(3)(A) of the Internal Revenue Code, a “10 percent shareholder” of Borrower within the meaning of Section 881(c)(3)</w:t>
      </w:r>
    </w:p>
    <w:p>
      <w:pPr>
        <w:spacing w:after="0" w:line="2" w:lineRule="exact"/>
        <w:rPr>
          <w:rFonts w:ascii="Times New Roman" w:cs="Times New Roman" w:eastAsia="Times New Roman" w:hAnsi="Times New Roman"/>
          <w:sz w:val="21"/>
          <w:szCs w:val="21"/>
          <w:color w:val="auto"/>
        </w:rPr>
      </w:pPr>
    </w:p>
    <w:p>
      <w:pPr>
        <w:ind w:left="196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of the Internal Revenue Code, or a “controlled foreign corporation” described in Section 881(c)(3)(C) of the Internal Revenue Code (a “</w:t>
      </w:r>
      <w:r>
        <w:rPr>
          <w:rFonts w:ascii="Times New Roman" w:cs="Times New Roman" w:eastAsia="Times New Roman" w:hAnsi="Times New Roman"/>
          <w:sz w:val="22"/>
          <w:szCs w:val="22"/>
          <w:u w:val="single" w:color="auto"/>
          <w:color w:val="auto"/>
        </w:rPr>
        <w:t>U.S.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1240"/>
          </w:cols>
          <w:pgMar w:left="320" w:top="1395" w:right="339" w:bottom="1440" w:gutter="0" w:footer="0" w:header="0"/>
        </w:sectPr>
      </w:pPr>
    </w:p>
    <w:bookmarkStart w:id="170" w:name="page171"/>
    <w:bookmarkEnd w:id="170"/>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and (2) </w:t>
      </w:r>
      <w:r>
        <w:rPr>
          <w:rFonts w:ascii="Times New Roman" w:cs="Times New Roman" w:eastAsia="Times New Roman" w:hAnsi="Times New Roman"/>
          <w:sz w:val="22"/>
          <w:szCs w:val="22"/>
          <w:color w:val="0000FF"/>
        </w:rPr>
        <w:t>an</w:t>
      </w:r>
      <w:r>
        <w:rPr>
          <w:rFonts w:ascii="Times New Roman" w:cs="Times New Roman" w:eastAsia="Times New Roman" w:hAnsi="Times New Roman"/>
          <w:sz w:val="22"/>
          <w:szCs w:val="22"/>
          <w:color w:val="auto"/>
        </w:rPr>
        <w:t xml:space="preserve"> executed </w:t>
      </w:r>
      <w:r>
        <w:rPr>
          <w:rFonts w:ascii="Times New Roman" w:cs="Times New Roman" w:eastAsia="Times New Roman" w:hAnsi="Times New Roman"/>
          <w:sz w:val="22"/>
          <w:szCs w:val="22"/>
          <w:color w:val="FF0000"/>
          <w:strike w:val="1"/>
        </w:rPr>
        <w:t>originals</w:t>
      </w:r>
      <w:r>
        <w:rPr>
          <w:rFonts w:ascii="Times New Roman" w:cs="Times New Roman" w:eastAsia="Times New Roman" w:hAnsi="Times New Roman"/>
          <w:sz w:val="22"/>
          <w:szCs w:val="22"/>
          <w:u w:val="single" w:color="auto"/>
          <w:color w:val="0000FF"/>
        </w:rPr>
        <w:t>copy</w:t>
      </w:r>
      <w:r>
        <w:rPr>
          <w:rFonts w:ascii="Times New Roman" w:cs="Times New Roman" w:eastAsia="Times New Roman" w:hAnsi="Times New Roman"/>
          <w:sz w:val="22"/>
          <w:szCs w:val="22"/>
          <w:color w:val="auto"/>
        </w:rPr>
        <w:t xml:space="preserve"> of IRS Form W-8BEN;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-13970</wp:posOffset>
            </wp:positionV>
            <wp:extent cx="1638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163830" cy="8890"/>
                    </a:xfrm>
                    <a:prstGeom prst="rect">
                      <a:avLst/>
                    </a:prstGeom>
                    <a:noFill/>
                  </pic:spPr>
                </pic:pic>
              </a:graphicData>
            </a:graphic>
          </wp:anchor>
        </w:drawing>
      </w:r>
    </w:p>
    <w:p>
      <w:pPr>
        <w:spacing w:after="0" w:line="159" w:lineRule="exact"/>
        <w:rPr>
          <w:sz w:val="20"/>
          <w:szCs w:val="20"/>
          <w:color w:val="auto"/>
        </w:rPr>
      </w:pPr>
    </w:p>
    <w:p>
      <w:pPr>
        <w:jc w:val="both"/>
        <w:ind w:left="1960" w:firstLine="640"/>
        <w:spacing w:after="0" w:line="213" w:lineRule="auto"/>
        <w:tabs>
          <w:tab w:leader="none" w:pos="3245"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w:t>
      </w:r>
      <w:r>
        <w:rPr>
          <w:rFonts w:ascii="Times New Roman" w:cs="Times New Roman" w:eastAsia="Times New Roman" w:hAnsi="Times New Roman"/>
          <w:sz w:val="22"/>
          <w:szCs w:val="22"/>
          <w:u w:val="single" w:color="auto"/>
          <w:color w:val="0000FF"/>
        </w:rPr>
        <w:t>an</w:t>
      </w:r>
      <w:r>
        <w:rPr>
          <w:rFonts w:ascii="Times New Roman" w:cs="Times New Roman" w:eastAsia="Times New Roman" w:hAnsi="Times New Roman"/>
          <w:sz w:val="22"/>
          <w:szCs w:val="22"/>
          <w:color w:val="auto"/>
        </w:rPr>
        <w:t xml:space="preserve"> executed </w:t>
      </w:r>
      <w:r>
        <w:rPr>
          <w:rFonts w:ascii="Times New Roman" w:cs="Times New Roman" w:eastAsia="Times New Roman" w:hAnsi="Times New Roman"/>
          <w:sz w:val="22"/>
          <w:szCs w:val="22"/>
          <w:color w:val="FF0000"/>
          <w:strike w:val="1"/>
        </w:rPr>
        <w:t>originals</w:t>
      </w:r>
      <w:r>
        <w:rPr>
          <w:rFonts w:ascii="Times New Roman" w:cs="Times New Roman" w:eastAsia="Times New Roman" w:hAnsi="Times New Roman"/>
          <w:sz w:val="22"/>
          <w:szCs w:val="22"/>
          <w:u w:val="single" w:color="auto"/>
          <w:color w:val="0000FF"/>
        </w:rPr>
        <w:t>copy</w:t>
      </w:r>
      <w:r>
        <w:rPr>
          <w:rFonts w:ascii="Times New Roman" w:cs="Times New Roman" w:eastAsia="Times New Roman" w:hAnsi="Times New Roman"/>
          <w:sz w:val="22"/>
          <w:szCs w:val="22"/>
          <w:color w:val="auto"/>
        </w:rPr>
        <w:t xml:space="preserve"> of IRS Form W-8IMY, accompanied by IRS Form W-8ECI, IRS Form W-8BEN, a U.S. Tax Compliance Certificate substantially in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H-3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auto"/>
        </w:rPr>
        <w:t>Exhibit H-4</w:t>
      </w:r>
      <w:r>
        <w:rPr>
          <w:rFonts w:ascii="Times New Roman" w:cs="Times New Roman" w:eastAsia="Times New Roman" w:hAnsi="Times New Roman"/>
          <w:sz w:val="22"/>
          <w:szCs w:val="22"/>
          <w:color w:val="auto"/>
        </w:rPr>
        <w:t xml:space="preserve"> on behalf of each such direct and indirect partner;</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24" w:lineRule="auto"/>
        <w:tabs>
          <w:tab w:leader="none" w:pos="2596"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Foreign Lender shall, to the extent it is legally entitled to do so, deliver to Borrower and the Administrative Agent (in such number of copies as shall be requested by the recipient) on or prior to the date on which such Foreign Lender becomes a Lender under this Agreement (and from time to time thereafter upon the reasonable request of Borrower or the Administrative Agent), </w:t>
      </w:r>
      <w:r>
        <w:rPr>
          <w:rFonts w:ascii="Times New Roman" w:cs="Times New Roman" w:eastAsia="Times New Roman" w:hAnsi="Times New Roman"/>
          <w:sz w:val="21"/>
          <w:szCs w:val="21"/>
          <w:u w:val="single" w:color="auto"/>
          <w:color w:val="0000FF"/>
        </w:rPr>
        <w:t>an</w:t>
      </w:r>
      <w:r>
        <w:rPr>
          <w:rFonts w:ascii="Times New Roman" w:cs="Times New Roman" w:eastAsia="Times New Roman" w:hAnsi="Times New Roman"/>
          <w:sz w:val="21"/>
          <w:szCs w:val="21"/>
          <w:color w:val="auto"/>
        </w:rPr>
        <w:t xml:space="preserve"> executed </w:t>
      </w:r>
      <w:r>
        <w:rPr>
          <w:rFonts w:ascii="Times New Roman" w:cs="Times New Roman" w:eastAsia="Times New Roman" w:hAnsi="Times New Roman"/>
          <w:sz w:val="21"/>
          <w:szCs w:val="21"/>
          <w:color w:val="FF0000"/>
          <w:strike w:val="1"/>
        </w:rPr>
        <w:t>originals</w:t>
      </w:r>
      <w:r>
        <w:rPr>
          <w:rFonts w:ascii="Times New Roman" w:cs="Times New Roman" w:eastAsia="Times New Roman" w:hAnsi="Times New Roman"/>
          <w:sz w:val="21"/>
          <w:szCs w:val="21"/>
          <w:u w:val="single" w:color="auto"/>
          <w:color w:val="0000FF"/>
        </w:rPr>
        <w:t>copy</w:t>
      </w:r>
      <w:r>
        <w:rPr>
          <w:rFonts w:ascii="Times New Roman" w:cs="Times New Roman" w:eastAsia="Times New Roman" w:hAnsi="Times New Roman"/>
          <w:sz w:val="21"/>
          <w:szCs w:val="21"/>
          <w:color w:val="auto"/>
        </w:rPr>
        <w:t xml:space="preserve">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and</w:t>
      </w:r>
    </w:p>
    <w:p>
      <w:pPr>
        <w:spacing w:after="0" w:line="150" w:lineRule="exact"/>
        <w:rPr>
          <w:rFonts w:ascii="Times New Roman" w:cs="Times New Roman" w:eastAsia="Times New Roman" w:hAnsi="Times New Roman"/>
          <w:sz w:val="21"/>
          <w:szCs w:val="21"/>
          <w:color w:val="auto"/>
        </w:rPr>
      </w:pPr>
    </w:p>
    <w:p>
      <w:pPr>
        <w:jc w:val="both"/>
        <w:ind w:left="1300" w:firstLine="652"/>
        <w:spacing w:after="0" w:line="210" w:lineRule="auto"/>
        <w:tabs>
          <w:tab w:leader="none" w:pos="2584"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Borrower and the Administrative Agent at the time or times prescribed by law and at such time or times reasonably requested by Borrower or the Administrative Agent such documentation prescribed by applicable law (including as prescribed by Section 1471(b)(3)(C)(i) of the Internal Revenue Code) and such additional documentation reasonably requested by Borrower or the Administrative Agent as may be necessary for Borrower and the Administrative Agent to comply with their obligations under FATCA and to determine that such Lender has complied with such Lender’s obligations under FATCA or to determine the amount to deduct and withhold from such payment. Solely for purposes of this clause (iv), “</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shall include any amendments made to FATCA after the date of this Agreement.</w:t>
      </w:r>
    </w:p>
    <w:p>
      <w:pPr>
        <w:spacing w:after="0" w:line="157" w:lineRule="exact"/>
        <w:rPr>
          <w:sz w:val="20"/>
          <w:szCs w:val="20"/>
          <w:color w:val="auto"/>
        </w:rPr>
      </w:pPr>
    </w:p>
    <w:p>
      <w:pPr>
        <w:jc w:val="both"/>
        <w:ind w:left="660" w:firstLine="648"/>
        <w:spacing w:after="0" w:line="225" w:lineRule="auto"/>
        <w:rPr>
          <w:sz w:val="20"/>
          <w:szCs w:val="20"/>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Borrower and the Administrative Agent in writing of its legal inability to do so.</w:t>
      </w:r>
    </w:p>
    <w:p>
      <w:pPr>
        <w:spacing w:after="0" w:line="153" w:lineRule="exact"/>
        <w:rPr>
          <w:sz w:val="20"/>
          <w:szCs w:val="20"/>
          <w:color w:val="auto"/>
        </w:rPr>
      </w:pPr>
    </w:p>
    <w:p>
      <w:pPr>
        <w:jc w:val="both"/>
        <w:ind w:left="660" w:firstLine="644"/>
        <w:spacing w:after="0" w:line="227" w:lineRule="auto"/>
        <w:tabs>
          <w:tab w:leader="none" w:pos="1951"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1"/>
          <w:szCs w:val="21"/>
          <w:u w:val="single" w:color="auto"/>
          <w:color w:val="auto"/>
        </w:rPr>
        <w:t>Section 11.9</w:t>
      </w:r>
      <w:r>
        <w:rPr>
          <w:rFonts w:ascii="Times New Roman" w:cs="Times New Roman" w:eastAsia="Times New Roman" w:hAnsi="Times New Roman"/>
          <w:sz w:val="21"/>
          <w:szCs w:val="21"/>
          <w:color w:val="auto"/>
        </w:rPr>
        <w:t xml:space="preserve"> (including by the payment of additional amounts pursuant to this </w:t>
      </w:r>
      <w:r>
        <w:rPr>
          <w:rFonts w:ascii="Times New Roman" w:cs="Times New Roman" w:eastAsia="Times New Roman" w:hAnsi="Times New Roman"/>
          <w:sz w:val="21"/>
          <w:szCs w:val="21"/>
          <w:u w:val="single" w:color="auto"/>
          <w:color w:val="auto"/>
        </w:rPr>
        <w:t>Section 11.9</w:t>
      </w:r>
      <w:r>
        <w:rPr>
          <w:rFonts w:ascii="Times New Roman" w:cs="Times New Roman" w:eastAsia="Times New Roman" w:hAnsi="Times New Roman"/>
          <w:sz w:val="21"/>
          <w:szCs w:val="21"/>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1"/>
          <w:szCs w:val="21"/>
          <w:u w:val="single" w:color="auto"/>
          <w:color w:val="auto"/>
        </w:rPr>
        <w:t>Section 11.9</w:t>
      </w:r>
      <w:r>
        <w:rPr>
          <w:rFonts w:ascii="Times New Roman" w:cs="Times New Roman" w:eastAsia="Times New Roman" w:hAnsi="Times New Roman"/>
          <w:sz w:val="21"/>
          <w:szCs w:val="21"/>
          <w:color w:val="auto"/>
        </w:rPr>
        <w:t xml:space="preserve"> with respect to the Taxes giving rise to such refund), net of all out-of-pocket expenses (including Taxes) of such indemnified party and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1240"/>
          </w:cols>
          <w:pgMar w:left="320" w:top="1395" w:right="339" w:bottom="1440" w:gutter="0" w:footer="0" w:header="0"/>
        </w:sectPr>
      </w:pPr>
    </w:p>
    <w:bookmarkStart w:id="171" w:name="page172"/>
    <w:bookmarkEnd w:id="171"/>
    <w:p>
      <w:pPr>
        <w:jc w:val="both"/>
        <w:ind w:left="660"/>
        <w:spacing w:after="0" w:line="210" w:lineRule="auto"/>
        <w:rPr>
          <w:sz w:val="20"/>
          <w:szCs w:val="20"/>
          <w:color w:val="auto"/>
        </w:rPr>
      </w:pPr>
      <w:r>
        <w:rPr>
          <w:rFonts w:ascii="Times New Roman" w:cs="Times New Roman" w:eastAsia="Times New Roman" w:hAnsi="Times New Roman"/>
          <w:sz w:val="22"/>
          <w:szCs w:val="22"/>
          <w:color w:val="auto"/>
        </w:rPr>
        <w:t>(other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7" w:lineRule="exact"/>
        <w:rPr>
          <w:sz w:val="20"/>
          <w:szCs w:val="20"/>
          <w:color w:val="auto"/>
        </w:rPr>
      </w:pPr>
    </w:p>
    <w:p>
      <w:pPr>
        <w:jc w:val="both"/>
        <w:ind w:left="660" w:firstLine="644"/>
        <w:spacing w:after="0" w:line="225" w:lineRule="auto"/>
        <w:tabs>
          <w:tab w:leader="none" w:pos="194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48"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12.</w:t>
      </w:r>
      <w:r>
        <w:rPr>
          <w:sz w:val="20"/>
          <w:szCs w:val="20"/>
          <w:color w:val="auto"/>
        </w:rPr>
        <w:tab/>
      </w:r>
      <w:r>
        <w:rPr>
          <w:rFonts w:ascii="Times New Roman" w:cs="Times New Roman" w:eastAsia="Times New Roman" w:hAnsi="Times New Roman"/>
          <w:sz w:val="21"/>
          <w:szCs w:val="21"/>
          <w:b w:val="1"/>
          <w:bCs w:val="1"/>
          <w:color w:val="auto"/>
        </w:rPr>
        <w:t>AGENT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Appointment of Administrative Agent</w:t>
      </w:r>
    </w:p>
    <w:p>
      <w:pPr>
        <w:spacing w:after="0" w:line="179" w:lineRule="exact"/>
        <w:rPr>
          <w:sz w:val="20"/>
          <w:szCs w:val="20"/>
          <w:color w:val="auto"/>
        </w:rPr>
      </w:pPr>
    </w:p>
    <w:p>
      <w:pPr>
        <w:jc w:val="both"/>
        <w:ind w:firstLine="8"/>
        <w:spacing w:after="0" w:line="213" w:lineRule="auto"/>
        <w:tabs>
          <w:tab w:leader="none" w:pos="10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the holder of each Note (if issued) irrevocably appoints and authorizes Administrative Agent to act on behalf of such Lender or holder under this Agreement and the other Loan Documents and to exercise such powers hereunder and thereunder as are specifically delegated to Administrative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Administrative Agent shall act solely as agent of Lenders and does not assume and shall not be deemed to have assumed any obligation towards or relationship of agency or trust with or for any Credit Party.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Deposit Account with Administrative Agent or any Lender</w:t>
      </w:r>
    </w:p>
    <w:p>
      <w:pPr>
        <w:spacing w:after="0" w:line="179" w:lineRule="exact"/>
        <w:rPr>
          <w:sz w:val="20"/>
          <w:szCs w:val="20"/>
          <w:color w:val="auto"/>
        </w:rPr>
      </w:pPr>
    </w:p>
    <w:p>
      <w:pPr>
        <w:jc w:val="both"/>
        <w:ind w:firstLine="8"/>
        <w:spacing w:after="0" w:line="220" w:lineRule="auto"/>
        <w:tabs>
          <w:tab w:leader="none" w:pos="108"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such authorization is revoked by written notice to Administrative Agent, Borrower authorizes Administrative Agent, in Administrative Agent’s sole discretion, upon notice to Borrower to charge its general deposit account(s), if any, maintained with Administrative Agent for the amount of any principal, interest, or other amounts or costs due under this Agreement when the same become due and payable under the terms of this Agreement or the Notes.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Scope of Administrative Agent’s Duties</w:t>
      </w:r>
    </w:p>
    <w:p>
      <w:pPr>
        <w:spacing w:after="0" w:line="179" w:lineRule="exact"/>
        <w:rPr>
          <w:sz w:val="20"/>
          <w:szCs w:val="20"/>
          <w:color w:val="auto"/>
        </w:rPr>
      </w:pPr>
    </w:p>
    <w:p>
      <w:pPr>
        <w:jc w:val="both"/>
        <w:ind w:firstLine="8"/>
        <w:spacing w:after="0" w:line="215" w:lineRule="auto"/>
        <w:tabs>
          <w:tab w:leader="none" w:pos="10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shall have no duties or responsibilities except those expressly set forth herein, and shall not, by reason of this Agreement or otherwise, have a fiduciary relationship with any Lender (and no implied covenants or other obligations shall be read into this Agreement against Administrative Agent). None of Administrative Agent, its Affiliates nor any of their respective directors, officers, employees or agents shall be liable to any Lender for any action taken or omitted to be taken by it or them under this Agreement or any document executed pursuant hereto, or in connection herewith or therewith with the consent or at the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1240"/>
          </w:cols>
          <w:pgMar w:left="320" w:top="1395" w:right="339" w:bottom="1440" w:gutter="0" w:footer="0" w:header="0"/>
        </w:sectPr>
      </w:pPr>
    </w:p>
    <w:bookmarkStart w:id="172" w:name="page173"/>
    <w:bookmarkEnd w:id="172"/>
    <w:p>
      <w:pPr>
        <w:jc w:val="both"/>
        <w:spacing w:after="0" w:line="209" w:lineRule="auto"/>
        <w:rPr>
          <w:sz w:val="20"/>
          <w:szCs w:val="20"/>
          <w:color w:val="auto"/>
        </w:rPr>
      </w:pPr>
      <w:r>
        <w:rPr>
          <w:rFonts w:ascii="Times New Roman" w:cs="Times New Roman" w:eastAsia="Times New Roman" w:hAnsi="Times New Roman"/>
          <w:sz w:val="22"/>
          <w:szCs w:val="22"/>
          <w:color w:val="auto"/>
        </w:rPr>
        <w:t>Majority Lenders or the Supermajority Lenders (or all of Lenders for those acts requiring consent of all of Lenders) (except for its or their own willful misconduct or gross negligence), nor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Advance or the issuance of any Letter of Credit. Administrative Agent and its Affiliates shall be entitled to rely upon any certificate, notice, document or other communication (including any cable, telegraph, telex, facsimile transmission or oral communication) believed by it to be genuine and correct and to have been sent or given by or on behalf of a proper person. Administrative Agent may treat the payee of any Note as the holder thereof. Administrative Agent may employ agents and may consult with legal counsel, independent public accountants and other experts selected by it and shall not be liable to Lenders (except as to money or property received by them or their authorized agents), for the negligence or misconduct of any such agent selected by it with reasonable care or for any action taken or omitted to be taken by it in good faith in accordance with the advice of such counsel, accountants or experts.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Successor Administrative Agent</w:t>
      </w:r>
    </w:p>
    <w:p>
      <w:pPr>
        <w:spacing w:after="0" w:line="179" w:lineRule="exact"/>
        <w:rPr>
          <w:sz w:val="20"/>
          <w:szCs w:val="20"/>
          <w:color w:val="auto"/>
        </w:rPr>
      </w:pPr>
    </w:p>
    <w:p>
      <w:pPr>
        <w:jc w:val="both"/>
        <w:ind w:firstLine="8"/>
        <w:spacing w:after="0" w:line="207" w:lineRule="auto"/>
        <w:tabs>
          <w:tab w:leader="none" w:pos="13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may resign as such at any time upon at least thirty (30) days prior notice to Borrower and each of Lenders. If Administrative Agent at any time shall resign or if the office of Administrative Agent shall become vacant for any other reason, Majority Lenders shall, by written instrument, appoint successor agent(s) (“</w:t>
      </w: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 xml:space="preserve">”) satisfactory to such Majority Lenders and, so long as no Default or Event of Default has occurred and is continuing, to Borrower (which approval shall not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any such Successor Administrative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Administrative Agent shall thereupon become Administrative Agent hereunder, as applicable, and Administrative Agent shall deliver or cause to be delivered to any successor agent such documents of transfer and assignment as such Successor Administrative Agent may reasonably request. If a Successor Administrative Agent is not so appointed or does not accept such appointment before the resigning Administrative Agent’s resignation becomes effective, the resigning Administrative Agent may appoint a temporary successor to act until such appointment by the Majority Lenders and, if applicable, Borrower, is made and accepted, or if no such temporary successor is appointed as provided above by the resigning Administrative Agent, the Majority Lenders shall thereafter perform all of the duties of the resigning Administrative Agent hereunder until such appointment by the Majority Lenders and, if applicable, Borrower, is made and accepted. Such Successor Administrative Agent shall succeed to all of the rights and obligations of the resigning Administrative Agent as if originally named. The resigning Administrative Agent shall duly assign, transfer and deliver to such Successor Administrative Agent all moneys at the time held by the resigning Administrative Agent hereunder after deducting therefrom its expenses for which it is entitled to be reimbursed hereunder. Upon such succession of any such Successor Administrative Agent, the resigning Administrative Agent shall be discharged from its duties and obligations, in its capacity as Administrative Agent hereunder, except for its gross negligence or willful misconduct arising prior to its resignation hereunder, and the provisions of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shall continue in effect for the benefit of the resigning Administrative Agent in respect of any actions taken or omitted to be taken by it while it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240"/>
          </w:cols>
          <w:pgMar w:left="320" w:top="1395" w:right="339" w:bottom="1440" w:gutter="0" w:footer="0" w:header="0"/>
        </w:sectPr>
      </w:pPr>
    </w:p>
    <w:bookmarkStart w:id="173" w:name="page174"/>
    <w:bookmarkEnd w:id="173"/>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Credit Decisions</w:t>
      </w:r>
    </w:p>
    <w:p>
      <w:pPr>
        <w:spacing w:after="0" w:line="179" w:lineRule="exact"/>
        <w:rPr>
          <w:sz w:val="20"/>
          <w:szCs w:val="20"/>
          <w:color w:val="auto"/>
        </w:rPr>
      </w:pPr>
    </w:p>
    <w:p>
      <w:pPr>
        <w:jc w:val="both"/>
        <w:ind w:firstLine="8"/>
        <w:spacing w:after="0" w:line="225" w:lineRule="auto"/>
        <w:tabs>
          <w:tab w:leader="none" w:pos="108"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acknowledges that it has, independently of Administrative Agent and each other Lender and based on the financial statements of Borrower and such other documents, information and investigations as it has deemed appropriate, made its own credit decision to extend credit hereunder from time to time. Each Lender also acknowledges that it will, independently of Administrative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Authority of Administrative Agent to Enforce This Agreement</w:t>
      </w:r>
    </w:p>
    <w:p>
      <w:pPr>
        <w:spacing w:after="0" w:line="179" w:lineRule="exact"/>
        <w:rPr>
          <w:sz w:val="20"/>
          <w:szCs w:val="20"/>
          <w:color w:val="auto"/>
        </w:rPr>
      </w:pPr>
    </w:p>
    <w:p>
      <w:pPr>
        <w:jc w:val="both"/>
        <w:ind w:firstLine="8"/>
        <w:spacing w:after="0" w:line="215" w:lineRule="auto"/>
        <w:tabs>
          <w:tab w:leader="none" w:pos="121"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subject to the terms and conditions of this Agreement, grants Administrative Agent full power and authority as attorney-in-fact to institute and maintain actions, suits or proceedings for the collection and enforcement of any Indebtedness outstanding under this Agreement or any other Loan Document and to file such proofs of debt or other documents as may be necessary to have the claims of Lenders allowed in any proceeding relative to any Credit Party, or their respective creditors or affecting their respective properties, and to take such other actions which Administrative Agent considers to be necessary or desirable for the protection, collection and enforcement of the Notes, this Agreement or the other Loan Documents.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Indemnification of Administrative Agent</w:t>
      </w:r>
    </w:p>
    <w:p>
      <w:pPr>
        <w:spacing w:after="0" w:line="179" w:lineRule="exact"/>
        <w:rPr>
          <w:sz w:val="20"/>
          <w:szCs w:val="20"/>
          <w:color w:val="auto"/>
        </w:rPr>
      </w:pPr>
    </w:p>
    <w:p>
      <w:pPr>
        <w:jc w:val="both"/>
        <w:ind w:firstLine="8"/>
        <w:spacing w:after="0" w:line="207" w:lineRule="auto"/>
        <w:tabs>
          <w:tab w:leader="none" w:pos="12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Lenders agree (which agreement shall survive the expiration or termination of this Agreement) to indemnify Administrative Agent and its Affiliates (to the extent not reimbursed by Borrower, but without limiting any obligation of Borrower to make such reimbursement), ratably according to their respective Revolving Credit Percentages, from and against any and all claims, damages, losses, liabilities, costs or expenses of any kind or nature whatsoever (including, without limitation, reasonable fees and expenses of house and outside counsel) which may be imposed on, incurred by, or asserted against Administrative Agent and its Affiliates in any way relating to or arising out of this Agreement, any of the other Loan Documents or the transactions contemplated hereby or any action taken or omitted by Administrative Agent and its Affiliates under this Agreement or any of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 Lender shall be liable for any portion of such claims, damages, losses, liabilities, costs or expenses resulting from Administrative Agent’s or its Affiliate’s gross negligence or willful misconduct. Without limitation of the foregoing, each Lender agrees to reimburse Administrative Agent and its Affiliates promptly upon demand for its ratable share of any reasonable out-of-pocket expenses (including, without limitation, reasonable fees and expenses of in-house and outside counsel) incurred by Administrative Agent and its Affiliates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Administrative Agent and its Affiliates are not reimbursed for such expenses by Borrower, but without limiting the obligation of Borrower to make such reimbursement. Each Lender agrees to reimburse Administrative Agent and its Affiliates promptly upon demand for its ratable share of any amounts owing to Administrative Agent and its Affiliates by Lenders pursuant to this Section, provided that, if Administrative Agent or its Affiliates are subsequently reimbursed by Borrower for such amounts, they shall refund to Lenders on a pro rata basis the amount of any excess reimbursement. If the indemnity furnished to Administrative Agent and its Affiliates under this Section shall become impaired as determined in Administrative Agent’s reasonable judgment or Administrative Agent shall elect in its sole discretion to have such indemnity confirmed by Lenders (as to specific matters or otherwise), Administrative Agent shall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1240"/>
          </w:cols>
          <w:pgMar w:left="320" w:top="1395" w:right="339" w:bottom="1440" w:gutter="0" w:footer="0" w:header="0"/>
        </w:sectPr>
      </w:pPr>
    </w:p>
    <w:bookmarkStart w:id="174" w:name="page175"/>
    <w:bookmarkEnd w:id="174"/>
    <w:p>
      <w:pPr>
        <w:spacing w:after="0" w:line="236" w:lineRule="auto"/>
        <w:rPr>
          <w:sz w:val="20"/>
          <w:szCs w:val="20"/>
          <w:color w:val="auto"/>
        </w:rPr>
      </w:pPr>
      <w:r>
        <w:rPr>
          <w:rFonts w:ascii="Times New Roman" w:cs="Times New Roman" w:eastAsia="Times New Roman" w:hAnsi="Times New Roman"/>
          <w:sz w:val="22"/>
          <w:szCs w:val="22"/>
          <w:color w:val="auto"/>
        </w:rPr>
        <w:t>notice thereof to each Lender and, until such additional indemnity is provided or such existing indemnity is confirmed, Administrative Agent may cease, or not commence, to take any action.</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Knowledge of Default</w:t>
      </w:r>
    </w:p>
    <w:p>
      <w:pPr>
        <w:spacing w:after="0" w:line="179" w:lineRule="exact"/>
        <w:rPr>
          <w:sz w:val="20"/>
          <w:szCs w:val="20"/>
          <w:color w:val="auto"/>
        </w:rPr>
      </w:pPr>
    </w:p>
    <w:p>
      <w:pPr>
        <w:jc w:val="both"/>
        <w:ind w:firstLine="8"/>
        <w:spacing w:after="0" w:line="212" w:lineRule="auto"/>
        <w:tabs>
          <w:tab w:leader="none" w:pos="108"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understood and agreed that Administrative Agent shall be entitled to assume that no Default or Event of Default has occurred and is continuing, unless the officers of Administrative Agent immediately responsible for matters concerning this Agreement shall have received a written notice from a Lender or a Borrower specifying such Default or Event of Default and stating that such notice is a “notice of default”. Upon receiving such a notice, Administrative Agent shall promptly notify each Lender of such Default or Event of Default and provide each Lender with a copy of such notice and shall endeavor to provide such notice to Lenders within three (3) Business Days (but without any liability whatsoever in the event of its failure to do so). Administrative Agent shall also furnish Lenders, promptly upon receipt, with copies of all other notices or other information required to be provided by Borrower hereunder.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Administrative Agent’s Authorization; Action by Lenders</w:t>
      </w:r>
    </w:p>
    <w:p>
      <w:pPr>
        <w:spacing w:after="0" w:line="179" w:lineRule="exact"/>
        <w:rPr>
          <w:sz w:val="20"/>
          <w:szCs w:val="20"/>
          <w:color w:val="auto"/>
        </w:rPr>
      </w:pPr>
    </w:p>
    <w:p>
      <w:pPr>
        <w:jc w:val="both"/>
        <w:ind w:firstLine="8"/>
        <w:spacing w:after="0" w:line="210" w:lineRule="auto"/>
        <w:tabs>
          <w:tab w:leader="none" w:pos="135"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herein, whenever Administrative Agent is authorized and empowered hereunder on behalf of Lenders to give any approval or consent, or to make any request, or to take any other action on behalf of Lenders (including without limitation the exercise of any right or remedy hereunder or under the other Loan Documents), Administrative Agent shall be required to give such approval or consent, or to make such request or to take such other action only when so requested in writing by the Majority Lenders, the Supermajority Lenders or Lenders, as applicable hereunder. Action that may be taken by the Majority Lenders, the Supermajority Lenders, any other specified Revolving Credit Percentage of Lenders or all of Lenders, as the case may be (as provided for hereunder) may be taken (i) pursuant to a vote of the requisite percentages of Lenders as required hereunder at a meeting (which may be held by telephone conference call),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Administrative Agent exercises good faith, diligent efforts to give all of Lenders reasonable advance notice of the meeting, or (ii) pursuant to the written consent of the requisite percentages of Lenders as required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of Lenders are given reasonable advance notice of the requests for such consent.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Enforcement Actions by Administrative Agent</w:t>
      </w:r>
    </w:p>
    <w:p>
      <w:pPr>
        <w:spacing w:after="0" w:line="179" w:lineRule="exact"/>
        <w:rPr>
          <w:sz w:val="20"/>
          <w:szCs w:val="20"/>
          <w:color w:val="auto"/>
        </w:rPr>
      </w:pPr>
    </w:p>
    <w:p>
      <w:pPr>
        <w:jc w:val="both"/>
        <w:ind w:firstLine="8"/>
        <w:spacing w:after="0" w:line="211" w:lineRule="auto"/>
        <w:tabs>
          <w:tab w:leader="none" w:pos="108"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under this Agreement or in any of the other Loan Documents and subject to the terms hereof, Administrative Agent will take such action, assert such rights and pursue such remedies under this Agreement and the other Loan Documents as the Majority Lenders, the Supermajority Lenders, or all of Lenders, as the case may be (as provided for hereunder), shall direct;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Administrative Agent shall not be required to act or omit to act if, in the reasonable judgment of Administrative Agent, such action or omission may expose Administrative Agent to personal liability for which Administrative Agent has not been satisfactorily indemnified hereunder or is contrary to this Agreement, any of the Loan Documents or applicable law. Except as expressly provided above or elsewhere in this Agreement or the other Loan Documents, no Lender (other than Administrative Agent, acting in its capacity as agent) shall be entitled to take any enforcement action of any kind under this Agreement or any of the other Loan Documents.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Collateral Matters</w:t>
      </w:r>
    </w:p>
    <w:p>
      <w:pPr>
        <w:spacing w:after="0" w:line="179" w:lineRule="exact"/>
        <w:rPr>
          <w:sz w:val="20"/>
          <w:szCs w:val="20"/>
          <w:color w:val="auto"/>
        </w:rPr>
      </w:pPr>
    </w:p>
    <w:p>
      <w:pPr>
        <w:jc w:val="both"/>
        <w:ind w:firstLine="8"/>
        <w:spacing w:after="0" w:line="225" w:lineRule="auto"/>
        <w:tabs>
          <w:tab w:leader="none" w:pos="13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is authorized on behalf of all Lenders, without the necessity of any notice to or further consent from Lenders, from time to time to take any action with respect to any Collateral or the Collateral Documents which may be necessary to perfect and maintain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1240"/>
          </w:cols>
          <w:pgMar w:left="320" w:top="139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perfected security interest in and Liens upon the Collateral granted pursuant to the Loan Documents.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Administrative Agent in its Individual Capacity</w:t>
      </w:r>
    </w:p>
    <w:p>
      <w:pPr>
        <w:spacing w:after="0" w:line="179" w:lineRule="exact"/>
        <w:rPr>
          <w:sz w:val="20"/>
          <w:szCs w:val="20"/>
          <w:color w:val="auto"/>
        </w:rPr>
      </w:pPr>
    </w:p>
    <w:p>
      <w:pPr>
        <w:jc w:val="both"/>
        <w:ind w:firstLine="8"/>
        <w:spacing w:after="0" w:line="227" w:lineRule="auto"/>
        <w:tabs>
          <w:tab w:leader="none" w:pos="121"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RBC and its Affiliates, successors and assigns shall each have the same rights and powers hereunder as any other Lender and may exercise or refrain from exercising the same as though such Lender were not Administrative Agent. RBC and its Affiliates may (without having to account therefor to any Lender) accept deposits from, lend money to, and generally engage in any kind of banking, trust, financial advisory or other business with the Credit Parties as if such Lender were not acting as Administrative Agent hereunder, and may accept fees and other consideration therefor without having to account for the same to Lenders.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Administrative Agent’s Fees</w:t>
      </w:r>
    </w:p>
    <w:p>
      <w:pPr>
        <w:spacing w:after="0" w:line="179" w:lineRule="exact"/>
        <w:rPr>
          <w:sz w:val="20"/>
          <w:szCs w:val="20"/>
          <w:color w:val="auto"/>
        </w:rPr>
      </w:pPr>
    </w:p>
    <w:p>
      <w:pPr>
        <w:jc w:val="both"/>
        <w:ind w:right="20" w:firstLine="8"/>
        <w:spacing w:after="0" w:line="225" w:lineRule="auto"/>
        <w:tabs>
          <w:tab w:leader="none" w:pos="10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pay to the Administrative Agent the administrative agency fee set forth in the Fee Letter until the Indebtedness has been repaid and discharged in full and no commitment to extend any credit hereunder is outstanding. The agency fees referred to in this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 xml:space="preserve"> shall not be refundable under any circumstances.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Documentation Administrative Agent or other Titles</w:t>
      </w:r>
    </w:p>
    <w:p>
      <w:pPr>
        <w:spacing w:after="0" w:line="179" w:lineRule="exact"/>
        <w:rPr>
          <w:sz w:val="20"/>
          <w:szCs w:val="20"/>
          <w:color w:val="auto"/>
        </w:rPr>
      </w:pPr>
    </w:p>
    <w:p>
      <w:pPr>
        <w:jc w:val="both"/>
        <w:ind w:firstLine="8"/>
        <w:spacing w:after="0" w:line="213" w:lineRule="auto"/>
        <w:tabs>
          <w:tab w:leader="none" w:pos="108"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identified on the facing page or signature page of this Agreement or in any amendment hereto or as designated with consent of Administrative Agent in any assignment agreement as Lead Arranger, Documentation Agent, Syndication Agent or any similar titles, shall not have any right, power, obligation, liability, responsibility or duty under this Agreement as a result of such title other than those applicable to all Lenders as such. Without limiting the foregoing, Lenders so identified shall not have or be deemed to have any fiduciary relationship with any Lender as a result of such title. Each Lender acknowledges that it has not relied, and will not rely, on Lender so identified in deciding to enter into this Agreement or in taking or not taking action hereunder.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u w:val="single" w:color="auto"/>
          <w:color w:val="auto"/>
        </w:rPr>
        <w:t>No Reliance on Administrative Agent’s Customer Identification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1" w:lineRule="auto"/>
        <w:tabs>
          <w:tab w:leader="none" w:pos="1953"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acknowledges and agrees that neither such Lender, nor any of its Affiliates, participants or assignees, may rely on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22"/>
          <w:szCs w:val="22"/>
          <w:u w:val="single" w:color="auto"/>
          <w:color w:val="auto"/>
        </w:rPr>
        <w:t>CIP Regulations</w:t>
      </w:r>
      <w:r>
        <w:rPr>
          <w:rFonts w:ascii="Times New Roman" w:cs="Times New Roman" w:eastAsia="Times New Roman" w:hAnsi="Times New Roman"/>
          <w:sz w:val="22"/>
          <w:szCs w:val="22"/>
          <w:color w:val="auto"/>
        </w:rPr>
        <w:t>”), or any other anti-terrorism law, including any programs involving any of the following items relating to or in connection with Borrower or any of its Subsidiaries, any of their respective Affiliates or agents, the Loan Documents or the transactions hereunder: (i) any identity verification procedures, (ii) any record keeping, (iii) any comparisons with government lists, (iv) any customer notices or (v) any other procedures required under the CIP Regulations or such other laws.</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1240"/>
          </w:cols>
          <w:pgMar w:left="320" w:top="1395" w:right="339" w:bottom="1440" w:gutter="0" w:footer="0" w:header="0"/>
        </w:sectPr>
      </w:pPr>
    </w:p>
    <w:bookmarkStart w:id="176" w:name="page177"/>
    <w:bookmarkEnd w:id="176"/>
    <w:p>
      <w:pPr>
        <w:jc w:val="both"/>
        <w:ind w:left="660"/>
        <w:spacing w:after="0" w:line="222" w:lineRule="auto"/>
        <w:rPr>
          <w:sz w:val="20"/>
          <w:szCs w:val="20"/>
          <w:color w:val="auto"/>
        </w:rPr>
      </w:pPr>
      <w:r>
        <w:rPr>
          <w:rFonts w:ascii="Times New Roman" w:cs="Times New Roman" w:eastAsia="Times New Roman" w:hAnsi="Times New Roman"/>
          <w:sz w:val="21"/>
          <w:szCs w:val="21"/>
          <w:color w:val="auto"/>
        </w:rPr>
        <w:t>and (ii) subject to supervision by a banking authority regulating such affiliated depository institution or foreign bank) shall deliver to Administrative Agent the certification, or, if applicable, recertification, certifying that such Lender is not a “shell” and certifying to other matters as required by Section 313 of the USA Patriot Act and the applicable regulations:</w:t>
      </w:r>
    </w:p>
    <w:p>
      <w:pPr>
        <w:spacing w:after="0" w:line="2" w:lineRule="exact"/>
        <w:rPr>
          <w:sz w:val="20"/>
          <w:szCs w:val="20"/>
          <w:color w:val="auto"/>
        </w:rPr>
      </w:pPr>
    </w:p>
    <w:p>
      <w:pPr>
        <w:ind w:left="660" w:right="800" w:hanging="4"/>
        <w:spacing w:after="0" w:line="398" w:lineRule="auto"/>
        <w:tabs>
          <w:tab w:leader="none" w:pos="96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10 days after the Effective Date, and (y) at such other times as are required under the USA Patriot Act. 1.16 </w:t>
      </w:r>
      <w:r>
        <w:rPr>
          <w:rFonts w:ascii="Times New Roman" w:cs="Times New Roman" w:eastAsia="Times New Roman" w:hAnsi="Times New Roman"/>
          <w:sz w:val="22"/>
          <w:szCs w:val="22"/>
          <w:u w:val="single" w:color="auto"/>
          <w:color w:val="auto"/>
        </w:rPr>
        <w:t>Certain Payments</w:t>
      </w:r>
    </w:p>
    <w:p>
      <w:pPr>
        <w:jc w:val="both"/>
        <w:ind w:left="660" w:firstLine="644"/>
        <w:spacing w:after="0" w:line="210" w:lineRule="auto"/>
        <w:tabs>
          <w:tab w:leader="none" w:pos="1953"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agrees that if, at any time, (i) it receives any amount from Administrative Agent on account of the Indebtedness, whether for principal, interest, fees or otherwise (the “</w:t>
      </w:r>
      <w:r>
        <w:rPr>
          <w:rFonts w:ascii="Times New Roman" w:cs="Times New Roman" w:eastAsia="Times New Roman" w:hAnsi="Times New Roman"/>
          <w:sz w:val="22"/>
          <w:szCs w:val="22"/>
          <w:u w:val="single" w:color="auto"/>
          <w:color w:val="auto"/>
        </w:rPr>
        <w:t>Applicable Payment</w:t>
      </w:r>
      <w:r>
        <w:rPr>
          <w:rFonts w:ascii="Times New Roman" w:cs="Times New Roman" w:eastAsia="Times New Roman" w:hAnsi="Times New Roman"/>
          <w:sz w:val="22"/>
          <w:szCs w:val="22"/>
          <w:color w:val="auto"/>
        </w:rPr>
        <w:t>”), and whether or not such amount or any other amount is then due and owing to such Lender by Borrower or any Credit Party, and (ii) Administrative Agent subsequently notifies such Lender that the Applicable Payment was either (A) made in error or (B) has not been reimbursed by Borrower, in whole or in part, to Administrative Agent within the time specified thereof under this Agreement, then: (x) such Lender shall promptly return such amount (or, if applicable, its ratable share of the unreimbursed portion thereof) to Administrative Agent within one (1) Business Day following notice thereof and (y) any amounts not so returned shall bear interest at the Federal Funds Effective Rate. Administrative Agent shall not be liable for any apportionment or distribution of payments made by it in good faith and if any such apportionment or distribution is subsequently determined to have been made in error the sole recourse of any Lender or other Person shall be to recover the amount from the Person that actually received it.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each other Credit Party hereby agrees that (x) in the event an Applicable Payment (or portion thereof) is not recovered from any Lender, including, without limitation, any Issuing Lender, that has received such Applicable Payment (or any portion thereof) for any reason, Administrative Agent shall be subrogated to all the rights of such Lender with respect to such amount and (y) an Applicable Payment shall not pay, prepay, repay, discharge or otherwise satisfy any Indebtedness owed by Borrower or any other Credit Party except, in each case, to the extent such Applicable Payment is, and solely with respect to the amount of such Applicable Payment that is, comprised of funds received by Administrative Agent from Borrower or any other Credit Party for the purpose of making such Applicable Payment.</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12.16</w:t>
      </w:r>
      <w:r>
        <w:rPr>
          <w:rFonts w:ascii="Times New Roman" w:cs="Times New Roman" w:eastAsia="Times New Roman" w:hAnsi="Times New Roman"/>
          <w:sz w:val="22"/>
          <w:szCs w:val="22"/>
          <w:color w:val="auto"/>
        </w:rPr>
        <w:t xml:space="preserve"> shall survive the resignation or replacement of Administrative Agent hereunder and/or any termination of the Commitments or repayment, satisfaction or discharge of the </w:t>
      </w:r>
      <w:r>
        <w:rPr>
          <w:rFonts w:ascii="Times New Roman" w:cs="Times New Roman" w:eastAsia="Times New Roman" w:hAnsi="Times New Roman"/>
          <w:sz w:val="22"/>
          <w:szCs w:val="22"/>
          <w:color w:val="FF0000"/>
          <w:strike w:val="1"/>
        </w:rPr>
        <w:t>Indebtednesss</w:t>
      </w:r>
      <w:r>
        <w:rPr>
          <w:rFonts w:ascii="Times New Roman" w:cs="Times New Roman" w:eastAsia="Times New Roman" w:hAnsi="Times New Roman"/>
          <w:sz w:val="22"/>
          <w:szCs w:val="22"/>
          <w:u w:val="single" w:color="auto"/>
          <w:color w:val="0000FF"/>
        </w:rPr>
        <w:t>Indebtedness</w:t>
      </w:r>
      <w:r>
        <w:rPr>
          <w:rFonts w:ascii="Times New Roman" w:cs="Times New Roman" w:eastAsia="Times New Roman" w:hAnsi="Times New Roman"/>
          <w:sz w:val="22"/>
          <w:szCs w:val="22"/>
          <w:color w:val="auto"/>
        </w:rPr>
        <w:t xml:space="preserve"> (or any portion thereof) under any Loan Document.</w:t>
      </w:r>
    </w:p>
    <w:p>
      <w:pPr>
        <w:spacing w:after="0" w:line="148"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ARTICLE 13.</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Accounting Principles</w:t>
      </w:r>
    </w:p>
    <w:p>
      <w:pPr>
        <w:spacing w:after="0" w:line="179" w:lineRule="exact"/>
        <w:rPr>
          <w:sz w:val="20"/>
          <w:szCs w:val="20"/>
          <w:color w:val="auto"/>
        </w:rPr>
      </w:pPr>
    </w:p>
    <w:p>
      <w:pPr>
        <w:jc w:val="both"/>
        <w:ind w:firstLine="8"/>
        <w:spacing w:after="0" w:line="215" w:lineRule="auto"/>
        <w:tabs>
          <w:tab w:leader="none" w:pos="12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after the date hereof there occurs any change in GAAP or in the application thereof on the operation of any provision hereof and Borrower notifies Administrative Agent that Borrower requests an amendment to any provision hereof to eliminate the effect of such change in GAAP or in the application thereof (or if Administrative Agent notifies Borrower that Majority Lenders request an amendment to any provision hereof for such purpose), regardless of whether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1240"/>
          </w:cols>
          <w:pgMar w:left="320" w:top="1395" w:right="339" w:bottom="1440" w:gutter="0" w:footer="0" w:header="0"/>
        </w:sectPr>
      </w:pPr>
    </w:p>
    <w:bookmarkStart w:id="177" w:name="page178"/>
    <w:bookmarkEnd w:id="177"/>
    <w:p>
      <w:pPr>
        <w:jc w:val="both"/>
        <w:spacing w:after="0" w:line="215" w:lineRule="auto"/>
        <w:rPr>
          <w:sz w:val="20"/>
          <w:szCs w:val="20"/>
          <w:color w:val="auto"/>
        </w:rPr>
      </w:pPr>
      <w:r>
        <w:rPr>
          <w:rFonts w:ascii="Times New Roman" w:cs="Times New Roman" w:eastAsia="Times New Roman" w:hAnsi="Times New Roman"/>
          <w:sz w:val="22"/>
          <w:szCs w:val="22"/>
          <w:color w:val="auto"/>
        </w:rPr>
        <w:t>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anything in this Agreement or any other Loan Document to the contrary, for the purposes of calculating compliance with any covenant in this Agreement or any other Loan Document, no effect shall be given to any change in GAAP arising out of a change described in the Proposed Accounting Standards Update to Leases (Topic 840) dated August 17, 2010 or a substantially similar pronouncement.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Consent to Jurisdiction</w:t>
      </w:r>
    </w:p>
    <w:p>
      <w:pPr>
        <w:spacing w:after="0" w:line="179" w:lineRule="exact"/>
        <w:rPr>
          <w:sz w:val="20"/>
          <w:szCs w:val="20"/>
          <w:color w:val="auto"/>
        </w:rPr>
      </w:pPr>
    </w:p>
    <w:p>
      <w:pPr>
        <w:jc w:val="both"/>
        <w:ind w:firstLine="8"/>
        <w:spacing w:after="0" w:line="220" w:lineRule="auto"/>
        <w:tabs>
          <w:tab w:leader="none" w:pos="121"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Administrative Agent and Lenders hereby irrevocably submit to the non-exclusive jurisdiction of any United States Federal Court or Texas state court sitting in Dallas, Texas in any action or proceeding arising out of or relating to this Agreement or any of the Loan Documents and the parties hereto irrevocably agree that all claims in respect of such action or proceeding may be heard and determined in any such United States Federal Court or Texas state court. Each of the parties irrevocably consents to the service of any and all process in any such action or proceeding brought in any court in or of the State of Texas by the delivery of copies of such process to it at the applicable addresses specified on the signature page hereto or by certified mail directed to such address or such other address as may be designated by it in a notice to the other parties that complies as to delivery with the terms of </w:t>
      </w:r>
      <w:r>
        <w:rPr>
          <w:rFonts w:ascii="Times New Roman" w:cs="Times New Roman" w:eastAsia="Times New Roman" w:hAnsi="Times New Roman"/>
          <w:sz w:val="21"/>
          <w:szCs w:val="21"/>
          <w:u w:val="single" w:color="auto"/>
          <w:color w:val="auto"/>
        </w:rPr>
        <w:t>Section 13.6</w:t>
      </w:r>
      <w:r>
        <w:rPr>
          <w:rFonts w:ascii="Times New Roman" w:cs="Times New Roman" w:eastAsia="Times New Roman" w:hAnsi="Times New Roman"/>
          <w:sz w:val="21"/>
          <w:szCs w:val="21"/>
          <w:color w:val="auto"/>
        </w:rPr>
        <w:t>. Nothing in this Section shall affect the right of any party to serve process in any other manner permitted by law or limit the right of Lenders or Administrative Agent (or any of them) to bring any such action or proceeding against any party hereto, or any of their property in the courts with subject matter jurisdiction of any other jurisdiction. Each of the parties irrevocably waives any objection to the laying of venue of any such suit or proceeding in the above described courts.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Law of Texas</w:t>
      </w:r>
    </w:p>
    <w:p>
      <w:pPr>
        <w:spacing w:after="0" w:line="179" w:lineRule="exact"/>
        <w:rPr>
          <w:sz w:val="20"/>
          <w:szCs w:val="20"/>
          <w:color w:val="auto"/>
        </w:rPr>
      </w:pPr>
    </w:p>
    <w:p>
      <w:pPr>
        <w:jc w:val="both"/>
        <w:ind w:firstLine="8"/>
        <w:spacing w:after="0" w:line="215" w:lineRule="auto"/>
        <w:tabs>
          <w:tab w:leader="none" w:pos="108"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the Notes and, except where otherwise expressly specified therein to be governed by local law, the other Loan Documents shall be governed by and construed and enforced in accordance with the laws of the State of Texas (without regard to its conflict of laws provisions). 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u w:val="single" w:color="auto"/>
          <w:color w:val="auto"/>
        </w:rPr>
        <w:t>Interest</w:t>
      </w:r>
    </w:p>
    <w:p>
      <w:pPr>
        <w:spacing w:after="0" w:line="179" w:lineRule="exact"/>
        <w:rPr>
          <w:sz w:val="20"/>
          <w:szCs w:val="20"/>
          <w:color w:val="auto"/>
        </w:rPr>
      </w:pPr>
    </w:p>
    <w:p>
      <w:pPr>
        <w:jc w:val="both"/>
        <w:ind w:firstLine="8"/>
        <w:spacing w:after="0" w:line="210" w:lineRule="auto"/>
        <w:tabs>
          <w:tab w:leader="none" w:pos="108"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Borrower and each Lender in the execution and performance of this Agreement and the other Loan Documents to contract in strict compliance with applicable usury laws, including conflicts of law concepts, governing the Advances of each Lender including such applicable laws of the State of Texas, if any, and the United States of America from time to time in effect. In furtherance thereof, Lenders and Borrower stipulate and agree that none of the terms and provisions contained in this Agreement or the other Loan Documents shall ever be construed to create a contract to pay, as consideration for the use, forbearance or detention of money, interest at a rate in excess of the maximum nonusurious interest rate under applicable law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and that for purposes of this Agreement “interest” shall include the aggregate of all charges which constitute interest under such laws that are contracted for, charged or received under this Agreement; and in the event that, notwithstanding the foregoing, under any circumstances the aggregate amounts taken, reserved, charged, received or paid on the Advances, include amounts which by applicable law are deemed interest which would exceed the Maximum Rate, then such excess shall be deemed to be a mistake and each Lender receiving same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1240"/>
          </w:cols>
          <w:pgMar w:left="320" w:top="1395" w:right="339" w:bottom="1440" w:gutter="0" w:footer="0" w:header="0"/>
        </w:sectPr>
      </w:pPr>
    </w:p>
    <w:bookmarkStart w:id="178" w:name="page179"/>
    <w:bookmarkEnd w:id="178"/>
    <w:p>
      <w:pPr>
        <w:jc w:val="both"/>
        <w:spacing w:after="0" w:line="209" w:lineRule="auto"/>
        <w:rPr>
          <w:sz w:val="20"/>
          <w:szCs w:val="20"/>
          <w:color w:val="auto"/>
        </w:rPr>
      </w:pPr>
      <w:r>
        <w:rPr>
          <w:rFonts w:ascii="Times New Roman" w:cs="Times New Roman" w:eastAsia="Times New Roman" w:hAnsi="Times New Roman"/>
          <w:sz w:val="22"/>
          <w:szCs w:val="22"/>
          <w:color w:val="auto"/>
        </w:rPr>
        <w:t>credit the same on the outstanding principal of the Indebtedness (other than Lender Hedging Obligations and Lender Product Obligations) owing to such Lender (or if such Indebtedness shall have been paid in full, refund said excess to Borrower). In the event that the maturity of the Indebtedness (other than Lender Hedging Obligations and Lender Product Obligations) is accelerated by reason of any election of the holder thereof resulting from any Event of Default under this Agreement or otherwise, or in the event of any required or permitted prepayment, then such consideration that constitutes interest may never include more than the Maximum Rate, and excess interest, if any, provided for in this Agreement or otherwise shall be canceled automatically as of the date of such acceleration or prepayment and, if theretofore paid, shall be credited on such Indebtedness (or, if such Indebtedness shall have been paid in full, refunded to Borrower of such interest). In determining whether or not the interest paid or payable under any specific contingencies exceeds the Maximum Rate, Borrower and Lenders shall to the maximum extent permitted under applicable law amortize, prorate, allocate and spread in equal parts during the period of the full stated term of the Indebtedness all amounts considered to be interest under applicable law at any time contracted for, charged, received or reserved in connection with the Indebtedness. The provisions of this Section shall control over all other provisions of this Agreement or the other Loan Documents which may be in apparent conflict herewith. For purposes of determining the Maximum Rate under the law of the State of Texas, the applicable interest rate ceiling shall be the “weekly ceiling” from time to time in effect under Chapter 303 of the Texas Finance Code, as amended.</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Closing Costs and Other Costs; Indemnification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7" w:lineRule="auto"/>
        <w:tabs>
          <w:tab w:leader="none" w:pos="1953"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shall pay or reimburse (i) Administrative Agent and its Affiliates for payment of, on demand, all reasonable and documented out-of-pocket costs and expenses, including, by way of description and not limitation, reasonable outside attorney fees and advisor fees and advances, appraisal and accounting fees, lien search fees, and required travel costs, incurred by Administrative Agent and its Affiliates in connection with the commitment, syndication, negotiation, consummation, closing and funding of the loans contemplated hereby, or in connection with the preparation, administration or enforcement of this Agreement or the other Loan Documents (including the obtaining of legal advice regarding the rights and responsibilities of the parties hereto) or any refinancing or restructuring of the loans or Advances provided under this Agreement or the other Loan Documents, or any amendment, revision, modification, consent or waiver thereof requested by Borrower, and (ii) Administrative Agent and its Affiliates and each of Lenders, as the case may be, for all stamp and other taxes and duties payable or determined to be payable in connection with the execution, delivery, filing or recording of this Agreement and the other Loan Documents and the consummation of the transactions contemplated hereby (other than Excluded Taxes), and any and all liabilities with respect to or resulting from any delay in paying or omitting to pay such taxes or duties. Furthermore, Borrower shall pay or reimburse all reasonable and documented out-of </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pocket costs and expenses, including without limitation reasonable attorney fees and advisor fees, incurred by Administrative Agent and its Affiliates and, after the occurrence and during the continuance of an Event of Default, by Lenders in revising, preserving, protecting, exercising or enforcing any of its or any of Lenders’ rights against Borrower or any other Credit Party, or otherwise incurred by Administrative Agent and its Affiliates and Lenders in connection with any Event of Default or the enforcement of the Advances (whether incurred through negotiations, legal proceedings or otherwise), including by way of description and not limitation, such charges in any court or bankruptcy proceedings or arising out of any claim or action by any person against Administrative Agent, its Affiliates, or any Lender which would not have been asserted were it not for Administrative Agent’s or such Affiliate’s or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1240"/>
          </w:cols>
          <w:pgMar w:left="320" w:top="1395" w:right="339" w:bottom="1440" w:gutter="0" w:footer="0" w:header="0"/>
        </w:sectPr>
      </w:pPr>
    </w:p>
    <w:bookmarkStart w:id="179" w:name="page180"/>
    <w:bookmarkEnd w:id="179"/>
    <w:p>
      <w:pPr>
        <w:ind w:left="660"/>
        <w:spacing w:after="0" w:line="236" w:lineRule="auto"/>
        <w:rPr>
          <w:sz w:val="20"/>
          <w:szCs w:val="20"/>
          <w:color w:val="auto"/>
        </w:rPr>
      </w:pPr>
      <w:r>
        <w:rPr>
          <w:rFonts w:ascii="Times New Roman" w:cs="Times New Roman" w:eastAsia="Times New Roman" w:hAnsi="Times New Roman"/>
          <w:sz w:val="22"/>
          <w:szCs w:val="22"/>
          <w:color w:val="auto"/>
        </w:rPr>
        <w:t xml:space="preserve">relationship with Borrower hereunder or otherwise, shall also be paid by Borrower. Borrower shall pay any amounts due under this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within thirty (30) days of the receipt by Borrower of notice of the amount due.</w:t>
      </w:r>
    </w:p>
    <w:p>
      <w:pPr>
        <w:spacing w:after="0" w:line="150" w:lineRule="exact"/>
        <w:rPr>
          <w:sz w:val="20"/>
          <w:szCs w:val="20"/>
          <w:color w:val="auto"/>
        </w:rPr>
      </w:pPr>
    </w:p>
    <w:p>
      <w:pPr>
        <w:jc w:val="both"/>
        <w:ind w:left="660" w:firstLine="644"/>
        <w:spacing w:after="0" w:line="218" w:lineRule="auto"/>
        <w:tabs>
          <w:tab w:leader="none" w:pos="1951"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AGREES TO INDEMNIFY AND HOLD ADMINISTRATIVE AGENT, ISSUING LENDER AND EACH LENDER AND EACH RELATED PARTY OF ANY OF THE FOREGOING PERSONS (EACH, AN “</w:t>
      </w:r>
      <w:r>
        <w:rPr>
          <w:rFonts w:ascii="Times New Roman" w:cs="Times New Roman" w:eastAsia="Times New Roman" w:hAnsi="Times New Roman"/>
          <w:sz w:val="21"/>
          <w:szCs w:val="21"/>
          <w:u w:val="single" w:color="auto"/>
          <w:color w:val="auto"/>
        </w:rPr>
        <w:t>INDEMNIFIED PERSON</w:t>
      </w:r>
      <w:r>
        <w:rPr>
          <w:rFonts w:ascii="Times New Roman" w:cs="Times New Roman" w:eastAsia="Times New Roman" w:hAnsi="Times New Roman"/>
          <w:sz w:val="21"/>
          <w:szCs w:val="21"/>
          <w:color w:val="auto"/>
        </w:rPr>
        <w:t>”) HARMLESS FROM ALL LOSS, COST, DAMAGE, LIABILITY OR EXPENSES, INCLUDING REASONABLE DOCUMENTED OUTSIDE ATTORNEYS’ FEES AND DISBURSEMENTS (BUT WITHOUT DUPLICATION OF SUCH FEES AND DISBURSEMENTS FOR THE SAME SERVICES), INCURRED BY ANY INDEMNIFIED PERSON BY REASON OF AN EVENT OF DEFAULT, OR ENFORCING THE OBLIGATIONS OF ANY CREDIT PARTY UNDER THIS AGREEMENT OR ANY OF THE OTHER LOAN DOCUMENTS, AS APPLICABLE, OR IN THE PROSECUTION OR DEFENSE OF ANY ACTION OR PROCEEDING CONCERNING ANY MATTER GROWING OUT OF OR CONNECTED WITH THIS AGREEMENT OR ANY OF THE LOAN DOCUMENTS, EXCLUDING, HOWEVER, ANY LOSS, COST, DAMAGE, LIABILITY OR EXPENSES TO THE EXTENT ARISING, AS TO ANY INDEMNIFIED PERSON, (1) AS A RESULT OF THE GROSS NEGLIGENCE OR WILLFUL MISCONDUCT OF SUCH INDEMNIFIED PERSON, AS DETERMINED BY A COURT OF COMPETENT JURISDICTION IN A FINAL NON-APPEALABLE JUDGMENT, (2) AS A RESULT OF A MATERIAL BREACH IN BAD FAITH BY SUCH INDEMNIFIED PERSON OF ITS OBLIGATIONS UNDER THIS AGREEMENT OR ANY LOAN DOCUMENT, AS DETERMINED BY A COURT OF COMPETENT JURISDICTION IN A FINAL NON-APPEALABLE JUDGMENT, OR (3) AS A RESULT OF DISPUTES SOLELY BETWEEN INDEMNIFIED PERSONS AND NOT RELATING TO ANY ACTION OF SUCH INDEMNIFIED PARTY IN ITS CAPACITY AS ADMINISTRATIVE AGENT OR ISSUING LENDER.</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08" w:lineRule="auto"/>
        <w:tabs>
          <w:tab w:leader="none" w:pos="195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AGREES TO DEFEND, INDEMNIFY AND HOLD HARMLESS EACH INDEMNIFIED PERSON FROM AND AGAINST ANY AND ALL CLAIMS, DEMANDS, PENALTIES, FINES, LIABILITIES, SETTLEMENTS, DAMAGES, COSTS OR EXPENSES OF WHATEVER KIND OR NATURE (INCLUDING WITHOUT LIMITATION, REASONABLE AND DOCUMENTED ATTORNEYS AND CONSULTANTS FEES, INVESTIGATION AND LABORATORY FEES, ENVIRONMENTAL STUDIES REQUIRED BY ADMINISTRATIVE AGENT OR ANY LENDER IN CONNECTION WITH THE VIOLATION OF HAZARDOUS MATERIAL LAWS), COURT COSTS AND LITIGATION EXPENSES, ARISING OUT OF OR RELATED TO (I) THE PRESENCE, USE, DISPOSAL, RELEASE OR THREATENED RELEASE OF ANY HAZARDOUS MATERIALS ON, FROM OR AFFECTING ANY PREMISES OWNED OR OCCUPIED BY ANY CREDIT PARTY IN VIOLATION OF OR THE NON-COMPLIANCE WITH APPLICABLE HAZARDOUS MATERIAL LAWS, (II) ANY PERSONAL INJURY (INCLUDING WRONGFUL DEATH) OR PROPERTY DAMAGE (REAL OR PERSONAL) ARISING OUT OF OR RELATED TO SUCH HAZARDOUS MATERIALS, (III) ANY LAWSUIT OR OTHER PROCEEDING BROUGHT OR THREATENED, SETTLEMENT REACHED OR GOVERNMENTAL ORDER OR DECREE RELATING TO SUCH HAZARDOUS MATERIALS, AND/OR (IV) COMPLYING OR COMING INTO COMPLIANCE WITH ALL HAZARDOUS MATERIAL LAWS (INCLUDING THE COST OF ANY REMEDIATION OR MONITORING REQUIRED IN CONNECTION THEREWITH) OR ANY OTHER REQUIREMENT OF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BORROWER SHALL HAVE NO OBLIGATIONS UNDER THIS </w:t>
      </w:r>
      <w:r>
        <w:rPr>
          <w:rFonts w:ascii="Times New Roman" w:cs="Times New Roman" w:eastAsia="Times New Roman" w:hAnsi="Times New Roman"/>
          <w:sz w:val="22"/>
          <w:szCs w:val="22"/>
          <w:u w:val="single" w:color="auto"/>
          <w:color w:val="auto"/>
        </w:rPr>
        <w:t>SECTION 13.5(C)</w:t>
      </w:r>
      <w:r>
        <w:rPr>
          <w:rFonts w:ascii="Times New Roman" w:cs="Times New Roman" w:eastAsia="Times New Roman" w:hAnsi="Times New Roman"/>
          <w:sz w:val="22"/>
          <w:szCs w:val="22"/>
          <w:color w:val="auto"/>
        </w:rPr>
        <w:t xml:space="preserv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1240"/>
          </w:cols>
          <w:pgMar w:left="320" w:top="1395" w:right="339" w:bottom="1440" w:gutter="0" w:footer="0" w:header="0"/>
        </w:sectPr>
      </w:pPr>
    </w:p>
    <w:bookmarkStart w:id="180" w:name="page181"/>
    <w:bookmarkEnd w:id="180"/>
    <w:p>
      <w:pPr>
        <w:jc w:val="both"/>
        <w:ind w:left="660"/>
        <w:spacing w:after="0" w:line="211" w:lineRule="auto"/>
        <w:rPr>
          <w:sz w:val="20"/>
          <w:szCs w:val="20"/>
          <w:color w:val="auto"/>
        </w:rPr>
      </w:pPr>
      <w:r>
        <w:rPr>
          <w:rFonts w:ascii="Times New Roman" w:cs="Times New Roman" w:eastAsia="Times New Roman" w:hAnsi="Times New Roman"/>
          <w:sz w:val="22"/>
          <w:szCs w:val="22"/>
          <w:color w:val="auto"/>
        </w:rPr>
        <w:t xml:space="preserve">CLAIMS, DEMANDS, PENALTIES, FINES, LIABILITIES, SETTLEMENTS, DAMAGES, COSTS OR EXPENSES OWING TO ANY INDEMNIFIED PERSON TO THE EXTENT ARISING (A) AS A RESULT OF THE GROSS NEGLIGENCE OR WILLFUL MISCONDUCT OF SUCH INDEMNIFIED PERSON, AS DETERMINED BY A COURT OF COMPETENT JURISDICTION IN A FINAL NON-APPEALABLE JUDGMENT, OR (B) AFTER SUCH INDEMNIFIED PERSON THEREOF TAKES POSSESSION OR CONTROL OF THE RELEVANT PROPERTY AND NOT RESULTING FROM ANY ACTIONS OR OMISSIONS OF BORROWER, PARENT OR ANY OF ITS SUBSIDIARIES. THE OBLIGATIONS OF BORROWER UNDER THIS </w:t>
      </w:r>
      <w:r>
        <w:rPr>
          <w:rFonts w:ascii="Times New Roman" w:cs="Times New Roman" w:eastAsia="Times New Roman" w:hAnsi="Times New Roman"/>
          <w:sz w:val="22"/>
          <w:szCs w:val="22"/>
          <w:u w:val="single" w:color="auto"/>
          <w:color w:val="auto"/>
        </w:rPr>
        <w:t>SECTION 13.5(C)</w:t>
      </w:r>
      <w:r>
        <w:rPr>
          <w:rFonts w:ascii="Times New Roman" w:cs="Times New Roman" w:eastAsia="Times New Roman" w:hAnsi="Times New Roman"/>
          <w:sz w:val="22"/>
          <w:szCs w:val="22"/>
          <w:color w:val="auto"/>
        </w:rPr>
        <w:t xml:space="preserve"> SHALL BE IN ADDITION TO ANY AND ALL OTHER OBLIGATIONS AND LIABILITIES BORROWER MAY HAVE TO ADMINISTRATIVE AGENT, ANY OF LENDERS OR ANY OTHER INDEMNIFIED PERSON AT COMMON LAW OR PURSUANT TO ANY OTHER AGREEMENT.</w:t>
      </w:r>
    </w:p>
    <w:p>
      <w:pPr>
        <w:spacing w:after="0" w:line="152" w:lineRule="exact"/>
        <w:rPr>
          <w:sz w:val="20"/>
          <w:szCs w:val="20"/>
          <w:color w:val="auto"/>
        </w:rPr>
      </w:pPr>
    </w:p>
    <w:p>
      <w:pPr>
        <w:jc w:val="both"/>
        <w:ind w:left="660" w:firstLine="644"/>
        <w:spacing w:after="0" w:line="215" w:lineRule="auto"/>
        <w:tabs>
          <w:tab w:leader="none" w:pos="195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(i) no Credit Party shall assert, and each hereby waives, any claim against any Indemnified Person and (ii) neither the Administrative Agent, nor any Issuing Lender or any Lender shall assert, and each hereby waives, any claim against any Credit Party, in each case, on any theory of liability, for special, indirect, consequential or punitive damages (as opposed to direct or actual damages) arising out of, in connection with, or as a result of, this Agreement or any agreement or instrument contemplated hereby, the transaction contemplated hereby, any Advance or Letter of Credit or the use of the proceeds thereof.</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Notices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08" w:lineRule="auto"/>
        <w:tabs>
          <w:tab w:leader="none" w:pos="195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otherwise in this Agreement (and except as provided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w:t>
      </w:r>
      <w:r>
        <w:rPr>
          <w:rFonts w:ascii="Times New Roman" w:cs="Times New Roman" w:eastAsia="Times New Roman" w:hAnsi="Times New Roman"/>
          <w:sz w:val="22"/>
          <w:szCs w:val="22"/>
          <w:u w:val="single" w:color="auto"/>
          <w:color w:val="auto"/>
        </w:rPr>
        <w:t>Schedule 13.6</w:t>
      </w:r>
      <w:r>
        <w:rPr>
          <w:rFonts w:ascii="Times New Roman" w:cs="Times New Roman" w:eastAsia="Times New Roman" w:hAnsi="Times New Roman"/>
          <w:sz w:val="22"/>
          <w:szCs w:val="22"/>
          <w:color w:val="auto"/>
        </w:rPr>
        <w:t xml:space="preserve"> or at such other address as may be designated by such party in a notice to the other parties that complies as to delivery with the terms of this </w:t>
      </w:r>
      <w:r>
        <w:rPr>
          <w:rFonts w:ascii="Times New Roman" w:cs="Times New Roman" w:eastAsia="Times New Roman" w:hAnsi="Times New Roman"/>
          <w:sz w:val="22"/>
          <w:szCs w:val="22"/>
          <w:u w:val="single" w:color="auto"/>
          <w:color w:val="auto"/>
        </w:rPr>
        <w:t>Section 13.6</w:t>
      </w:r>
      <w:r>
        <w:rPr>
          <w:rFonts w:ascii="Times New Roman" w:cs="Times New Roman" w:eastAsia="Times New Roman" w:hAnsi="Times New Roman"/>
          <w:sz w:val="22"/>
          <w:szCs w:val="22"/>
          <w:color w:val="auto"/>
        </w:rPr>
        <w:t xml:space="preserve"> or posted to an E-System set up by or at the direction of Administrative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Administrative Agent may, but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 written notice shall control. Any notice given by Administrative Agent or any Lender to Borrower shall be deemed to be a notice to all of the Credit Parties.</w:t>
      </w:r>
    </w:p>
    <w:p>
      <w:pPr>
        <w:spacing w:after="0" w:line="164"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provided to Administrative Agent, the Issuing Lenders and Lenders party hereto under this Agreement or any other Loan Document may be delivered or furnished by electronic communication (including email and Internet or intranet websites) pursuant to procedures approved by Administrative Agent; provided that the foregoing shall not apply to notices pursuant to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1240"/>
          </w:cols>
          <w:pgMar w:left="320" w:top="1395" w:right="339" w:bottom="1440" w:gutter="0" w:footer="0" w:header="0"/>
        </w:sectPr>
      </w:pPr>
    </w:p>
    <w:bookmarkStart w:id="181" w:name="page182"/>
    <w:bookmarkEnd w:id="181"/>
    <w:p>
      <w:pPr>
        <w:jc w:val="both"/>
        <w:ind w:left="660"/>
        <w:spacing w:after="0" w:line="211" w:lineRule="auto"/>
        <w:rPr>
          <w:sz w:val="20"/>
          <w:szCs w:val="20"/>
          <w:color w:val="auto"/>
        </w:rPr>
      </w:pP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to Compliance Certificates delivered pursuant to </w:t>
      </w:r>
      <w:r>
        <w:rPr>
          <w:rFonts w:ascii="Times New Roman" w:cs="Times New Roman" w:eastAsia="Times New Roman" w:hAnsi="Times New Roman"/>
          <w:sz w:val="22"/>
          <w:szCs w:val="22"/>
          <w:u w:val="single" w:color="auto"/>
          <w:color w:val="auto"/>
        </w:rPr>
        <w:t>Section 7.2(a)</w:t>
      </w:r>
      <w:r>
        <w:rPr>
          <w:rFonts w:ascii="Times New Roman" w:cs="Times New Roman" w:eastAsia="Times New Roman" w:hAnsi="Times New Roman"/>
          <w:sz w:val="22"/>
          <w:szCs w:val="22"/>
          <w:color w:val="auto"/>
        </w:rPr>
        <w:t xml:space="preserve"> unless otherwise agreed by the Administrative Agent, the applicable Issuing Lender or the applicable Lender, as the case may be. Administrative Agent or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other communication is available and identifying the website address therefore.</w:t>
      </w:r>
    </w:p>
    <w:p>
      <w:pPr>
        <w:spacing w:after="0" w:line="152" w:lineRule="exact"/>
        <w:rPr>
          <w:sz w:val="20"/>
          <w:szCs w:val="20"/>
          <w:color w:val="auto"/>
        </w:rPr>
      </w:pPr>
    </w:p>
    <w:p>
      <w:pPr>
        <w:jc w:val="both"/>
        <w:ind w:left="660" w:firstLine="644"/>
        <w:spacing w:after="0" w:line="209" w:lineRule="auto"/>
        <w:tabs>
          <w:tab w:leader="none" w:pos="1953"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Borrower, the Administrative Agent and each Issuing Lender may change its address, facsimile or telephone number for notices and other communications hereunder by notice to the other parties hereto. Each other Lender may change its address, facsimile or telephone number for notices and other communications hereunder by notice to Borrower, the Administrative Agent and each Issuing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Borrower or its securities for purposes of United States Federal or state securities laws.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Successors and Assigns; Participations; Assignments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0" w:lineRule="auto"/>
        <w:tabs>
          <w:tab w:leader="none" w:pos="195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Generally</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 assigns permitted hereby, except that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1240"/>
          </w:cols>
          <w:pgMar w:left="320" w:top="1395" w:right="339" w:bottom="1440" w:gutter="0" w:footer="0" w:header="0"/>
        </w:sectPr>
      </w:pPr>
    </w:p>
    <w:bookmarkStart w:id="182" w:name="page183"/>
    <w:bookmarkEnd w:id="182"/>
    <w:p>
      <w:pPr>
        <w:jc w:val="both"/>
        <w:ind w:left="660" w:firstLine="644"/>
        <w:spacing w:after="0" w:line="236" w:lineRule="auto"/>
        <w:tabs>
          <w:tab w:leader="none" w:pos="1951"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Lenders</w:t>
      </w:r>
      <w:r>
        <w:rPr>
          <w:rFonts w:ascii="Times New Roman" w:cs="Times New Roman" w:eastAsia="Times New Roman" w:hAnsi="Times New Roman"/>
          <w:sz w:val="21"/>
          <w:szCs w:val="21"/>
          <w:color w:val="auto"/>
        </w:rPr>
        <w:t xml:space="preserve">. Any Lender may at any time assign to one or more assignees all or a portion of its rights and obligations under this Agreement (including all or a portion of its Revolving Credit Commitment Amount and the Advances at the time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assignment shall be subject to the following conditions:</w:t>
      </w:r>
    </w:p>
    <w:p>
      <w:pPr>
        <w:spacing w:after="0" w:line="151" w:lineRule="exact"/>
        <w:rPr>
          <w:rFonts w:ascii="Times New Roman" w:cs="Times New Roman" w:eastAsia="Times New Roman" w:hAnsi="Times New Roman"/>
          <w:sz w:val="21"/>
          <w:szCs w:val="21"/>
          <w:color w:val="auto"/>
        </w:rPr>
      </w:pPr>
    </w:p>
    <w:p>
      <w:pPr>
        <w:ind w:left="2580" w:hanging="628"/>
        <w:spacing w:after="0"/>
        <w:tabs>
          <w:tab w:leader="none" w:pos="258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960" w:right="20" w:firstLine="640"/>
        <w:spacing w:after="0" w:line="225" w:lineRule="auto"/>
        <w:tabs>
          <w:tab w:leader="none" w:pos="3245" w:val="left"/>
        </w:tabs>
        <w:numPr>
          <w:ilvl w:val="2"/>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of the entire remaining amount of the assigning Lender’s Revolving Credit Commitment Amount and/or the Advances at the time owing to it, no minimum amount need be assigned; and</w:t>
      </w:r>
    </w:p>
    <w:p>
      <w:pPr>
        <w:spacing w:after="0" w:line="152" w:lineRule="exact"/>
        <w:rPr>
          <w:rFonts w:ascii="Times New Roman" w:cs="Times New Roman" w:eastAsia="Times New Roman" w:hAnsi="Times New Roman"/>
          <w:sz w:val="22"/>
          <w:szCs w:val="22"/>
          <w:color w:val="auto"/>
        </w:rPr>
      </w:pPr>
    </w:p>
    <w:p>
      <w:pPr>
        <w:jc w:val="both"/>
        <w:ind w:left="1960" w:firstLine="640"/>
        <w:spacing w:after="0" w:line="211" w:lineRule="auto"/>
        <w:tabs>
          <w:tab w:leader="none" w:pos="3247" w:val="left"/>
        </w:tabs>
        <w:numPr>
          <w:ilvl w:val="2"/>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case not described in paragraph (b)(i)(A) of this Section, the aggregate amount of the Revolving Credit Commitment Amount (which for this purpose includes Advances outstanding thereunder) or, if the applicable Revolving Credit Commitment Amount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is specified in the Assignment and Assumption, as of the Trade Date) shall not be less than $5,000,000, unless each of the Administrative Agent and, so long as no Event of Default has occurred and is continuing, Borrower otherwise consents (each such consent not to be unreasonably withheld or delayed).</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Lender’s rights and obligations under this Agreement with respect to the Advance or the Revolving Credit Commitment Amount assigned.</w:t>
      </w:r>
    </w:p>
    <w:p>
      <w:pPr>
        <w:spacing w:after="0" w:line="152"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96"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No consent shall be required for any assignment except to the extent required by paragraph (b)(i)(B) of this Section and, in addition:</w:t>
      </w:r>
    </w:p>
    <w:p>
      <w:pPr>
        <w:spacing w:after="0" w:line="150" w:lineRule="exact"/>
        <w:rPr>
          <w:rFonts w:ascii="Times New Roman" w:cs="Times New Roman" w:eastAsia="Times New Roman" w:hAnsi="Times New Roman"/>
          <w:sz w:val="22"/>
          <w:szCs w:val="22"/>
          <w:color w:val="auto"/>
        </w:rPr>
      </w:pPr>
    </w:p>
    <w:p>
      <w:pPr>
        <w:jc w:val="both"/>
        <w:ind w:left="1960" w:firstLine="640"/>
        <w:spacing w:after="0" w:line="226" w:lineRule="auto"/>
        <w:tabs>
          <w:tab w:leader="none" w:pos="3245" w:val="left"/>
        </w:tabs>
        <w:numPr>
          <w:ilvl w:val="2"/>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Borrower (such consent not to be unreasonably withheld or delayed) shall be required unless (x) an Event of Default has occurred and is continuing at the time of such assignment, or</w:t>
      </w:r>
    </w:p>
    <w:p>
      <w:pPr>
        <w:spacing w:after="0" w:line="1" w:lineRule="exact"/>
        <w:rPr>
          <w:rFonts w:ascii="Times New Roman" w:cs="Times New Roman" w:eastAsia="Times New Roman" w:hAnsi="Times New Roman"/>
          <w:sz w:val="21"/>
          <w:szCs w:val="21"/>
          <w:color w:val="auto"/>
        </w:rPr>
      </w:pPr>
    </w:p>
    <w:p>
      <w:pPr>
        <w:ind w:left="1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such assignment is to a Lender or an Affiliate of a Lender;</w:t>
      </w:r>
    </w:p>
    <w:p>
      <w:pPr>
        <w:spacing w:after="0" w:line="155" w:lineRule="exact"/>
        <w:rPr>
          <w:rFonts w:ascii="Times New Roman" w:cs="Times New Roman" w:eastAsia="Times New Roman" w:hAnsi="Times New Roman"/>
          <w:sz w:val="21"/>
          <w:szCs w:val="21"/>
          <w:color w:val="auto"/>
        </w:rPr>
      </w:pPr>
    </w:p>
    <w:p>
      <w:pPr>
        <w:jc w:val="both"/>
        <w:ind w:left="1960" w:firstLine="640"/>
        <w:spacing w:after="0" w:line="225" w:lineRule="auto"/>
        <w:tabs>
          <w:tab w:leader="none" w:pos="3247" w:val="left"/>
        </w:tabs>
        <w:numPr>
          <w:ilvl w:val="2"/>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if such assignment is to a Person that is not a Lender or an Affiliate of such Lender; and</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Issuing Lender.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84"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The parties to each assignment shall execute and deliver to the Administrative Agent an Assignment and Assumption, together with a processing and recordation fee of $3,500 for which Borrower shall not be responsible;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may, in its sole discretion, elect to waive such processing and recordation fee in the case of any assignment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assignee, if it is not a Lender, shall deliver to the Administrative Agent an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1240"/>
          </w:cols>
          <w:pgMar w:left="320" w:top="1395" w:right="339" w:bottom="1440" w:gutter="0" w:footer="0" w:header="0"/>
        </w:sectPr>
      </w:pPr>
    </w:p>
    <w:bookmarkStart w:id="183" w:name="page184"/>
    <w:bookmarkEnd w:id="183"/>
    <w:p>
      <w:pPr>
        <w:jc w:val="both"/>
        <w:ind w:left="1300" w:firstLine="652"/>
        <w:spacing w:after="0" w:line="222" w:lineRule="auto"/>
        <w:tabs>
          <w:tab w:leader="none" w:pos="2591" w:val="left"/>
        </w:tabs>
        <w:numPr>
          <w:ilvl w:val="1"/>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 to Certain Persons</w:t>
      </w:r>
      <w:r>
        <w:rPr>
          <w:rFonts w:ascii="Times New Roman" w:cs="Times New Roman" w:eastAsia="Times New Roman" w:hAnsi="Times New Roman"/>
          <w:sz w:val="21"/>
          <w:szCs w:val="21"/>
          <w:color w:val="auto"/>
        </w:rPr>
        <w:t>. No such assignment shall be made to (A) Borrower or any of Borrower’s Affiliates or Subsidiaries, (B) to any Defaulting Lender or any of its Subsidiaries, or any Person who, upon becoming a Lender hereunder, would constitute any of the foregoing Persons described in this clause (B) or</w:t>
      </w:r>
    </w:p>
    <w:p>
      <w:pPr>
        <w:spacing w:after="0" w:line="1" w:lineRule="exact"/>
        <w:rPr>
          <w:rFonts w:ascii="Times New Roman" w:cs="Times New Roman" w:eastAsia="Times New Roman" w:hAnsi="Times New Roman"/>
          <w:sz w:val="21"/>
          <w:szCs w:val="21"/>
          <w:color w:val="auto"/>
        </w:rPr>
      </w:pPr>
    </w:p>
    <w:p>
      <w:pPr>
        <w:ind w:left="1300" w:right="20" w:firstLine="4"/>
        <w:spacing w:after="0" w:line="225" w:lineRule="auto"/>
        <w:tabs>
          <w:tab w:leader="none" w:pos="165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hedge fund, loan fund, investment fund, trust or other similar investment vehicle or entity without the prior written approval of Borrower.</w:t>
      </w:r>
    </w:p>
    <w:p>
      <w:pPr>
        <w:spacing w:after="0" w:line="14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Natural Persons</w:t>
      </w:r>
      <w:r>
        <w:rPr>
          <w:rFonts w:ascii="Times New Roman" w:cs="Times New Roman" w:eastAsia="Times New Roman" w:hAnsi="Times New Roman"/>
          <w:sz w:val="22"/>
          <w:szCs w:val="22"/>
          <w:color w:val="auto"/>
        </w:rPr>
        <w:t>. No such assignment shall be made to a natural Person.</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09" w:lineRule="auto"/>
        <w:tabs>
          <w:tab w:leader="none" w:pos="259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Borrower and the Administrative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Administrative Agent, each Issuing Lender and each other Lender hereunder (and interest accrued thereon), and (y) acquire (and fund as appropriate) its full pro rata share of all Advances and participations in Letters of Credit in accordance with its Revolving Credit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1" w:lineRule="exact"/>
        <w:rPr>
          <w:sz w:val="20"/>
          <w:szCs w:val="20"/>
          <w:color w:val="auto"/>
        </w:rPr>
      </w:pPr>
    </w:p>
    <w:p>
      <w:pPr>
        <w:jc w:val="both"/>
        <w:ind w:left="660"/>
        <w:spacing w:after="0" w:line="219" w:lineRule="auto"/>
        <w:rPr>
          <w:sz w:val="20"/>
          <w:szCs w:val="20"/>
          <w:color w:val="auto"/>
        </w:rPr>
      </w:pPr>
      <w:r>
        <w:rPr>
          <w:rFonts w:ascii="Times New Roman" w:cs="Times New Roman" w:eastAsia="Times New Roman" w:hAnsi="Times New Roman"/>
          <w:sz w:val="21"/>
          <w:szCs w:val="21"/>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 3.4(c)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11.5</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FF0000"/>
          <w:strike w:val="1"/>
        </w:rPr>
        <w:t>Section 11.6</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00"/>
        </w:rPr>
        <w:t>Section 11.9</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00"/>
        </w:rPr>
        <w:t>Section 13.5</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with respect to facts and circumstances occurring prior to the effective date of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such assignment;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59" w:lineRule="exact"/>
        <w:rPr>
          <w:sz w:val="20"/>
          <w:szCs w:val="20"/>
          <w:color w:val="auto"/>
        </w:rPr>
      </w:pPr>
    </w:p>
    <w:p>
      <w:pPr>
        <w:jc w:val="both"/>
        <w:ind w:left="660" w:firstLine="644"/>
        <w:spacing w:after="0" w:line="225" w:lineRule="auto"/>
        <w:tabs>
          <w:tab w:leader="none" w:pos="195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an agent of Borrower, shall maintain at one of its offices in the United States of America a copy of each Assignment and Assumption delivered to it and a register for the recordation of the names and addresses of the Lenders, and the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1240"/>
          </w:cols>
          <w:pgMar w:left="320" w:top="1395" w:right="339" w:bottom="1440" w:gutter="0" w:footer="0" w:header="0"/>
        </w:sectPr>
      </w:pPr>
    </w:p>
    <w:bookmarkStart w:id="184" w:name="page185"/>
    <w:bookmarkEnd w:id="184"/>
    <w:p>
      <w:pPr>
        <w:jc w:val="both"/>
        <w:ind w:left="660"/>
        <w:spacing w:after="0" w:line="227" w:lineRule="auto"/>
        <w:rPr>
          <w:sz w:val="20"/>
          <w:szCs w:val="20"/>
          <w:color w:val="auto"/>
        </w:rPr>
      </w:pPr>
      <w:r>
        <w:rPr>
          <w:rFonts w:ascii="Times New Roman" w:cs="Times New Roman" w:eastAsia="Times New Roman" w:hAnsi="Times New Roman"/>
          <w:sz w:val="21"/>
          <w:szCs w:val="21"/>
          <w:color w:val="auto"/>
        </w:rPr>
        <w:t>Commitment Amounts of, and principal amounts (and stated interest) of the Advances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Borrower, the Administrative Agent and the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54" w:lineRule="exact"/>
        <w:rPr>
          <w:sz w:val="20"/>
          <w:szCs w:val="20"/>
          <w:color w:val="auto"/>
        </w:rPr>
      </w:pPr>
    </w:p>
    <w:p>
      <w:pPr>
        <w:jc w:val="both"/>
        <w:ind w:left="660" w:firstLine="644"/>
        <w:spacing w:after="0" w:line="211" w:lineRule="auto"/>
        <w:tabs>
          <w:tab w:leader="none" w:pos="195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at any time, without the consent of, or notice to, Borrower or the Administrative Agent, sell participations to any Person (other than a natural Person or Borrower or any of Borrower’s Affiliates or 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Revolving Credit Commitment Amount and/or the Advances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Borrower, the Administrative Agent, the Issuing Lenders and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with respect to any payments made by such Lender to its Participant(s).</w:t>
      </w:r>
    </w:p>
    <w:p>
      <w:pPr>
        <w:spacing w:after="0" w:line="152" w:lineRule="exact"/>
        <w:rPr>
          <w:sz w:val="20"/>
          <w:szCs w:val="20"/>
          <w:color w:val="auto"/>
        </w:rPr>
      </w:pPr>
    </w:p>
    <w:p>
      <w:pPr>
        <w:jc w:val="both"/>
        <w:ind w:left="660"/>
        <w:spacing w:after="0" w:line="207" w:lineRule="auto"/>
        <w:rPr>
          <w:sz w:val="20"/>
          <w:szCs w:val="20"/>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2"/>
          <w:szCs w:val="22"/>
          <w:u w:val="single" w:color="auto"/>
          <w:color w:val="auto"/>
        </w:rPr>
        <w:t>Section 13.9(b)</w:t>
      </w:r>
      <w:r>
        <w:rPr>
          <w:rFonts w:ascii="Times New Roman" w:cs="Times New Roman" w:eastAsia="Times New Roman" w:hAnsi="Times New Roman"/>
          <w:sz w:val="22"/>
          <w:szCs w:val="22"/>
          <w:color w:val="auto"/>
        </w:rPr>
        <w:t xml:space="preserve"> that affects such Participant. Borrower agrees that each Participant shall be entitled to the benefits of </w:t>
      </w:r>
      <w:r>
        <w:rPr>
          <w:rFonts w:ascii="Times New Roman" w:cs="Times New Roman" w:eastAsia="Times New Roman" w:hAnsi="Times New Roman"/>
          <w:sz w:val="22"/>
          <w:szCs w:val="22"/>
          <w:u w:val="single" w:color="auto"/>
          <w:color w:val="auto"/>
        </w:rPr>
        <w:t>Section 3.4(c)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Section 11.6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(subject to the requirements and limitations therein, including the requirements under </w:t>
      </w:r>
      <w:r>
        <w:rPr>
          <w:rFonts w:ascii="Times New Roman" w:cs="Times New Roman" w:eastAsia="Times New Roman" w:hAnsi="Times New Roman"/>
          <w:sz w:val="22"/>
          <w:szCs w:val="22"/>
          <w:u w:val="single" w:color="auto"/>
          <w:color w:val="auto"/>
        </w:rPr>
        <w:t>Section 11.9(g)</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 11.9(g)</w:t>
      </w:r>
      <w:r>
        <w:rPr>
          <w:rFonts w:ascii="Times New Roman" w:cs="Times New Roman" w:eastAsia="Times New Roman" w:hAnsi="Times New Roman"/>
          <w:sz w:val="22"/>
          <w:szCs w:val="22"/>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 agrees to be subject to the provisions of </w:t>
      </w:r>
      <w:r>
        <w:rPr>
          <w:rFonts w:ascii="Times New Roman" w:cs="Times New Roman" w:eastAsia="Times New Roman" w:hAnsi="Times New Roman"/>
          <w:sz w:val="22"/>
          <w:szCs w:val="22"/>
          <w:u w:val="single" w:color="auto"/>
          <w:color w:val="auto"/>
        </w:rPr>
        <w:t>Section 13.11</w:t>
      </w:r>
      <w:r>
        <w:rPr>
          <w:rFonts w:ascii="Times New Roman" w:cs="Times New Roman" w:eastAsia="Times New Roman" w:hAnsi="Times New Roman"/>
          <w:sz w:val="22"/>
          <w:szCs w:val="22"/>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2"/>
          <w:szCs w:val="22"/>
          <w:u w:val="single" w:color="auto"/>
          <w:color w:val="auto"/>
        </w:rPr>
        <w:t>Section 3.4(c)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Section 11.6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with respect to any participation, than its participating Lender would have been entitled to receive, unless the sale of the participation to such Participant is made with Borrower’s prior written consent. Each Lender that sells a participation agrees, at Borrower's request and expense, to use reasonable efforts to cooperate with Borrower to effectuate the provisions of </w:t>
      </w:r>
      <w:r>
        <w:rPr>
          <w:rFonts w:ascii="Times New Roman" w:cs="Times New Roman" w:eastAsia="Times New Roman" w:hAnsi="Times New Roman"/>
          <w:sz w:val="22"/>
          <w:szCs w:val="22"/>
          <w:u w:val="single" w:color="auto"/>
          <w:color w:val="auto"/>
        </w:rPr>
        <w:t>Section 13.11</w:t>
      </w:r>
      <w:r>
        <w:rPr>
          <w:rFonts w:ascii="Times New Roman" w:cs="Times New Roman" w:eastAsia="Times New Roman" w:hAnsi="Times New Roman"/>
          <w:sz w:val="22"/>
          <w:szCs w:val="22"/>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2"/>
          <w:szCs w:val="22"/>
          <w:u w:val="single" w:color="auto"/>
          <w:color w:val="auto"/>
        </w:rPr>
        <w:t>Section 9.6</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as though it were a Lender. Each Lender that sells a participation shall, acting solely for this purpose as a non-fiduciary agent of Borrower, maintain a register on which it enters the name and address of each Participant and the principal amounts (and stated interest) of each Participant’s interest in the Advances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1240"/>
          </w:cols>
          <w:pgMar w:left="320" w:top="1395" w:right="339" w:bottom="1440" w:gutter="0" w:footer="0" w:header="0"/>
        </w:sectPr>
      </w:pPr>
    </w:p>
    <w:bookmarkStart w:id="185" w:name="page186"/>
    <w:bookmarkEnd w:id="185"/>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2" w:lineRule="exact"/>
        <w:rPr>
          <w:sz w:val="20"/>
          <w:szCs w:val="20"/>
          <w:color w:val="auto"/>
        </w:rPr>
      </w:pPr>
    </w:p>
    <w:p>
      <w:pPr>
        <w:jc w:val="both"/>
        <w:ind w:left="660" w:firstLine="644"/>
        <w:spacing w:after="0" w:line="220" w:lineRule="auto"/>
        <w:tabs>
          <w:tab w:leader="none" w:pos="1953"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Counterparts</w:t>
      </w:r>
    </w:p>
    <w:p>
      <w:pPr>
        <w:spacing w:after="0" w:line="179" w:lineRule="exact"/>
        <w:rPr>
          <w:sz w:val="20"/>
          <w:szCs w:val="20"/>
          <w:color w:val="auto"/>
        </w:rPr>
      </w:pPr>
    </w:p>
    <w:p>
      <w:pPr>
        <w:jc w:val="both"/>
        <w:ind w:firstLine="8"/>
        <w:spacing w:after="0" w:line="219" w:lineRule="auto"/>
        <w:tabs>
          <w:tab w:leader="none" w:pos="108"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each other Loan Document may be executed in one or more counterparts (and by different parties hereto in different counterparts), each of which shall be deemed an original, but all of which together shall constitute one and the same instrument. Delivery by fax or other electronic transmission of an executed counterpart of a signature page to this Agreement and each other Loan Document shall be effective as delivery of an original executed counterpart of this Agreement and such other Loan Document and the words “execution,” “execute”, “signed,” “signature,” and words of like import in or related to any document to be signed in connection with this Agreement or any other Loan Document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or any other similar state laws based on the Uniform Electronic Transactions Act. Administrative Agent may, in its discretion, require that any such documents and signatures executed electronically or delivered by fax or other electronic transmission be confirmed by a manually-signed original thereof; provided that the failure to request or deliver the same shall not limit the effectiveness of any document or signature executed electronically or delivered by fax or other electronic transmission.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Amendment and Waiver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2" w:lineRule="auto"/>
        <w:tabs>
          <w:tab w:leader="none" w:pos="1953"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of any provision of this Agreement or any other Loan Document, nor consent to any departure by any Credit Party therefrom, shall in any event be effective unless the same shall be in writing and signed by Administrative Agent and the Majority Lenders (or by Administrative Agent at the written request of the Majority Lenders) or, if this Agreement expressly so requires with respect to the subject matter thereof, by all Lenders (and, with respect to any amendments to this Agreement or the other Loan Documents, by the Parent, or any Credit Party or the Guarantors that are signatories thereto), and then such waiver or consent shall be effective only in the specific instance and for the specific purpose for which given. All references in this Agreement to “Lenders” shall refer to all Lenders, unless expressly stated to refer to Majority Lenders or Supermajority Lenders (or the like).</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1240"/>
          </w:cols>
          <w:pgMar w:left="320" w:top="1395" w:right="339" w:bottom="1440" w:gutter="0" w:footer="0" w:header="0"/>
        </w:sectPr>
      </w:pPr>
    </w:p>
    <w:bookmarkStart w:id="186" w:name="page187"/>
    <w:bookmarkEnd w:id="186"/>
    <w:p>
      <w:pPr>
        <w:ind w:left="1300" w:firstLine="652"/>
        <w:spacing w:after="0" w:line="236" w:lineRule="auto"/>
        <w:tabs>
          <w:tab w:leader="none" w:pos="258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increase the stated amount of any Lender’s Revolving Credit Commitment Amount hereunder without such Lender’s consent;</w:t>
      </w:r>
    </w:p>
    <w:p>
      <w:pPr>
        <w:spacing w:after="0" w:line="150"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9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each Lender holding Indebtedness directly affected thereby, do any of the following:</w:t>
      </w:r>
    </w:p>
    <w:p>
      <w:pPr>
        <w:spacing w:after="0" w:line="150" w:lineRule="exact"/>
        <w:rPr>
          <w:rFonts w:ascii="Times New Roman" w:cs="Times New Roman" w:eastAsia="Times New Roman" w:hAnsi="Times New Roman"/>
          <w:sz w:val="22"/>
          <w:szCs w:val="22"/>
          <w:color w:val="auto"/>
        </w:rPr>
      </w:pPr>
    </w:p>
    <w:p>
      <w:pPr>
        <w:ind w:left="1960" w:firstLine="640"/>
        <w:spacing w:after="0" w:line="236" w:lineRule="auto"/>
        <w:tabs>
          <w:tab w:leader="none" w:pos="3245"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interest on, any outstanding Advance or Letter of Credit Obligation or any Fees or other amounts payable hereunder; or</w:t>
      </w:r>
    </w:p>
    <w:p>
      <w:pPr>
        <w:spacing w:after="0" w:line="150" w:lineRule="exact"/>
        <w:rPr>
          <w:rFonts w:ascii="Times New Roman" w:cs="Times New Roman" w:eastAsia="Times New Roman" w:hAnsi="Times New Roman"/>
          <w:sz w:val="22"/>
          <w:szCs w:val="22"/>
          <w:color w:val="auto"/>
        </w:rPr>
      </w:pPr>
    </w:p>
    <w:p>
      <w:pPr>
        <w:jc w:val="both"/>
        <w:ind w:left="1960" w:firstLine="640"/>
        <w:spacing w:after="0" w:line="225" w:lineRule="auto"/>
        <w:tabs>
          <w:tab w:leader="none" w:pos="3247"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postpone any date fixed for any payment of principal of, or interest on, any outstanding Indebtedness (other than Lender Hedging Obligations and Lender Product Obligations) or any Fees or other amounts payable hereunder (except with respect to the payments required under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all Lenders, do any of the</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55" w:lineRule="exact"/>
        <w:rPr>
          <w:rFonts w:ascii="Times New Roman" w:cs="Times New Roman" w:eastAsia="Times New Roman" w:hAnsi="Times New Roman"/>
          <w:sz w:val="22"/>
          <w:szCs w:val="22"/>
          <w:color w:val="auto"/>
        </w:rPr>
      </w:pPr>
    </w:p>
    <w:p>
      <w:pPr>
        <w:jc w:val="both"/>
        <w:ind w:left="1960" w:firstLine="640"/>
        <w:spacing w:after="0" w:line="220" w:lineRule="auto"/>
        <w:tabs>
          <w:tab w:leader="none" w:pos="3245"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of the provisions of this </w:t>
      </w:r>
      <w:r>
        <w:rPr>
          <w:rFonts w:ascii="Times New Roman" w:cs="Times New Roman" w:eastAsia="Times New Roman" w:hAnsi="Times New Roman"/>
          <w:sz w:val="22"/>
          <w:szCs w:val="22"/>
          <w:u w:val="single" w:color="auto"/>
          <w:color w:val="auto"/>
        </w:rPr>
        <w:t>Section 13.9</w:t>
      </w:r>
      <w:r>
        <w:rPr>
          <w:rFonts w:ascii="Times New Roman" w:cs="Times New Roman" w:eastAsia="Times New Roman" w:hAnsi="Times New Roman"/>
          <w:sz w:val="22"/>
          <w:szCs w:val="22"/>
          <w:color w:val="auto"/>
        </w:rPr>
        <w:t xml:space="preserve"> or the definitions of “Majority Lenders”, “Supermajority Lenders” or any other provision of any Loan Document specifying the number or percentage of Lenders required to waive, amend or modify any rights thereunder or make any determination or grant any consent thereunder;</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Borrowing Base or modify the definition of “Borrowing Base”;</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11" w:lineRule="auto"/>
        <w:tabs>
          <w:tab w:leader="none" w:pos="3247"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permitted hereunder or under the Collateral Documents, release all or substantially all of the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Administrative Agent nor any Lender shall be prohibited thereby from proposing or participating in a consensual or nonconsensual debtor-in-possession or similar financing), or release any material guaranty provided by any Person in favor of Administrative Agent and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Administrative Agent shall be entitled, without notice to or any further action or consent of Lenders, to release any Collateral which any Credit Party is permitted to sell, assign or otherwise transfer in compliance with this Agreement or the other Loan Documents or release any guaranty to the extent expressly permitted in this Agreement or any of the other Loan Documents (whether in connection with the sale, transfer or other disposition of the applicable Guarantor or otherwise);</w:t>
      </w:r>
    </w:p>
    <w:p>
      <w:pPr>
        <w:spacing w:after="0" w:line="15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maximum duration of Interest Periods permitted hereunder;</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modify </w:t>
      </w:r>
      <w:r>
        <w:rPr>
          <w:rFonts w:ascii="Times New Roman" w:cs="Times New Roman" w:eastAsia="Times New Roman" w:hAnsi="Times New Roman"/>
          <w:sz w:val="22"/>
          <w:szCs w:val="22"/>
          <w:u w:val="single" w:color="auto"/>
          <w:color w:val="auto"/>
        </w:rPr>
        <w:t>Sections 10.2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10.3</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Maximum Facility Amount; or</w:t>
      </w:r>
    </w:p>
    <w:p>
      <w:pPr>
        <w:spacing w:after="0" w:line="179" w:lineRule="exact"/>
        <w:rPr>
          <w:rFonts w:ascii="Times New Roman" w:cs="Times New Roman" w:eastAsia="Times New Roman" w:hAnsi="Times New Roman"/>
          <w:sz w:val="22"/>
          <w:szCs w:val="22"/>
          <w:color w:val="auto"/>
        </w:rPr>
      </w:pPr>
    </w:p>
    <w:p>
      <w:pPr>
        <w:ind w:left="1960" w:right="20" w:firstLine="640"/>
        <w:spacing w:after="0" w:line="236" w:lineRule="auto"/>
        <w:tabs>
          <w:tab w:leader="none" w:pos="3245"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aggregate Revolving Credit Commitment Amounts to exceed eighty percent (80%) of the Borrowing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1240"/>
          </w:cols>
          <w:pgMar w:left="320" w:top="1395" w:right="339" w:bottom="1440" w:gutter="0" w:footer="0" w:header="0"/>
        </w:sectPr>
      </w:pPr>
    </w:p>
    <w:bookmarkStart w:id="187" w:name="page188"/>
    <w:bookmarkEnd w:id="187"/>
    <w:p>
      <w:pPr>
        <w:jc w:val="both"/>
        <w:ind w:left="1300" w:firstLine="652"/>
        <w:spacing w:after="0" w:line="225" w:lineRule="auto"/>
        <w:tabs>
          <w:tab w:leader="none" w:pos="2584"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waiver or consent that will (A) amend any provision in Article 3 or (B) otherwise affect the rights or duties of any Issuing Lender under this Agreement or any of the other Loan Documents, shall require the written concurrence of such Issuing Lender;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55" w:lineRule="auto"/>
        <w:tabs>
          <w:tab w:leader="none" w:pos="2591"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waiver, or consent that will affect the rights or duties of Administrative Agent under this Agreement or any other Loan Document, shall require the written concurrence of Administrative Agent.</w:t>
      </w:r>
    </w:p>
    <w:p>
      <w:pPr>
        <w:spacing w:after="0" w:line="134" w:lineRule="exact"/>
        <w:rPr>
          <w:rFonts w:ascii="Times New Roman" w:cs="Times New Roman" w:eastAsia="Times New Roman" w:hAnsi="Times New Roman"/>
          <w:sz w:val="21"/>
          <w:szCs w:val="21"/>
          <w:color w:val="auto"/>
        </w:rPr>
      </w:pPr>
    </w:p>
    <w:p>
      <w:pPr>
        <w:jc w:val="both"/>
        <w:ind w:left="660" w:firstLine="644"/>
        <w:spacing w:after="0" w:line="209" w:lineRule="auto"/>
        <w:tabs>
          <w:tab w:leader="none" w:pos="195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 (i) an increase in such Defaulting Lender’s Revolving Credit Commitment Amount, (ii) the waiver, forgiveness or reduction of the principal amount of any Advance or Letter of Credit Obligations owing to such Defaulting Lender (unless all other Lenders affected thereby are treated similarly), (iii) the extension of the final maturity date(s) of such Defaulting Lenders’ portion of any of the Indebtedness or the extension of any commitment to extend credit of such Defaulting Lender, or (iv) any other modification which requires the consent of all Lenders or Lender(s) affected thereby which affects such Defaulting Lender more adversely than the other affected Lenders (other than a modification which results in a reduction of such Defaulting Lender’s Revolving Credit Percentage of any Commitments or repayment of any amounts owing to such Defaulting Lender on a non pro-rata basis). For the avoidance of doubt, a Defaulting Lender shall not have the right to approve or disapprove any redetermination of the Borrowing Base.</w:t>
      </w:r>
    </w:p>
    <w:p>
      <w:pPr>
        <w:spacing w:after="0" w:line="16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nothing in this Agreement shall be interpreted to require that any waiver, amendment, modification or consent to any Commodity Hedging Agreement, Interest Rate Agreement, Letter of Credit Document or any document executed or delivered in connection with any Lender Product require the consent of any Lender.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Administrative Agent may, with the consent of Borrower only, amend, modify or supplement this Agreement or any of the other Loan Documents to cure any ambiguity, omission, mistake, defect or inconsistency.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Confidentiality</w:t>
      </w:r>
    </w:p>
    <w:p>
      <w:pPr>
        <w:spacing w:after="0" w:line="179" w:lineRule="exact"/>
        <w:rPr>
          <w:sz w:val="20"/>
          <w:szCs w:val="20"/>
          <w:color w:val="auto"/>
        </w:rPr>
      </w:pPr>
    </w:p>
    <w:p>
      <w:pPr>
        <w:jc w:val="both"/>
        <w:ind w:firstLine="8"/>
        <w:spacing w:after="0" w:line="210" w:lineRule="auto"/>
        <w:tabs>
          <w:tab w:leader="none" w:pos="108"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the Lenders and the Issuing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or (ii) any actual or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1240"/>
          </w:cols>
          <w:pgMar w:left="320" w:top="1395" w:right="339" w:bottom="1440" w:gutter="0" w:footer="0" w:header="0"/>
        </w:sectPr>
      </w:pPr>
    </w:p>
    <w:bookmarkStart w:id="188" w:name="page189"/>
    <w:bookmarkEnd w:id="188"/>
    <w:p>
      <w:pPr>
        <w:jc w:val="both"/>
        <w:spacing w:after="0" w:line="212" w:lineRule="auto"/>
        <w:rPr>
          <w:sz w:val="20"/>
          <w:szCs w:val="20"/>
          <w:color w:val="auto"/>
        </w:rPr>
      </w:pPr>
      <w:r>
        <w:rPr>
          <w:rFonts w:ascii="Times New Roman" w:cs="Times New Roman" w:eastAsia="Times New Roman" w:hAnsi="Times New Roman"/>
          <w:sz w:val="22"/>
          <w:szCs w:val="22"/>
          <w:color w:val="auto"/>
        </w:rPr>
        <w:t>party (or its Related Parties) to any swap, derivative or other transaction under which payments are to be made by reference to Borrower and its obligations, this Agreement or payments hereunder, (g) on a confidential basis to (i) any Rating Agency in connection with rating the Parent, Borrower or the Restricted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Borrower or (i) to the extent such Information (x) becomes publicly available other than as a result of a breach of this Section or (y) becomes available to the Administrative Agent, any Lender, any Issuing Lender or any of their respective Affiliates on a nonconfidential basis from a source other than Borrower.</w:t>
      </w:r>
    </w:p>
    <w:p>
      <w:pPr>
        <w:spacing w:after="0" w:line="15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means (i) all information received from the Parent, Borrower or any Subsidiary relating to the Parent, Borrower or any Subsidiary, or any of their respective businesses, other than any such information that is available to the Administrative Agent, any Lender or any Issuing Lender on a nonconfidential basis prior to disclosure by the Parent, Borrower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Parent,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any Reserve Report, engineering report, geologic data, financial statements or financial information furnished by Parent or any Credit Party to Administrative Agent or any Lender shall constitute Information and be treated as “confidential” for the purposes of this Section.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Each of the Administrative Agent, the Lenders and the Issuing Lenders acknowledges that (a) the Information may include material non-public information concerning the Parent,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Substitution or Removal of Lenders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09" w:lineRule="auto"/>
        <w:tabs>
          <w:tab w:leader="none" w:pos="1953"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Lender (i) whose obligation to make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Advances has been suspended pursuant to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(ii) that has demanded compensation under </w:t>
      </w:r>
      <w:r>
        <w:rPr>
          <w:rFonts w:ascii="Times New Roman" w:cs="Times New Roman" w:eastAsia="Times New Roman" w:hAnsi="Times New Roman"/>
          <w:sz w:val="22"/>
          <w:szCs w:val="22"/>
          <w:u w:val="single" w:color="auto"/>
          <w:color w:val="auto"/>
        </w:rPr>
        <w:t>Sections 3.4(c)</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rPr>
        <w:t>11.6</w:t>
      </w:r>
      <w:r>
        <w:rPr>
          <w:rFonts w:ascii="Times New Roman" w:cs="Times New Roman" w:eastAsia="Times New Roman" w:hAnsi="Times New Roman"/>
          <w:sz w:val="22"/>
          <w:szCs w:val="22"/>
          <w:color w:val="auto"/>
        </w:rPr>
        <w:t>, (iii) that has become a Defaulting Lender, (iv) that has not approved an increase in the Borrowing Base that has been approved by the Supermajority Lenders or (v) that has failed to consent to a requested amendment, waiver or modification to any Loan Document as to which the Majority Lenders have already consented (in each case, an “</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then Borrower may, at Borrower’s sole expense, require the Affected Lender to sell and assign all of its interests, rights and obligations under this Agreement, including, without limitation, its Revolving Credit Commitment Amount, to an Eligible Assignee (which may be one or more of Lenders) (such assignee shall be referred to herein as the “</w:t>
      </w:r>
      <w:r>
        <w:rPr>
          <w:rFonts w:ascii="Times New Roman" w:cs="Times New Roman" w:eastAsia="Times New Roman" w:hAnsi="Times New Roman"/>
          <w:sz w:val="22"/>
          <w:szCs w:val="22"/>
          <w:u w:val="single" w:color="auto"/>
          <w:color w:val="auto"/>
        </w:rPr>
        <w:t>Purchasing Lender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Purchasing Lenders</w:t>
      </w:r>
      <w:r>
        <w:rPr>
          <w:rFonts w:ascii="Times New Roman" w:cs="Times New Roman" w:eastAsia="Times New Roman" w:hAnsi="Times New Roman"/>
          <w:sz w:val="22"/>
          <w:szCs w:val="22"/>
          <w:color w:val="auto"/>
        </w:rPr>
        <w:t>”) within two (2) Business Days after receiving notice from Borrower requiring it to do so, for an aggregate price equal to the sum of the portion of all Advances made by it, interest and fees accrued for its account through but excluding the date of such payment, and all other amounts payable to it hereunder, from the Purchasing Lender(s) (to the extent of such outstanding principal and accrued interest and fees) or Borrower (in the case of all other amounts,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-1534795</wp:posOffset>
            </wp:positionV>
            <wp:extent cx="1568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6170295</wp:posOffset>
            </wp:positionH>
            <wp:positionV relativeFrom="paragraph">
              <wp:posOffset>-1586230</wp:posOffset>
            </wp:positionV>
            <wp:extent cx="4349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434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1240"/>
          </w:cols>
          <w:pgMar w:left="320" w:top="1395" w:right="339" w:bottom="1440" w:gutter="0" w:footer="0" w:header="0"/>
        </w:sectPr>
      </w:pPr>
    </w:p>
    <w:bookmarkStart w:id="189" w:name="page190"/>
    <w:bookmarkEnd w:id="189"/>
    <w:p>
      <w:pPr>
        <w:jc w:val="both"/>
        <w:ind w:left="660"/>
        <w:spacing w:after="0" w:line="209" w:lineRule="auto"/>
        <w:rPr>
          <w:sz w:val="20"/>
          <w:szCs w:val="20"/>
          <w:color w:val="auto"/>
        </w:rPr>
      </w:pPr>
      <w:r>
        <w:rPr>
          <w:rFonts w:ascii="Times New Roman" w:cs="Times New Roman" w:eastAsia="Times New Roman" w:hAnsi="Times New Roman"/>
          <w:sz w:val="22"/>
          <w:szCs w:val="22"/>
          <w:color w:val="auto"/>
        </w:rPr>
        <w:t xml:space="preserve">limitation, if demanded by the Affected Lender, the amount of any compensation then due to the Affected Lender under </w:t>
      </w:r>
      <w:r>
        <w:rPr>
          <w:rFonts w:ascii="Times New Roman" w:cs="Times New Roman" w:eastAsia="Times New Roman" w:hAnsi="Times New Roman"/>
          <w:sz w:val="22"/>
          <w:szCs w:val="22"/>
          <w:u w:val="single" w:color="auto"/>
          <w:color w:val="auto"/>
        </w:rPr>
        <w:t>Sections 3.4(c)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rPr>
        <w:t>11.6</w:t>
      </w:r>
      <w:r>
        <w:rPr>
          <w:rFonts w:ascii="Times New Roman" w:cs="Times New Roman" w:eastAsia="Times New Roman" w:hAnsi="Times New Roman"/>
          <w:sz w:val="22"/>
          <w:szCs w:val="22"/>
          <w:color w:val="auto"/>
        </w:rPr>
        <w:t xml:space="preserve"> to but excluding said date), payable (in immediately available funds) in cash. The Affected Lender, as assignor, such Purchasing Lender, as assignee, Borrower and Administrative Agent, shall enter into an Assignment and Assumption pursuant to </w:t>
      </w:r>
      <w:r>
        <w:rPr>
          <w:rFonts w:ascii="Times New Roman" w:cs="Times New Roman" w:eastAsia="Times New Roman" w:hAnsi="Times New Roman"/>
          <w:sz w:val="22"/>
          <w:szCs w:val="22"/>
          <w:u w:val="single" w:color="auto"/>
          <w:color w:val="auto"/>
        </w:rPr>
        <w:t>Section 13.7</w:t>
      </w:r>
      <w:r>
        <w:rPr>
          <w:rFonts w:ascii="Times New Roman" w:cs="Times New Roman" w:eastAsia="Times New Roman" w:hAnsi="Times New Roman"/>
          <w:sz w:val="22"/>
          <w:szCs w:val="22"/>
          <w:color w:val="auto"/>
        </w:rPr>
        <w:t xml:space="preserve">, whereupon such Purchasing Lender shall be a Lender party to this Agreement, shall be deemed to be an assignee hereunder and shall have all the rights and obligations of a Lender with a Revolving Credit Commitment Amount equal to the Affected Lender’s Revolving Credit Percentage (immediately prior to such assignment) of the then applicable Revolving Credit Aggregate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the Affected Lender does not execute such Assignment and Assumption within (2) Business Days of receipt thereof, Administrative Agent may execute the Assignment and Assumption as the Affected Lender’s attorney-in-fact. Each of Lenders hereby irrevocably constitutes and appoints Administrative Agent and any officer or agent thereof, with full power of substitution, as its true and lawful attorney-in-fact with full power and authority in the name of such Lender or in its own name to execute and deliver the Assignment and Assumption while such Lender is an Affected Lender hereunder (such power of attorney to be deemed coupled with an interest and irrevocable). In connection with any assignment pursuant to this </w:t>
      </w:r>
      <w:r>
        <w:rPr>
          <w:rFonts w:ascii="Times New Roman" w:cs="Times New Roman" w:eastAsia="Times New Roman" w:hAnsi="Times New Roman"/>
          <w:sz w:val="22"/>
          <w:szCs w:val="22"/>
          <w:u w:val="single" w:color="auto"/>
          <w:color w:val="auto"/>
        </w:rPr>
        <w:t>Section 13.11</w:t>
      </w:r>
      <w:r>
        <w:rPr>
          <w:rFonts w:ascii="Times New Roman" w:cs="Times New Roman" w:eastAsia="Times New Roman" w:hAnsi="Times New Roman"/>
          <w:sz w:val="22"/>
          <w:szCs w:val="22"/>
          <w:color w:val="auto"/>
        </w:rPr>
        <w:t xml:space="preserve">, Purchasing Lender shall pay to Administrative Agent the processing and recordation fee required under </w:t>
      </w:r>
      <w:r>
        <w:rPr>
          <w:rFonts w:ascii="Times New Roman" w:cs="Times New Roman" w:eastAsia="Times New Roman" w:hAnsi="Times New Roman"/>
          <w:sz w:val="22"/>
          <w:szCs w:val="22"/>
          <w:u w:val="single" w:color="auto"/>
          <w:color w:val="auto"/>
        </w:rPr>
        <w:t>Section 13.7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-1814830</wp:posOffset>
            </wp:positionV>
            <wp:extent cx="2324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-1866265</wp:posOffset>
            </wp:positionV>
            <wp:extent cx="5016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31" w:lineRule="exact"/>
        <w:rPr>
          <w:sz w:val="20"/>
          <w:szCs w:val="20"/>
          <w:color w:val="auto"/>
        </w:rPr>
      </w:pPr>
    </w:p>
    <w:p>
      <w:pPr>
        <w:jc w:val="both"/>
        <w:ind w:left="660" w:firstLine="644"/>
        <w:spacing w:after="0" w:line="207" w:lineRule="auto"/>
        <w:tabs>
          <w:tab w:leader="none" w:pos="1951"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is an Affected Lender of the type described in </w:t>
      </w:r>
      <w:r>
        <w:rPr>
          <w:rFonts w:ascii="Times New Roman" w:cs="Times New Roman" w:eastAsia="Times New Roman" w:hAnsi="Times New Roman"/>
          <w:sz w:val="22"/>
          <w:szCs w:val="22"/>
          <w:u w:val="single" w:color="auto"/>
          <w:color w:val="auto"/>
        </w:rPr>
        <w:t>Section 13.11(a)(iii)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(any such Lender, a “</w:t>
      </w:r>
      <w:r>
        <w:rPr>
          <w:rFonts w:ascii="Times New Roman" w:cs="Times New Roman" w:eastAsia="Times New Roman" w:hAnsi="Times New Roman"/>
          <w:sz w:val="22"/>
          <w:szCs w:val="22"/>
          <w:u w:val="single" w:color="auto"/>
          <w:color w:val="auto"/>
        </w:rPr>
        <w:t>Non-Compliant Lender</w:t>
      </w:r>
      <w:r>
        <w:rPr>
          <w:rFonts w:ascii="Times New Roman" w:cs="Times New Roman" w:eastAsia="Times New Roman" w:hAnsi="Times New Roman"/>
          <w:sz w:val="22"/>
          <w:szCs w:val="22"/>
          <w:color w:val="auto"/>
        </w:rPr>
        <w:t xml:space="preserve">”), Borrower may, with the prior written consent of Administrative Agent (which consent shall not be unreasonably withheld, conditioned or delayed), and notwithstanding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this Agreement or any other provisions requiring pro rata payments to Lenders, elect to reduce the Revolving Credit Aggregate Commitment by an amount equal to the Non-Compliant Lender’s Revolving Credit Percentage of the Revolving Credit Aggregate Commitment and repay such Non-Compliant Lender an amount equal the principal amount of all Advances owing to it, all interest and fees accrued for its account through but excluding the date of such repayment, and all other amounts payable to it hereunder (including without limitation, if demanded by the Non-Compliant Lender, the amount of any compensation then due to the Non-Compliant Lender under </w:t>
      </w:r>
      <w:r>
        <w:rPr>
          <w:rFonts w:ascii="Times New Roman" w:cs="Times New Roman" w:eastAsia="Times New Roman" w:hAnsi="Times New Roman"/>
          <w:sz w:val="22"/>
          <w:szCs w:val="22"/>
          <w:u w:val="single" w:color="auto"/>
          <w:color w:val="auto"/>
        </w:rPr>
        <w:t>Sections 3.4(c)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rPr>
        <w:t>11.6</w:t>
      </w:r>
      <w:r>
        <w:rPr>
          <w:rFonts w:ascii="Times New Roman" w:cs="Times New Roman" w:eastAsia="Times New Roman" w:hAnsi="Times New Roman"/>
          <w:sz w:val="22"/>
          <w:szCs w:val="22"/>
          <w:color w:val="auto"/>
        </w:rPr>
        <w:t xml:space="preserve"> to but excluding said date), payable (in immediately available funds) in cash, so long as, after giving effect to the termination of such Non-Compliant Lender’s Revolving Credit Commitment Amount and the repayments described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any Fronting Exposure of such Non-Compliant Lender shall be reallocated among Lenders that are not Non-Compliant Lenders in accordance with their respective Revolving Credit Percentages, but only to the extent that the sum of the aggregate principal amount of all Revolving Credit Advances made by each such Lender, plus such Lender’s Revolving Credit Percentage of the aggregate outstanding principal amount of Letter of Credit Obligations prior to giving effect to such reallocation plus such Lender’s Revolving Credit Percentage of the Fronting Exposure to be reallocated does not exceed such Lender’s Revolving Credit Percentage of the Revolving Credit Aggregate Commitment and only so long as no Default or Event of Default has occurred and is continuing on the date of such reallocation; provided that with respect to any portion of the Fronting Exposure that may not be reallocated, Borrower shall deliver to Administrative Agent, for the benefit of each Issuing Lender, cash collateral or other security satisfactory to Administrative Agent, with respect any such remaining Fronting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5158740</wp:posOffset>
            </wp:positionH>
            <wp:positionV relativeFrom="paragraph">
              <wp:posOffset>-1665605</wp:posOffset>
            </wp:positionV>
            <wp:extent cx="2324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232410" cy="8255"/>
                    </a:xfrm>
                    <a:prstGeom prst="rect">
                      <a:avLst/>
                    </a:prstGeom>
                    <a:noFill/>
                  </pic:spPr>
                </pic:pic>
              </a:graphicData>
            </a:graphic>
          </wp:anchor>
        </w:drawing>
        <w:drawing>
          <wp:anchor simplePos="0" relativeHeight="251657728" behindDoc="1" locked="0" layoutInCell="0" allowOverlap="1">
            <wp:simplePos x="0" y="0"/>
            <wp:positionH relativeFrom="column">
              <wp:posOffset>5659755</wp:posOffset>
            </wp:positionH>
            <wp:positionV relativeFrom="paragraph">
              <wp:posOffset>-1717040</wp:posOffset>
            </wp:positionV>
            <wp:extent cx="5187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518795" cy="8890"/>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WAIVER OF JURY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1240"/>
          </w:cols>
          <w:pgMar w:left="320" w:top="1395" w:right="339" w:bottom="1440" w:gutter="0" w:footer="0" w:header="0"/>
        </w:sectPr>
      </w:pPr>
    </w:p>
    <w:bookmarkStart w:id="190" w:name="page191"/>
    <w:bookmarkEnd w:id="190"/>
    <w:p>
      <w:pPr>
        <w:jc w:val="both"/>
        <w:ind w:firstLine="8"/>
        <w:spacing w:after="0" w:line="221" w:lineRule="auto"/>
        <w:tabs>
          <w:tab w:leader="none" w:pos="148"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LENDERS, ADMINISTRATIVE AGENT AND BORROWER KNOWINGLY, VOLUNTARILY AND INTENTIONALLY WAIVE ANY RIGHT ANY OF THEM MAY HAVE TO A TRIAL BY JURY IN ANY LITIGATION BASED UPON OR ARISING OUT OF THIS AGREEMENT, THE OTHER LOAN DOCUMENTS OR ANY RELATED INSTRUMENT OR AGREEMENT OR ANY OF THE TRANSACTIONS CONTEMPLATED BY THIS AGREEMENT OR ANY COURSE OF CONDUCT, DEALING, STATEMENTS (WHETHER ORAL OR WRITTEN) OR ACTION OF ANY OF THEM. NEITHER LENDERS, ADMINISTRATIVE AGENT NOR BORROWER SHALL SEEK TO CONSOLIDATE, BY COUNTERCLAIM OR OTHERWISE, ANY SUCH ACTION IN WHICH A JURY TRIAL HAS BEEN WAIVED WITH ANY OTHER ACTION IN WHICH A JURY TRIAL CANNOT BE OR HAS NOT BEEN WAIVED. THESE PROVISIONS SHALL NOT BE DEEMED TO HAVE BEEN MODIFIED IN ANY RESPECT OR RELINQUISHED BY LENDERS, ADMINISTRATIVE AGENT OR BORROWER EXCEPT BY A WRITTEN INSTRUMENT EXECUTED BY ALL OF THEM.</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USA Patriot Act Notice</w:t>
      </w:r>
    </w:p>
    <w:p>
      <w:pPr>
        <w:spacing w:after="0" w:line="179" w:lineRule="exact"/>
        <w:rPr>
          <w:sz w:val="20"/>
          <w:szCs w:val="20"/>
          <w:color w:val="auto"/>
        </w:rPr>
      </w:pPr>
    </w:p>
    <w:p>
      <w:pPr>
        <w:jc w:val="both"/>
        <w:ind w:firstLine="8"/>
        <w:spacing w:after="0" w:line="215" w:lineRule="auto"/>
        <w:tabs>
          <w:tab w:leader="none" w:pos="108"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326 of the USA Patriot Act, Administrative Agent and Lenders hereby notify the Credit Parties that if they or any of their Subsidiaries or the Parent open an account, including any loan, deposit account, treasury management account, or other extension of credit with Administrative Agent or any Lender, Administrative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Administrative Agent and the applicable Lender to comply with the USA Patriot Act.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Complete Agreement; Conflicts</w:t>
      </w:r>
    </w:p>
    <w:p>
      <w:pPr>
        <w:spacing w:after="0" w:line="175" w:lineRule="exact"/>
        <w:rPr>
          <w:sz w:val="20"/>
          <w:szCs w:val="20"/>
          <w:color w:val="auto"/>
        </w:rPr>
      </w:pPr>
    </w:p>
    <w:p>
      <w:pPr>
        <w:jc w:val="both"/>
        <w:ind w:firstLine="8"/>
        <w:spacing w:after="0" w:line="218" w:lineRule="auto"/>
        <w:tabs>
          <w:tab w:leader="none" w:pos="12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THIS WRITTEN AGREEMENT REPRESENTS THE FINAL AGREEMENT BETWEEN THE PARTIES AND MAY NOT BE CONTRADICTED BY EVIDENCE OF PRIOR, CONTEMPORANEOUS, OR SUBSEQUENT ORAL AGREEMENTS OF THE PARTIES. THERE ARE NO UNWRITTEN ORAL AGREEMENTS BETWEEN THE PARTIES. </w:t>
      </w:r>
      <w:r>
        <w:rPr>
          <w:rFonts w:ascii="Times New Roman" w:cs="Times New Roman" w:eastAsia="Times New Roman" w:hAnsi="Times New Roman"/>
          <w:sz w:val="22"/>
          <w:szCs w:val="22"/>
          <w:color w:val="auto"/>
        </w:rPr>
        <w:t>In the event of any conflict between the terms of this Agreement and the other Loan Documents,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u w:val="single" w:color="auto"/>
          <w:color w:val="auto"/>
        </w:rPr>
        <w:t>Severability</w:t>
      </w:r>
    </w:p>
    <w:p>
      <w:pPr>
        <w:spacing w:after="0" w:line="179" w:lineRule="exact"/>
        <w:rPr>
          <w:sz w:val="20"/>
          <w:szCs w:val="20"/>
          <w:color w:val="auto"/>
        </w:rPr>
      </w:pPr>
    </w:p>
    <w:p>
      <w:pPr>
        <w:jc w:val="both"/>
        <w:ind w:firstLine="8"/>
        <w:spacing w:after="0" w:line="217" w:lineRule="auto"/>
        <w:tabs>
          <w:tab w:leader="none" w:pos="135"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u w:val="single" w:color="auto"/>
          <w:color w:val="auto"/>
        </w:rPr>
        <w:t>Table of Contents and Headings; Section References</w:t>
      </w:r>
    </w:p>
    <w:p>
      <w:pPr>
        <w:spacing w:after="0" w:line="179" w:lineRule="exact"/>
        <w:rPr>
          <w:sz w:val="20"/>
          <w:szCs w:val="20"/>
          <w:color w:val="auto"/>
        </w:rPr>
      </w:pPr>
    </w:p>
    <w:p>
      <w:pPr>
        <w:jc w:val="both"/>
        <w:ind w:firstLine="8"/>
        <w:spacing w:after="0" w:line="217" w:lineRule="auto"/>
        <w:tabs>
          <w:tab w:leader="none" w:pos="108"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1240"/>
          </w:cols>
          <w:pgMar w:left="320" w:top="1395" w:right="339" w:bottom="1440" w:gutter="0" w:footer="0" w:header="0"/>
        </w:sectPr>
      </w:pPr>
    </w:p>
    <w:bookmarkStart w:id="191" w:name="page192"/>
    <w:bookmarkEnd w:id="191"/>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u w:val="single" w:color="auto"/>
          <w:color w:val="auto"/>
        </w:rPr>
        <w:t>Electronic Transmissions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Administrative Agent, the Credit Parties, Lenders, and each of their Affiliates is authorized (but not required) to transmit, post or otherwise make or communicate, in its sole discretion, Electronic Transmissions in connection with any Loan Document and the transactions contemplated therein.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uses of an E-System shall be governed by and subject to, in addition to </w:t>
      </w:r>
      <w:r>
        <w:rPr>
          <w:rFonts w:ascii="Times New Roman" w:cs="Times New Roman" w:eastAsia="Times New Roman" w:hAnsi="Times New Roman"/>
          <w:sz w:val="22"/>
          <w:szCs w:val="22"/>
          <w:u w:val="single" w:color="auto"/>
          <w:color w:val="auto"/>
        </w:rPr>
        <w:t>Section 13.6</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13.17</w:t>
      </w:r>
      <w:r>
        <w:rPr>
          <w:rFonts w:ascii="Times New Roman" w:cs="Times New Roman" w:eastAsia="Times New Roman" w:hAnsi="Times New Roman"/>
          <w:sz w:val="22"/>
          <w:szCs w:val="22"/>
          <w:color w:val="auto"/>
        </w:rPr>
        <w:t>, separate terms and conditions posted or referenced in such E-System and related contractual obligations executed by Administrative Agent, the Credit Parties and Lenders in connection with the use of such E-System.</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1953"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E-Systems and Electronic Transmissions shall be provided “as is” and “as available”. None of Administrative Agent or any of its Affiliates, nor Borrower or any of its respective Affiliates warrants the accuracy, adequacy or completeness of any E-Systems or Electronic Transmission, and each disclaims all liability for errors or omissions therein. No warranty of any kind is made by Administrative Agent or any of its Affiliates, or Borrower or any of its respective Affiliates in connection with any E-Systems or Electronic Transmission, including any warranty of merchantability, fitness for a particular purpose, non-infringement of third-party rights or freedom from viruses or other code defects. Administrative Agent, Borrower and its Subsidiaries, and Lenders agree that Administrative Agent has no responsibility for maintaining or providing any equipment, software, services or any testing required in connection with any Electronic Transmission or otherwise required for any E-System. Administrative Agent and Lenders agree that Borrower has no responsibility for maintaining or providing any equipment, software, services or any testing required in connection with any Electronic Transmission or otherwise required for any E-System.</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u w:val="single" w:color="auto"/>
          <w:color w:val="auto"/>
        </w:rPr>
        <w:t>Reliance on and Survival of Provisions</w:t>
      </w:r>
    </w:p>
    <w:p>
      <w:pPr>
        <w:spacing w:after="0" w:line="179" w:lineRule="exact"/>
        <w:rPr>
          <w:sz w:val="20"/>
          <w:szCs w:val="20"/>
          <w:color w:val="auto"/>
        </w:rPr>
      </w:pPr>
    </w:p>
    <w:p>
      <w:pPr>
        <w:jc w:val="both"/>
        <w:ind w:firstLine="8"/>
        <w:spacing w:after="0" w:line="212" w:lineRule="auto"/>
        <w:tabs>
          <w:tab w:leader="none" w:pos="148"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terms, covenants, agreements, representations and warranties of the Credit Parties and the Parent to any of the Loan Documents made herein or in any of the Loan Documents or in any certificate, report, financial statement or other document furnished by or on behalf of any Credit Party or the Parent in connection with this Agreement or any of the Loan Documents shall be deemed to have been relied upon by Lenders, notwithstanding any investigation heretofore or hereafter made by any Lender or on such Lender’s behalf, and those covenants and agreements of Borrower set forth in </w:t>
      </w:r>
      <w:r>
        <w:rPr>
          <w:rFonts w:ascii="Times New Roman" w:cs="Times New Roman" w:eastAsia="Times New Roman" w:hAnsi="Times New Roman"/>
          <w:sz w:val="22"/>
          <w:szCs w:val="22"/>
          <w:u w:val="single" w:color="auto"/>
          <w:color w:val="auto"/>
        </w:rPr>
        <w:t>Section 13.5</w:t>
      </w:r>
      <w:r>
        <w:rPr>
          <w:rFonts w:ascii="Times New Roman" w:cs="Times New Roman" w:eastAsia="Times New Roman" w:hAnsi="Times New Roman"/>
          <w:sz w:val="22"/>
          <w:szCs w:val="22"/>
          <w:color w:val="auto"/>
        </w:rPr>
        <w:t xml:space="preserve"> (together with any other indemnities of any Credit Party or Parent contained elsewhere in this Agreement or in any of the other Loan Documents) and of Lenders set forth in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shall survive the repayment in full of the Indebtedness and the termination of any commitment to extend credit.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u w:val="single" w:color="auto"/>
          <w:color w:val="auto"/>
        </w:rPr>
        <w:t>Concerning Lender Hedging Obligations and Lender Product Obligations</w:t>
      </w:r>
    </w:p>
    <w:p>
      <w:pPr>
        <w:spacing w:after="0" w:line="179" w:lineRule="exact"/>
        <w:rPr>
          <w:sz w:val="20"/>
          <w:szCs w:val="20"/>
          <w:color w:val="auto"/>
        </w:rPr>
      </w:pPr>
    </w:p>
    <w:p>
      <w:pPr>
        <w:jc w:val="both"/>
        <w:ind w:firstLine="8"/>
        <w:spacing w:after="0" w:line="220" w:lineRule="auto"/>
        <w:tabs>
          <w:tab w:leader="none" w:pos="148"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benefit of the Collateral Documents and of the provisions of this Agreement relating to any collateral securing the Indebtedness shall also extend to the Lender Hedging Obligations and the Lender Product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Lender Counterparty ceases to be a Lender or an Affiliate of a Lender hereunder, (a) such Lender Hedging Obligations shall only include obligations under Commodity Hedging Agreements and Interest Rate Agreements entered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1240"/>
          </w:cols>
          <w:pgMar w:left="320" w:top="1395" w:right="339" w:bottom="1440" w:gutter="0" w:footer="0" w:header="0"/>
        </w:sectPr>
      </w:pPr>
    </w:p>
    <w:bookmarkStart w:id="192" w:name="page193"/>
    <w:bookmarkEnd w:id="192"/>
    <w:p>
      <w:pPr>
        <w:jc w:val="both"/>
        <w:spacing w:after="0" w:line="210" w:lineRule="auto"/>
        <w:rPr>
          <w:sz w:val="20"/>
          <w:szCs w:val="20"/>
          <w:color w:val="auto"/>
        </w:rPr>
      </w:pPr>
      <w:r>
        <w:rPr>
          <w:rFonts w:ascii="Times New Roman" w:cs="Times New Roman" w:eastAsia="Times New Roman" w:hAnsi="Times New Roman"/>
          <w:sz w:val="22"/>
          <w:szCs w:val="22"/>
          <w:color w:val="auto"/>
        </w:rPr>
        <w:t>with such Person to the extent arising from transactions and confirmations entered into at any time such Person was a Lender or an Affiliate of a Lender hereunder, without giving effect to any extension, increases or modifications thereof which are made after such Person ceases to be a Lender or an Affiliate of a Lender hereunder and (b) any obligations arising under Lender Products extended by such Person shall no longer constitute Lender Product Obligations. No Lender or any Affiliate of a Lender shall have any voting rights under any Loan Document or with respect to any Collateral, as a result of the existence of obligations owed to it under any Commodity Hedging Agreements, Interest Rate Agreements or agreements relating to Lender Products. All Commodity Hedging Agreements, Interest Rate Agreements and agreements relating to Lender Products, if any, are independent agreements governed by the written provisions of such agreements, which will remain in full force and effect, unaffected by any repayment, prepayment, acceleration, reduction, increase or change in the terms of the Advances or this Agreement, except as otherwise expressly provided in such agreements, and any payoff statement from any Lender relating to this Agreement shall not apply to such agreements except as otherwise expressly provided in such payoff statement.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u w:val="single" w:color="auto"/>
          <w:color w:val="auto"/>
        </w:rPr>
        <w:t>Release of Guarantees and Liens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9" w:lineRule="auto"/>
        <w:tabs>
          <w:tab w:leader="none" w:pos="1953"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herein or in any other Loan Document, the Administrative Agent is hereby irrevocably authorized (but not required) by each Lender (without requirement of notice to or consent of any Lender except as expressly required by </w:t>
      </w:r>
      <w:r>
        <w:rPr>
          <w:rFonts w:ascii="Times New Roman" w:cs="Times New Roman" w:eastAsia="Times New Roman" w:hAnsi="Times New Roman"/>
          <w:sz w:val="21"/>
          <w:szCs w:val="21"/>
          <w:u w:val="single" w:color="auto"/>
          <w:color w:val="auto"/>
        </w:rPr>
        <w:t>Section 13.9</w:t>
      </w:r>
      <w:r>
        <w:rPr>
          <w:rFonts w:ascii="Times New Roman" w:cs="Times New Roman" w:eastAsia="Times New Roman" w:hAnsi="Times New Roman"/>
          <w:sz w:val="21"/>
          <w:szCs w:val="21"/>
          <w:color w:val="auto"/>
        </w:rPr>
        <w:t xml:space="preserve">) to take any action requested by Borrower having the effect of releasing any Collateral or guarantee obligations (i) to the extent necessary to permit consummation of any transaction not prohibited by any Loan Document or that has been consented to in accordance with </w:t>
      </w:r>
      <w:r>
        <w:rPr>
          <w:rFonts w:ascii="Times New Roman" w:cs="Times New Roman" w:eastAsia="Times New Roman" w:hAnsi="Times New Roman"/>
          <w:sz w:val="21"/>
          <w:szCs w:val="21"/>
          <w:u w:val="single" w:color="auto"/>
          <w:color w:val="auto"/>
        </w:rPr>
        <w:t>Section 13.9</w:t>
      </w:r>
      <w:r>
        <w:rPr>
          <w:rFonts w:ascii="Times New Roman" w:cs="Times New Roman" w:eastAsia="Times New Roman" w:hAnsi="Times New Roman"/>
          <w:sz w:val="21"/>
          <w:szCs w:val="21"/>
          <w:color w:val="auto"/>
        </w:rPr>
        <w:t xml:space="preserve"> or</w:t>
      </w:r>
    </w:p>
    <w:p>
      <w:pPr>
        <w:spacing w:after="0" w:line="2"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under the circumstances described in paragraph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below.</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1951"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(i) the Advances and the other Indebtedness (other than contingent indemnification and reimbursement obligations for which no claim has been made and Lender Product Obligations) shall have been paid in full in cash, (ii) the Revolving Credit Aggregate Commitment has been terminated and no Letters of Credit shall be outstanding (other than Letters of Credit that have been cash collateralized or otherwise backstopped in a manner satisfactory to the applicable Issuing Lender), and (iii) all Lender Hedging Obligations shall have terminated or acceptable substitute collateral shall have been posted to secure such Lender Hedging Obligations or such Lender Hedging Obligations shall have been novated to third parties, the Collateral shall be released from the Liens created by the Collateral Documents, and the Collateral Documents and all obligations (other than those expressly stated to survive such termination) of each Credit Party under the Collateral Documents shall terminate, all without delivery of any instrument or performance of any act by any Person. Administrative Agent agrees, upon the request of Borrower, to promptly execute and deliver to Borrower any and all Lien releases as may be required to effectuate the foregoing.</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of the Collateral shall be sold, transferred or otherwise Disposed of by any Credit Party in a transaction permitted by this Agreement or any other Loan Document, then the Administrative Agent, at the request and sole expense of Borrower, shall execute and deliver to the relevant Credit Party all releases or other documents reasonably necessary or desirable for the release of the Liens created by the Collateral Documents on such Collateral. At the request and sole expense of Borrower, a Guarantor that is a Restricted Subsidiary shall be released from its obligations hereunder, under the Guaranty and under the Collateral Documents in the event that any of the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1240"/>
          </w:cols>
          <w:pgMar w:left="320" w:top="1395" w:right="339" w:bottom="1440" w:gutter="0" w:footer="0" w:header="0"/>
        </w:sectPr>
      </w:pPr>
    </w:p>
    <w:bookmarkStart w:id="193" w:name="page194"/>
    <w:bookmarkEnd w:id="193"/>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issued by such Guarantor shall be Disposed of in a transaction permitted by this Agreement; provided that Borrower shall have delivered to the Administrative Agent, at least five (5) Business Days prior to the date of the proposed release, a written request for release identifying the relevant Guarantor and the terms of the Disposition in reasonable detail, including the price thereof and any anticipated expenses in connection therewith.</w:t>
      </w:r>
    </w:p>
    <w:p>
      <w:pPr>
        <w:spacing w:after="0" w:line="152" w:lineRule="exact"/>
        <w:rPr>
          <w:sz w:val="20"/>
          <w:szCs w:val="20"/>
          <w:color w:val="auto"/>
        </w:rPr>
      </w:pPr>
    </w:p>
    <w:p>
      <w:pPr>
        <w:jc w:val="both"/>
        <w:ind w:left="660" w:firstLine="644"/>
        <w:spacing w:after="0" w:line="224" w:lineRule="auto"/>
        <w:tabs>
          <w:tab w:leader="none" w:pos="1951"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Restricted Subsidiary shall become an Unrestricted Subsidiary in accordance with this Agreement, then so long as there exists no (x) Default or Event of Default, or (y) Borrowing Base Deficiency, in each case both prior to and/or immediately after taking such action, all obligations of such Unrestricted Subsidiary under the Loan Documents shall automatically terminate, and the Administrative Agent, at the request and sole expense of Borrower, shall (i) release all Liens created by the Collateral Documents on (A) any and all property of such Unrestricted Subsidiary, and (B) any and all Equity Interests issued by such Unrestricted Subsidiary, and (ii) deliver to Borrower any and all certificates representing such Equity Interests that were pledged to the Administrative Agent pursuant to the Collateral Documents.</w:t>
      </w:r>
    </w:p>
    <w:p>
      <w:pPr>
        <w:spacing w:after="0" w:line="150" w:lineRule="exact"/>
        <w:rPr>
          <w:rFonts w:ascii="Times New Roman" w:cs="Times New Roman" w:eastAsia="Times New Roman" w:hAnsi="Times New Roman"/>
          <w:sz w:val="21"/>
          <w:szCs w:val="21"/>
          <w:color w:val="auto"/>
        </w:rPr>
      </w:pPr>
    </w:p>
    <w:p>
      <w:pPr>
        <w:ind w:left="660" w:firstLine="644"/>
        <w:spacing w:after="0" w:line="236" w:lineRule="auto"/>
        <w:tabs>
          <w:tab w:leader="none" w:pos="1953"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shall promptly release its Lien on any property of a Credit Party that is not Collateral upon the written request of such Credit Party.</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u w:val="single" w:color="auto"/>
          <w:color w:val="auto"/>
        </w:rPr>
        <w:t>Existing Credit Agreement</w:t>
      </w:r>
    </w:p>
    <w:p>
      <w:pPr>
        <w:spacing w:after="0" w:line="179" w:lineRule="exact"/>
        <w:rPr>
          <w:sz w:val="20"/>
          <w:szCs w:val="20"/>
          <w:color w:val="auto"/>
        </w:rPr>
      </w:pPr>
    </w:p>
    <w:p>
      <w:pPr>
        <w:jc w:val="both"/>
        <w:ind w:firstLine="8"/>
        <w:spacing w:after="0" w:line="210" w:lineRule="auto"/>
        <w:tabs>
          <w:tab w:leader="none" w:pos="135"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Effective Date, this Agreement shall supersede and replace in its entirety the Existing Credit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(a) all loans, letters of credit, interest periods, and other indebtedness, obligations and liabilities outstanding under the Existing Credit Agreement on such date shall continue to constitute Advances, Letters of Credit, Interest Periods and other Indebtedness, obligations and liabilities under this Agreement, (b) the execution and delivery of this Agreement or any of the Loan Documents hereunder shall not constitute a novation or refinancing or any other fundamental change in the relationship among the parties, and (c) the Advances, Letters of Credit, Interest Periods and other Indebtedness, obligations and liabilities outstanding hereunder, to the extent outstanding under the Existing Credit Agreement immediately prior to the date hereof, shall constitute the same loans, letters of credit, interest periods and other indebtedness, obligations and liabilities as were outstanding under the Existing Credit Agreement. Notwithstanding any provision of this Agreement or any other Loan Document or instrument executed in connection herewith, the execution and delivery of this Agreement and the incurrence of the Indebtedness hereunder shall be in substitution for, but not in payment of, the Indebtedness owed by Borrower under the Existing Credit Agreement.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Reallocation of Commitments and Revolving Credit Advances</w:t>
      </w:r>
    </w:p>
    <w:p>
      <w:pPr>
        <w:spacing w:after="0" w:line="179" w:lineRule="exact"/>
        <w:rPr>
          <w:sz w:val="20"/>
          <w:szCs w:val="20"/>
          <w:color w:val="auto"/>
        </w:rPr>
      </w:pPr>
    </w:p>
    <w:p>
      <w:pPr>
        <w:jc w:val="both"/>
        <w:ind w:firstLine="8"/>
        <w:spacing w:after="0" w:line="210" w:lineRule="auto"/>
        <w:tabs>
          <w:tab w:leader="none" w:pos="12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(including the Withdrawing Lenders) party to the Existing Credit Agreement have agreed among themselves to reallocate their respective Commitments (as defined in the Existing Credit Agreement) as contemplated by this Agreement, and to, among other things, allow certain financial institutions identified by the Joint Lead Arrangers in consultation with Borrower, to become a party to this Agreement as a Lender (each, a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xml:space="preserve">”). On the Effective Date and after giving effect to such reallocation and adjustment of the Commitments, the Commitments and Revolving Credit Percentages of each Lender, including each New Lender, shall be as set forth on </w:t>
      </w:r>
      <w:r>
        <w:rPr>
          <w:rFonts w:ascii="Times New Roman" w:cs="Times New Roman" w:eastAsia="Times New Roman" w:hAnsi="Times New Roman"/>
          <w:sz w:val="22"/>
          <w:szCs w:val="22"/>
          <w:u w:val="single" w:color="auto"/>
          <w:color w:val="auto"/>
        </w:rPr>
        <w:t>Schedule 1.2</w:t>
      </w:r>
      <w:r>
        <w:rPr>
          <w:rFonts w:ascii="Times New Roman" w:cs="Times New Roman" w:eastAsia="Times New Roman" w:hAnsi="Times New Roman"/>
          <w:sz w:val="22"/>
          <w:szCs w:val="22"/>
          <w:color w:val="auto"/>
        </w:rPr>
        <w:t xml:space="preserve"> and each Lender, including each New Lender, shall own its Revolving Credit Percentage of the outstanding Revolving Credit Advances. The reallocation and adjustment to the Commitments of each Lender, including each New Lender, as contemplated by this </w:t>
      </w:r>
      <w:r>
        <w:rPr>
          <w:rFonts w:ascii="Times New Roman" w:cs="Times New Roman" w:eastAsia="Times New Roman" w:hAnsi="Times New Roman"/>
          <w:sz w:val="22"/>
          <w:szCs w:val="22"/>
          <w:u w:val="single" w:color="auto"/>
          <w:color w:val="auto"/>
        </w:rPr>
        <w:t>Section 13.22</w:t>
      </w:r>
      <w:r>
        <w:rPr>
          <w:rFonts w:ascii="Times New Roman" w:cs="Times New Roman" w:eastAsia="Times New Roman" w:hAnsi="Times New Roman"/>
          <w:sz w:val="22"/>
          <w:szCs w:val="22"/>
          <w:color w:val="auto"/>
        </w:rPr>
        <w:t xml:space="preserve"> shall be deemed to have been consummated pursuant to the terms of the Assignment and Assumption attached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as if each of the Lenders, including each New Lender, had executed an Assignment and Assumption with respect to such reallocation and adjustment. Borrower and Administrative Agent hereby consent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1240"/>
          </w:cols>
          <w:pgMar w:left="320" w:top="1395" w:right="339" w:bottom="1440" w:gutter="0" w:footer="0" w:header="0"/>
        </w:sectPr>
      </w:pPr>
    </w:p>
    <w:bookmarkStart w:id="194" w:name="page195"/>
    <w:bookmarkEnd w:id="194"/>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reallocation and adjustment of the Commitments and each New Lender’s Commitment. The Administrative Agent hereby waives the $3,500 processing and recordation fee with respect to the assignments and reallocations of the Commitments contemplated by this </w:t>
      </w:r>
      <w:r>
        <w:rPr>
          <w:rFonts w:ascii="Times New Roman" w:cs="Times New Roman" w:eastAsia="Times New Roman" w:hAnsi="Times New Roman"/>
          <w:sz w:val="22"/>
          <w:szCs w:val="22"/>
          <w:u w:val="single" w:color="auto"/>
          <w:color w:val="auto"/>
        </w:rPr>
        <w:t>Section 13.22</w:t>
      </w:r>
      <w:r>
        <w:rPr>
          <w:rFonts w:ascii="Times New Roman" w:cs="Times New Roman" w:eastAsia="Times New Roman" w:hAnsi="Times New Roman"/>
          <w:sz w:val="22"/>
          <w:szCs w:val="22"/>
          <w:color w:val="auto"/>
        </w:rPr>
        <w:t xml:space="preserve">. To the extent requested by any Lender, and in accordance with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Borrower shall pay to such Lender, within the time period prescribed by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any amounts required to be paid by Borrower 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in the event the payment of any principal of any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 or the conversion of any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 other than on the last day of an Interest Period applicable thereto is required in connection with the reallocation contemplated by this </w:t>
      </w:r>
      <w:r>
        <w:rPr>
          <w:rFonts w:ascii="Times New Roman" w:cs="Times New Roman" w:eastAsia="Times New Roman" w:hAnsi="Times New Roman"/>
          <w:sz w:val="22"/>
          <w:szCs w:val="22"/>
          <w:u w:val="single" w:color="auto"/>
          <w:color w:val="auto"/>
        </w:rPr>
        <w:t>Section 13.22</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Flood Insurance</w:t>
      </w:r>
    </w:p>
    <w:p>
      <w:pPr>
        <w:spacing w:after="0" w:line="179" w:lineRule="exact"/>
        <w:rPr>
          <w:sz w:val="20"/>
          <w:szCs w:val="20"/>
          <w:color w:val="auto"/>
        </w:rPr>
      </w:pPr>
    </w:p>
    <w:p>
      <w:pPr>
        <w:jc w:val="both"/>
        <w:ind w:firstLine="8"/>
        <w:spacing w:after="0" w:line="210" w:lineRule="auto"/>
        <w:tabs>
          <w:tab w:leader="none" w:pos="108"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this Agreement or any other Loan Document to the contrary, in no event is any Building (as defined in the applicable Flood Insurance Regulation) or Manufactured (Mobile) Home (as defined in the applicable Flood Insurance Regulation) included in the definition of “Mortgaged Properties” in the Mortgages and no Building or Manufactured (Mobile) Home is hereby encumbered by the Collateral Documents. As used herein, “Flood Insurance Regulations” shall mean</w:t>
      </w:r>
    </w:p>
    <w:p>
      <w:pPr>
        <w:spacing w:after="0" w:line="2" w:lineRule="exact"/>
        <w:rPr>
          <w:rFonts w:ascii="Times New Roman" w:cs="Times New Roman" w:eastAsia="Times New Roman" w:hAnsi="Times New Roman"/>
          <w:sz w:val="22"/>
          <w:szCs w:val="22"/>
          <w:color w:val="auto"/>
        </w:rPr>
      </w:pPr>
    </w:p>
    <w:p>
      <w:pPr>
        <w:jc w:val="both"/>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National Flood Insurance Act of 1968 as now or hereafter in effect or any successor statute thereto, (ii) the Flood Disaster Protection Act of 1973 as now or hereafter in effect or any successor statue thereto, (iii) the National Flood Insurance Reform Act of 1994 (amending 42 USC 4001, et seq.), as the same may be amended or recodified from time to time, and (iv) the Flood Insurance Reform Act of 2004 and any regulations promulgated thereunder.</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u w:val="single" w:color="auto"/>
          <w:color w:val="auto"/>
        </w:rPr>
        <w:t>Acknowledgment and Consent to Bail-In of Affected Financial Institutions</w:t>
      </w:r>
    </w:p>
    <w:p>
      <w:pPr>
        <w:spacing w:after="0" w:line="179" w:lineRule="exact"/>
        <w:rPr>
          <w:sz w:val="20"/>
          <w:szCs w:val="20"/>
          <w:color w:val="auto"/>
        </w:rPr>
      </w:pPr>
    </w:p>
    <w:p>
      <w:pPr>
        <w:jc w:val="both"/>
        <w:ind w:firstLine="8"/>
        <w:spacing w:after="0" w:line="220" w:lineRule="auto"/>
        <w:tabs>
          <w:tab w:leader="none" w:pos="135"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2"/>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96" w:val="left"/>
        </w:tabs>
        <w:numPr>
          <w:ilvl w:val="2"/>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u w:val="single" w:color="auto"/>
          <w:color w:val="auto"/>
        </w:rPr>
        <w:t>Acknowledgment Regarding Any Supported QFCs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1240"/>
          </w:cols>
          <w:pgMar w:left="320" w:top="1395" w:right="339" w:bottom="1440" w:gutter="0" w:footer="0" w:header="0"/>
        </w:sectPr>
      </w:pPr>
    </w:p>
    <w:bookmarkStart w:id="195" w:name="page196"/>
    <w:bookmarkEnd w:id="195"/>
    <w:p>
      <w:pPr>
        <w:jc w:val="both"/>
        <w:ind w:firstLine="656"/>
        <w:spacing w:after="0" w:line="212" w:lineRule="auto"/>
        <w:tabs>
          <w:tab w:leader="none" w:pos="783" w:val="left"/>
        </w:tabs>
        <w:numPr>
          <w:ilvl w:val="0"/>
          <w:numId w:val="27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To the extent that the Loan Documents provide support, through a guarantee or otherwise, for Commodity Hedging Agreements or Interest Rate Agreements or any other agreement or instrument that is a QFC (such support, “</w:t>
      </w:r>
      <w:r>
        <w:rPr>
          <w:rFonts w:ascii="Times New Roman" w:cs="Times New Roman" w:eastAsia="Times New Roman" w:hAnsi="Times New Roman"/>
          <w:sz w:val="22"/>
          <w:szCs w:val="22"/>
          <w:u w:val="single" w:color="auto"/>
          <w:color w:val="auto"/>
        </w:rPr>
        <w:t>QFC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Texas and/or of the United States or any other state of the United States):</w:t>
      </w:r>
    </w:p>
    <w:p>
      <w:pPr>
        <w:spacing w:after="0" w:line="156" w:lineRule="exact"/>
        <w:rPr>
          <w:rFonts w:ascii="Times New Roman" w:cs="Times New Roman" w:eastAsia="Times New Roman" w:hAnsi="Times New Roman"/>
          <w:sz w:val="22"/>
          <w:szCs w:val="22"/>
          <w:i w:val="1"/>
          <w:iCs w:val="1"/>
          <w:color w:val="auto"/>
        </w:rPr>
      </w:pPr>
    </w:p>
    <w:p>
      <w:pPr>
        <w:jc w:val="both"/>
        <w:ind w:left="660" w:firstLine="644"/>
        <w:spacing w:after="0" w:line="209" w:lineRule="auto"/>
        <w:tabs>
          <w:tab w:leader="none" w:pos="1953"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13.25</w:t>
      </w:r>
      <w:r>
        <w:rPr>
          <w:rFonts w:ascii="Times New Roman" w:cs="Times New Roman" w:eastAsia="Times New Roman" w:hAnsi="Times New Roman"/>
          <w:sz w:val="22"/>
          <w:szCs w:val="22"/>
          <w:color w:val="auto"/>
        </w:rPr>
        <w:t>, the following terms have the following meanings:</w:t>
      </w:r>
    </w:p>
    <w:p>
      <w:pPr>
        <w:spacing w:after="0" w:line="175" w:lineRule="exact"/>
        <w:rPr>
          <w:sz w:val="20"/>
          <w:szCs w:val="20"/>
          <w:color w:val="auto"/>
        </w:rPr>
      </w:pPr>
    </w:p>
    <w:p>
      <w:pPr>
        <w:ind w:left="660" w:firstLine="216"/>
        <w:spacing w:after="0" w:line="238"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BHC Act Affiliate</w:t>
      </w:r>
      <w:r>
        <w:rPr>
          <w:rFonts w:ascii="Times New Roman" w:cs="Times New Roman" w:eastAsia="Times New Roman" w:hAnsi="Times New Roman"/>
          <w:sz w:val="22"/>
          <w:szCs w:val="22"/>
          <w:i w:val="1"/>
          <w:iCs w:val="1"/>
          <w:color w:val="auto"/>
        </w:rPr>
        <w:t>” of a party means an “affiliate” (as such term is defined under, and interpreted in accordance with, 12 U.S.C. 1841(k)) of such party.</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Covered Entity</w:t>
      </w:r>
      <w:r>
        <w:rPr>
          <w:rFonts w:ascii="Times New Roman" w:cs="Times New Roman" w:eastAsia="Times New Roman" w:hAnsi="Times New Roman"/>
          <w:sz w:val="22"/>
          <w:szCs w:val="22"/>
          <w:i w:val="1"/>
          <w:iCs w:val="1"/>
          <w:color w:val="auto"/>
        </w:rPr>
        <w:t>” means any of the following:</w:t>
      </w:r>
    </w:p>
    <w:p>
      <w:pPr>
        <w:spacing w:after="0" w:line="179" w:lineRule="exact"/>
        <w:rPr>
          <w:sz w:val="20"/>
          <w:szCs w:val="20"/>
          <w:color w:val="auto"/>
        </w:rPr>
      </w:pPr>
    </w:p>
    <w:p>
      <w:pPr>
        <w:ind w:left="1500" w:hanging="412"/>
        <w:spacing w:after="0"/>
        <w:tabs>
          <w:tab w:leader="none" w:pos="1500" w:val="left"/>
        </w:tabs>
        <w:numPr>
          <w:ilvl w:val="0"/>
          <w:numId w:val="27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 “covered entity” as that term is defined in, and interpreted in accordance with, 12 C.F.R. § 252.82(b);</w:t>
      </w:r>
    </w:p>
    <w:p>
      <w:pPr>
        <w:spacing w:after="0" w:line="179" w:lineRule="exact"/>
        <w:rPr>
          <w:rFonts w:ascii="Times New Roman" w:cs="Times New Roman" w:eastAsia="Times New Roman" w:hAnsi="Times New Roman"/>
          <w:sz w:val="22"/>
          <w:szCs w:val="22"/>
          <w:i w:val="1"/>
          <w:iCs w:val="1"/>
          <w:color w:val="auto"/>
        </w:rPr>
      </w:pPr>
    </w:p>
    <w:p>
      <w:pPr>
        <w:ind w:left="1560" w:hanging="472"/>
        <w:spacing w:after="0"/>
        <w:tabs>
          <w:tab w:leader="none" w:pos="1560" w:val="left"/>
        </w:tabs>
        <w:numPr>
          <w:ilvl w:val="0"/>
          <w:numId w:val="27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 “covered bank” as that term is defined in, and interpreted in accordance with, 12 C.F.R. § 47.3(b); or</w:t>
      </w:r>
    </w:p>
    <w:p>
      <w:pPr>
        <w:spacing w:after="0" w:line="179" w:lineRule="exact"/>
        <w:rPr>
          <w:rFonts w:ascii="Times New Roman" w:cs="Times New Roman" w:eastAsia="Times New Roman" w:hAnsi="Times New Roman"/>
          <w:sz w:val="22"/>
          <w:szCs w:val="22"/>
          <w:i w:val="1"/>
          <w:iCs w:val="1"/>
          <w:color w:val="auto"/>
        </w:rPr>
      </w:pPr>
    </w:p>
    <w:p>
      <w:pPr>
        <w:ind w:left="1620" w:hanging="532"/>
        <w:spacing w:after="0"/>
        <w:tabs>
          <w:tab w:leader="none" w:pos="1620" w:val="left"/>
        </w:tabs>
        <w:numPr>
          <w:ilvl w:val="0"/>
          <w:numId w:val="27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 “covered FSI” as that term is defined in, and interpreted in accordance with, 12 C.F.R. § 382.2(b).</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i w:val="1"/>
          <w:iCs w:val="1"/>
          <w:u w:val="single" w:color="auto"/>
          <w:color w:val="auto"/>
        </w:rPr>
        <w:t>Default Right</w:t>
      </w:r>
      <w:r>
        <w:rPr>
          <w:rFonts w:ascii="Times New Roman" w:cs="Times New Roman" w:eastAsia="Times New Roman" w:hAnsi="Times New Roman"/>
          <w:sz w:val="21"/>
          <w:szCs w:val="21"/>
          <w:i w:val="1"/>
          <w:iCs w:val="1"/>
          <w:color w:val="auto"/>
        </w:rPr>
        <w:t>” has the meaning assigned to that term in, and shall be interpreted in accordance with, 12 C.F.R.</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252.81, 47.2 or 382.1, as applicable.</w:t>
      </w:r>
    </w:p>
    <w:p>
      <w:pPr>
        <w:spacing w:after="0" w:line="151" w:lineRule="exact"/>
        <w:rPr>
          <w:sz w:val="20"/>
          <w:szCs w:val="20"/>
          <w:color w:val="auto"/>
        </w:rPr>
      </w:pPr>
    </w:p>
    <w:p>
      <w:pPr>
        <w:ind w:left="66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i w:val="1"/>
          <w:iCs w:val="1"/>
          <w:u w:val="single" w:color="auto"/>
          <w:color w:val="auto"/>
        </w:rPr>
        <w:t>QFC</w:t>
      </w:r>
      <w:r>
        <w:rPr>
          <w:rFonts w:ascii="Times New Roman" w:cs="Times New Roman" w:eastAsia="Times New Roman" w:hAnsi="Times New Roman"/>
          <w:sz w:val="22"/>
          <w:szCs w:val="22"/>
          <w:i w:val="1"/>
          <w:iCs w:val="1"/>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1240"/>
          </w:cols>
          <w:pgMar w:left="320" w:top="1395" w:right="339" w:bottom="1440" w:gutter="0" w:footer="0" w:header="0"/>
        </w:sectPr>
      </w:pPr>
    </w:p>
    <w:bookmarkStart w:id="196" w:name="page197"/>
    <w:bookmarkEnd w:id="196"/>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u w:val="single" w:color="auto"/>
          <w:color w:val="auto"/>
        </w:rPr>
        <w:t>Entire Agreement</w:t>
      </w:r>
    </w:p>
    <w:p>
      <w:pPr>
        <w:spacing w:after="0" w:line="175" w:lineRule="exact"/>
        <w:rPr>
          <w:sz w:val="20"/>
          <w:szCs w:val="20"/>
          <w:color w:val="auto"/>
        </w:rPr>
      </w:pPr>
    </w:p>
    <w:p>
      <w:pPr>
        <w:jc w:val="both"/>
        <w:ind w:firstLine="656"/>
        <w:spacing w:after="0" w:line="221" w:lineRule="auto"/>
        <w:tabs>
          <w:tab w:leader="none" w:pos="837" w:val="left"/>
        </w:tabs>
        <w:numPr>
          <w:ilvl w:val="0"/>
          <w:numId w:val="27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b w:val="1"/>
          <w:bCs w:val="1"/>
          <w:color w:val="auto"/>
        </w:rPr>
        <w:t>PURSUANT TO SECTION 26.02 OF THE TEXAS BUSINESS AND COMMERCE CODE, A LOAN AGREEMENT IN WHICH THE AMOUNT INVOLVED IN THE LOAN AGREEMENT EXCEEDS $50,000.00 IN VALUE IS NOT ENFORCEABLE UNLESS THE LOAN AGREEMENT IS IN WRITING AND SIGNED BY THE PARTY TO BE BOUND OR THAT PARTY’S AUTHORIZED REPRESENTATIVE.</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THE RIGHTS AND OBLIGATIONS OF THE PARTIES TO AN AGREEMENT SUBJECT TO THE PRECEDING PARAGRAPH SHALL BE DETERMINED SOLELY FROM THE WRITTEN LOAN AGREEMENT, AND ANY PRIOR ORAL AGREEMENTS BETWEEN THE PARTIES ARE SUPERSEDED BY AND MERGED INTO THE LOAN AGREEMENT. THIS WRITTEN AGREEMENT AND THE LOAN DOCUMENTS, AS DEFINED IN THIS AGREEMENT, REPRESENT THE FINAL AGREEMENT AMONG THE PARTIES WITH RESPECT TO THE SUBJECT MATTERS SET FORTH HEREIN AND MAY NOT BE CONTRADICTED BY EVIDENCE OF PRIOR, CONTEMPORANEOUS, OR SUBSEQUENT ORAL AGREEMENTS OF THE PARTIES.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Follow On Succeeding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jc w:val="center"/>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1240"/>
          </w:cols>
          <w:pgMar w:left="320" w:top="1395" w:right="3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22"/>
          <w:szCs w:val="22"/>
          <w:color w:val="auto"/>
        </w:rPr>
        <w:t>WITNESS the due execution hereof as of the day and year first above written.</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MRC ENERGY COMPANY</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color w:val="FF0000"/>
          <w:strike w:val="1"/>
        </w:rPr>
        <w:t>David E. Lancaster</w:t>
      </w:r>
      <w:r>
        <w:rPr>
          <w:rFonts w:ascii="Times New Roman" w:cs="Times New Roman" w:eastAsia="Times New Roman" w:hAnsi="Times New Roman"/>
          <w:sz w:val="22"/>
          <w:szCs w:val="22"/>
          <w:u w:val="single" w:color="auto"/>
          <w:color w:val="0000FF"/>
        </w:rPr>
        <w:t>Craig N. Adams</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5" w:right="1440" w:bottom="1440" w:gutter="0" w:footer="0" w:header="0"/>
        </w:sectPr>
      </w:pPr>
    </w:p>
    <w:bookmarkStart w:id="198" w:name="page199"/>
    <w:bookmarkEnd w:id="198"/>
    <w:p>
      <w:pPr>
        <w:ind w:left="3900"/>
        <w:spacing w:after="0"/>
        <w:rPr>
          <w:sz w:val="20"/>
          <w:szCs w:val="20"/>
          <w:color w:val="auto"/>
        </w:rPr>
      </w:pPr>
      <w:r>
        <w:rPr>
          <w:rFonts w:ascii="Times New Roman" w:cs="Times New Roman" w:eastAsia="Times New Roman" w:hAnsi="Times New Roman"/>
          <w:sz w:val="22"/>
          <w:szCs w:val="22"/>
          <w:b w:val="1"/>
          <w:bCs w:val="1"/>
          <w:color w:val="auto"/>
        </w:rPr>
        <w:t>ROYAL BANK OF CANADA</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ROYAL BANK OF CANADA</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 and as an Issuing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199" w:name="page200"/>
    <w:bookmarkEnd w:id="199"/>
    <w:p>
      <w:pPr>
        <w:ind w:left="3900"/>
        <w:spacing w:after="0"/>
        <w:rPr>
          <w:sz w:val="20"/>
          <w:szCs w:val="20"/>
          <w:color w:val="auto"/>
        </w:rPr>
      </w:pP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00" w:name="page201"/>
    <w:bookmarkEnd w:id="200"/>
    <w:p>
      <w:pPr>
        <w:ind w:left="3900"/>
        <w:spacing w:after="0"/>
        <w:rPr>
          <w:sz w:val="20"/>
          <w:szCs w:val="20"/>
          <w:color w:val="auto"/>
        </w:rPr>
      </w:pPr>
      <w:r>
        <w:rPr>
          <w:rFonts w:ascii="Times New Roman" w:cs="Times New Roman" w:eastAsia="Times New Roman" w:hAnsi="Times New Roman"/>
          <w:sz w:val="22"/>
          <w:szCs w:val="22"/>
          <w:b w:val="1"/>
          <w:bCs w:val="1"/>
          <w:color w:val="auto"/>
        </w:rPr>
        <w:t>COMERICA BANK</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01" w:name="page202"/>
    <w:bookmarkEnd w:id="201"/>
    <w:p>
      <w:pPr>
        <w:ind w:left="3900"/>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02" w:name="page203"/>
    <w:bookmarkEnd w:id="202"/>
    <w:p>
      <w:pPr>
        <w:ind w:left="3900" w:right="1039"/>
        <w:spacing w:after="0" w:line="238" w:lineRule="auto"/>
        <w:rPr>
          <w:sz w:val="20"/>
          <w:szCs w:val="20"/>
          <w:color w:val="auto"/>
        </w:rPr>
      </w:pPr>
      <w:r>
        <w:rPr>
          <w:rFonts w:ascii="Times New Roman" w:cs="Times New Roman" w:eastAsia="Times New Roman" w:hAnsi="Times New Roman"/>
          <w:sz w:val="22"/>
          <w:szCs w:val="22"/>
          <w:b w:val="1"/>
          <w:bCs w:val="1"/>
          <w:color w:val="auto"/>
        </w:rPr>
        <w:t>THE BANK OF NOVA SCOTIA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HOUSTON BRANCH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7"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203" w:name="page204"/>
    <w:bookmarkEnd w:id="203"/>
    <w:p>
      <w:pPr>
        <w:ind w:left="3900"/>
        <w:spacing w:after="0"/>
        <w:rPr>
          <w:sz w:val="20"/>
          <w:szCs w:val="20"/>
          <w:color w:val="auto"/>
        </w:rPr>
      </w:pPr>
      <w:r>
        <w:rPr>
          <w:rFonts w:ascii="Times New Roman" w:cs="Times New Roman" w:eastAsia="Times New Roman" w:hAnsi="Times New Roman"/>
          <w:sz w:val="22"/>
          <w:szCs w:val="22"/>
          <w:b w:val="1"/>
          <w:bCs w:val="1"/>
          <w:color w:val="auto"/>
        </w:rPr>
        <w:t>IBERIABANK</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04" w:name="page205"/>
    <w:bookmarkEnd w:id="204"/>
    <w:p>
      <w:pPr>
        <w:ind w:left="3900"/>
        <w:spacing w:after="0"/>
        <w:rPr>
          <w:sz w:val="20"/>
          <w:szCs w:val="20"/>
          <w:color w:val="auto"/>
        </w:rPr>
      </w:pPr>
      <w:r>
        <w:rPr>
          <w:rFonts w:ascii="Times New Roman" w:cs="Times New Roman" w:eastAsia="Times New Roman" w:hAnsi="Times New Roman"/>
          <w:sz w:val="22"/>
          <w:szCs w:val="22"/>
          <w:b w:val="1"/>
          <w:bCs w:val="1"/>
          <w:color w:val="auto"/>
        </w:rPr>
        <w:t>PNC BANK</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NATIONAL ASSOCIATION,</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05" w:name="page206"/>
    <w:bookmarkEnd w:id="205"/>
    <w:p>
      <w:pPr>
        <w:ind w:left="3900"/>
        <w:spacing w:after="0"/>
        <w:rPr>
          <w:sz w:val="20"/>
          <w:szCs w:val="20"/>
          <w:color w:val="auto"/>
        </w:rPr>
      </w:pPr>
      <w:r>
        <w:rPr>
          <w:rFonts w:ascii="Times New Roman" w:cs="Times New Roman" w:eastAsia="Times New Roman" w:hAnsi="Times New Roman"/>
          <w:sz w:val="22"/>
          <w:szCs w:val="22"/>
          <w:b w:val="1"/>
          <w:bCs w:val="1"/>
          <w:color w:val="auto"/>
        </w:rPr>
        <w:t>CATHAY BANK</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06" w:name="page207"/>
    <w:bookmarkEnd w:id="206"/>
    <w:p>
      <w:pPr>
        <w:ind w:left="3900"/>
        <w:spacing w:after="0"/>
        <w:rPr>
          <w:sz w:val="20"/>
          <w:szCs w:val="20"/>
          <w:color w:val="auto"/>
        </w:rPr>
      </w:pPr>
      <w:r>
        <w:rPr>
          <w:rFonts w:ascii="Times New Roman" w:cs="Times New Roman" w:eastAsia="Times New Roman" w:hAnsi="Times New Roman"/>
          <w:sz w:val="22"/>
          <w:szCs w:val="22"/>
          <w:b w:val="1"/>
          <w:bCs w:val="1"/>
          <w:color w:val="auto"/>
        </w:rPr>
        <w:t>KEYBANK NATIONAL ASSOCIATION</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07" w:name="page208"/>
    <w:bookmarkEnd w:id="207"/>
    <w:p>
      <w:pPr>
        <w:ind w:left="3900"/>
        <w:spacing w:after="0"/>
        <w:rPr>
          <w:sz w:val="20"/>
          <w:szCs w:val="20"/>
          <w:color w:val="auto"/>
        </w:rPr>
      </w:pPr>
      <w:r>
        <w:rPr>
          <w:rFonts w:ascii="Times New Roman" w:cs="Times New Roman" w:eastAsia="Times New Roman" w:hAnsi="Times New Roman"/>
          <w:sz w:val="22"/>
          <w:szCs w:val="22"/>
          <w:b w:val="1"/>
          <w:bCs w:val="1"/>
          <w:color w:val="auto"/>
        </w:rPr>
        <w:t>U.S. BANK</w:t>
      </w: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b w:val="1"/>
          <w:bCs w:val="1"/>
          <w:color w:val="auto"/>
        </w:rPr>
        <w:t xml:space="preserve"> NATIONAL ASSOCIATION</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08" w:name="page209"/>
    <w:bookmarkEnd w:id="208"/>
    <w:p>
      <w:pPr>
        <w:ind w:left="3900"/>
        <w:spacing w:after="0"/>
        <w:rPr>
          <w:sz w:val="20"/>
          <w:szCs w:val="20"/>
          <w:color w:val="auto"/>
        </w:rPr>
      </w:pPr>
      <w:r>
        <w:rPr>
          <w:rFonts w:ascii="Times New Roman" w:cs="Times New Roman" w:eastAsia="Times New Roman" w:hAnsi="Times New Roman"/>
          <w:sz w:val="21"/>
          <w:szCs w:val="21"/>
          <w:b w:val="1"/>
          <w:bCs w:val="1"/>
          <w:color w:val="auto"/>
        </w:rPr>
        <w:t>ZIONS BANCORPORATION, N.A. dba Amegy Bank</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91" w:right="1440" w:bottom="1440" w:gutter="0" w:footer="0" w:header="0"/>
        </w:sectPr>
      </w:pPr>
    </w:p>
    <w:bookmarkStart w:id="209" w:name="page210"/>
    <w:bookmarkEnd w:id="209"/>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0000FF"/>
        </w:rPr>
        <w:t>MUFG BANK, LTD.</w:t>
      </w:r>
      <w:r>
        <w:rPr>
          <w:rFonts w:ascii="Times New Roman" w:cs="Times New Roman" w:eastAsia="Times New Roman" w:hAnsi="Times New Roman"/>
          <w:sz w:val="22"/>
          <w:szCs w:val="22"/>
          <w:u w:val="single" w:color="auto"/>
          <w:color w:val="0000FF"/>
        </w:rPr>
        <w:t>,</w:t>
      </w:r>
    </w:p>
    <w:p>
      <w:pPr>
        <w:ind w:left="3900"/>
        <w:spacing w:after="0"/>
        <w:rPr>
          <w:sz w:val="20"/>
          <w:szCs w:val="20"/>
          <w:color w:val="auto"/>
        </w:rPr>
      </w:pPr>
      <w:r>
        <w:rPr>
          <w:rFonts w:ascii="Times New Roman" w:cs="Times New Roman" w:eastAsia="Times New Roman" w:hAnsi="Times New Roman"/>
          <w:sz w:val="22"/>
          <w:szCs w:val="22"/>
          <w:u w:val="single" w:color="auto"/>
          <w:color w:val="0000FF"/>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u w:val="single" w:color="auto"/>
          <w:color w:val="0000FF"/>
        </w:rPr>
        <w:t>By:</w:t>
      </w:r>
      <w:r>
        <w:rPr>
          <w:sz w:val="20"/>
          <w:szCs w:val="20"/>
          <w:color w:val="auto"/>
        </w:rPr>
        <w:tab/>
      </w:r>
      <w:r>
        <w:rPr>
          <w:rFonts w:ascii="Times New Roman" w:cs="Times New Roman" w:eastAsia="Times New Roman" w:hAnsi="Times New Roman"/>
          <w:sz w:val="21"/>
          <w:szCs w:val="21"/>
          <w:u w:val="single" w:color="auto"/>
          <w:color w:val="0000FF"/>
        </w:rPr>
        <w:t>___________________________________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MRC Energy Company Credit Agreement</w:t>
      </w:r>
    </w:p>
    <w:p>
      <w:pPr>
        <w:ind w:left="5200"/>
        <w:spacing w:after="0"/>
        <w:rPr>
          <w:sz w:val="20"/>
          <w:szCs w:val="20"/>
          <w:color w:val="auto"/>
        </w:rPr>
      </w:pPr>
      <w:r>
        <w:rPr>
          <w:rFonts w:ascii="Times New Roman" w:cs="Times New Roman" w:eastAsia="Times New Roman" w:hAnsi="Times New Roman"/>
          <w:sz w:val="14"/>
          <w:szCs w:val="14"/>
          <w:color w:val="auto"/>
        </w:rPr>
        <w:t>Signature Page</w:t>
      </w:r>
    </w:p>
    <w:p>
      <w:pPr>
        <w:sectPr>
          <w:pgSz w:w="11900" w:h="16838" w:orient="portrait"/>
          <w:cols w:equalWidth="0" w:num="1">
            <w:col w:w="10139"/>
          </w:cols>
          <w:pgMar w:left="320" w:top="1382" w:right="1440" w:bottom="1440" w:gutter="0" w:footer="0" w:header="0"/>
        </w:sectPr>
      </w:pPr>
    </w:p>
    <w:bookmarkStart w:id="210" w:name="page211"/>
    <w:bookmarkEnd w:id="210"/>
    <w:p>
      <w:pPr>
        <w:ind w:left="5032"/>
        <w:spacing w:after="0"/>
        <w:rPr>
          <w:sz w:val="20"/>
          <w:szCs w:val="20"/>
          <w:color w:val="auto"/>
        </w:rPr>
      </w:pPr>
      <w:r>
        <w:rPr>
          <w:rFonts w:ascii="Times New Roman" w:cs="Times New Roman" w:eastAsia="Times New Roman" w:hAnsi="Times New Roman"/>
          <w:sz w:val="22"/>
          <w:szCs w:val="22"/>
          <w:b w:val="1"/>
          <w:bCs w:val="1"/>
          <w:color w:val="auto"/>
        </w:rPr>
        <w:t>Schedule 1.1</w:t>
      </w:r>
    </w:p>
    <w:p>
      <w:pPr>
        <w:spacing w:after="0" w:line="170" w:lineRule="exact"/>
        <w:rPr>
          <w:sz w:val="20"/>
          <w:szCs w:val="20"/>
          <w:color w:val="auto"/>
        </w:rPr>
      </w:pPr>
    </w:p>
    <w:p>
      <w:pPr>
        <w:ind w:left="4492"/>
        <w:spacing w:after="0"/>
        <w:rPr>
          <w:sz w:val="20"/>
          <w:szCs w:val="20"/>
          <w:color w:val="auto"/>
        </w:rPr>
      </w:pPr>
      <w:r>
        <w:rPr>
          <w:rFonts w:ascii="Times New Roman" w:cs="Times New Roman" w:eastAsia="Times New Roman" w:hAnsi="Times New Roman"/>
          <w:sz w:val="22"/>
          <w:szCs w:val="22"/>
          <w:b w:val="1"/>
          <w:bCs w:val="1"/>
          <w:color w:val="auto"/>
        </w:rPr>
        <w:t>Applicable Margin Grid</w:t>
      </w:r>
    </w:p>
    <w:p>
      <w:pPr>
        <w:ind w:left="4452"/>
        <w:spacing w:after="0" w:line="204" w:lineRule="auto"/>
        <w:rPr>
          <w:sz w:val="20"/>
          <w:szCs w:val="20"/>
          <w:color w:val="auto"/>
        </w:rPr>
      </w:pPr>
      <w:r>
        <w:rPr>
          <w:rFonts w:ascii="Times New Roman" w:cs="Times New Roman" w:eastAsia="Times New Roman" w:hAnsi="Times New Roman"/>
          <w:sz w:val="22"/>
          <w:szCs w:val="22"/>
          <w:b w:val="1"/>
          <w:bCs w:val="1"/>
          <w:u w:val="single" w:color="auto"/>
          <w:color w:val="auto"/>
        </w:rPr>
        <w:t>Revolving Credit Facility</w:t>
      </w:r>
    </w:p>
    <w:p>
      <w:pPr>
        <w:spacing w:after="0" w:line="1" w:lineRule="exact"/>
        <w:rPr>
          <w:sz w:val="20"/>
          <w:szCs w:val="20"/>
          <w:color w:val="auto"/>
        </w:rPr>
      </w:pPr>
    </w:p>
    <w:p>
      <w:pPr>
        <w:ind w:left="4472"/>
        <w:spacing w:after="0"/>
        <w:rPr>
          <w:sz w:val="20"/>
          <w:szCs w:val="20"/>
          <w:color w:val="auto"/>
        </w:rPr>
      </w:pPr>
      <w:r>
        <w:rPr>
          <w:rFonts w:ascii="Times New Roman" w:cs="Times New Roman" w:eastAsia="Times New Roman" w:hAnsi="Times New Roman"/>
          <w:sz w:val="22"/>
          <w:szCs w:val="22"/>
          <w:b w:val="1"/>
          <w:bCs w:val="1"/>
          <w:color w:val="auto"/>
        </w:rPr>
        <w:t>(basis points per annum)</w:t>
      </w:r>
    </w:p>
    <w:p>
      <w:pPr>
        <w:spacing w:after="0" w:line="200" w:lineRule="exact"/>
        <w:rPr>
          <w:sz w:val="20"/>
          <w:szCs w:val="20"/>
          <w:color w:val="auto"/>
        </w:rPr>
      </w:pPr>
    </w:p>
    <w:p>
      <w:pPr>
        <w:spacing w:after="0" w:line="246" w:lineRule="exact"/>
        <w:rPr>
          <w:sz w:val="20"/>
          <w:szCs w:val="20"/>
          <w:color w:val="auto"/>
        </w:rPr>
      </w:pPr>
    </w:p>
    <w:tbl>
      <w:tblPr>
        <w:tblLayout w:type="fixed"/>
        <w:tblInd w:w="902" w:type="dxa"/>
        <w:tblCellMar>
          <w:top w:w="0" w:type="dxa"/>
          <w:left w:w="0" w:type="dxa"/>
          <w:bottom w:w="0" w:type="dxa"/>
          <w:right w:w="0" w:type="dxa"/>
        </w:tblCellMar>
      </w:tblPr>
      <w:tr>
        <w:trPr>
          <w:trHeight w:val="309"/>
        </w:trPr>
        <w:tc>
          <w:tcPr>
            <w:tcW w:w="3240" w:type="dxa"/>
            <w:vAlign w:val="bottom"/>
            <w:tcBorders>
              <w:top w:val="single" w:sz="8" w:color="595959"/>
              <w:left w:val="single" w:sz="8" w:color="595959"/>
              <w:right w:val="single" w:sz="8" w:color="595959"/>
            </w:tcBorders>
            <w:gridSpan w:val="7"/>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Basis for Pricing</w:t>
            </w:r>
          </w:p>
        </w:tc>
        <w:tc>
          <w:tcPr>
            <w:tcW w:w="1000" w:type="dxa"/>
            <w:vAlign w:val="bottom"/>
            <w:tcBorders>
              <w:top w:val="single" w:sz="8" w:color="595959"/>
              <w:right w:val="single" w:sz="8" w:color="595959"/>
            </w:tcBorders>
          </w:tcPr>
          <w:p>
            <w:pPr>
              <w:ind w:left="160"/>
              <w:spacing w:after="0"/>
              <w:rPr>
                <w:sz w:val="20"/>
                <w:szCs w:val="20"/>
                <w:color w:val="auto"/>
              </w:rPr>
            </w:pPr>
            <w:r>
              <w:rPr>
                <w:rFonts w:ascii="Times New Roman" w:cs="Times New Roman" w:eastAsia="Times New Roman" w:hAnsi="Times New Roman"/>
                <w:sz w:val="22"/>
                <w:szCs w:val="22"/>
                <w:b w:val="1"/>
                <w:bCs w:val="1"/>
                <w:color w:val="auto"/>
              </w:rPr>
              <w:t>Level I</w:t>
            </w:r>
          </w:p>
        </w:tc>
        <w:tc>
          <w:tcPr>
            <w:tcW w:w="1160" w:type="dxa"/>
            <w:vAlign w:val="bottom"/>
            <w:tcBorders>
              <w:top w:val="single" w:sz="8" w:color="595959"/>
              <w:right w:val="single" w:sz="8" w:color="595959"/>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Level II</w:t>
            </w:r>
          </w:p>
        </w:tc>
        <w:tc>
          <w:tcPr>
            <w:tcW w:w="1140" w:type="dxa"/>
            <w:vAlign w:val="bottom"/>
            <w:tcBorders>
              <w:top w:val="single" w:sz="8" w:color="595959"/>
              <w:right w:val="single" w:sz="8" w:color="595959"/>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Level III</w:t>
            </w:r>
          </w:p>
        </w:tc>
        <w:tc>
          <w:tcPr>
            <w:tcW w:w="1080" w:type="dxa"/>
            <w:vAlign w:val="bottom"/>
            <w:tcBorders>
              <w:top w:val="single" w:sz="8" w:color="595959"/>
              <w:right w:val="single" w:sz="8" w:color="595959"/>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Level IV</w:t>
            </w:r>
          </w:p>
        </w:tc>
        <w:tc>
          <w:tcPr>
            <w:tcW w:w="200" w:type="dxa"/>
            <w:vAlign w:val="bottom"/>
            <w:tcBorders>
              <w:top w:val="single" w:sz="8" w:color="595959"/>
            </w:tcBorders>
          </w:tcPr>
          <w:p>
            <w:pPr>
              <w:spacing w:after="0"/>
              <w:rPr>
                <w:sz w:val="24"/>
                <w:szCs w:val="24"/>
                <w:color w:val="auto"/>
              </w:rPr>
            </w:pPr>
          </w:p>
        </w:tc>
        <w:tc>
          <w:tcPr>
            <w:tcW w:w="940" w:type="dxa"/>
            <w:vAlign w:val="bottom"/>
            <w:tcBorders>
              <w:top w:val="single" w:sz="8" w:color="595959"/>
              <w:right w:val="single" w:sz="8" w:color="595959"/>
            </w:tcBorders>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8"/>
              </w:rPr>
              <w:t>Level V</w:t>
            </w:r>
          </w:p>
        </w:tc>
        <w:tc>
          <w:tcPr>
            <w:tcW w:w="0" w:type="dxa"/>
            <w:vAlign w:val="bottom"/>
          </w:tcPr>
          <w:p>
            <w:pPr>
              <w:spacing w:after="0"/>
              <w:rPr>
                <w:sz w:val="1"/>
                <w:szCs w:val="1"/>
                <w:color w:val="auto"/>
              </w:rPr>
            </w:pPr>
          </w:p>
        </w:tc>
      </w:tr>
      <w:tr>
        <w:trPr>
          <w:trHeight w:val="28"/>
        </w:trPr>
        <w:tc>
          <w:tcPr>
            <w:tcW w:w="1660" w:type="dxa"/>
            <w:vAlign w:val="bottom"/>
            <w:tcBorders>
              <w:left w:val="single" w:sz="8" w:color="595959"/>
              <w:bottom w:val="single" w:sz="8" w:color="595959"/>
            </w:tcBorders>
          </w:tcPr>
          <w:p>
            <w:pPr>
              <w:spacing w:after="0"/>
              <w:rPr>
                <w:sz w:val="2"/>
                <w:szCs w:val="2"/>
                <w:color w:val="auto"/>
              </w:rPr>
            </w:pPr>
          </w:p>
        </w:tc>
        <w:tc>
          <w:tcPr>
            <w:tcW w:w="6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20" w:type="dxa"/>
            <w:vAlign w:val="bottom"/>
            <w:tcBorders>
              <w:bottom w:val="single" w:sz="8" w:color="595959"/>
              <w:right w:val="single" w:sz="8" w:color="595959"/>
            </w:tcBorders>
          </w:tcPr>
          <w:p>
            <w:pPr>
              <w:spacing w:after="0"/>
              <w:rPr>
                <w:sz w:val="2"/>
                <w:szCs w:val="2"/>
                <w:color w:val="auto"/>
              </w:rPr>
            </w:pPr>
          </w:p>
        </w:tc>
        <w:tc>
          <w:tcPr>
            <w:tcW w:w="1000" w:type="dxa"/>
            <w:vAlign w:val="bottom"/>
            <w:tcBorders>
              <w:bottom w:val="single" w:sz="8" w:color="595959"/>
              <w:right w:val="single" w:sz="8" w:color="595959"/>
            </w:tcBorders>
          </w:tcPr>
          <w:p>
            <w:pPr>
              <w:spacing w:after="0"/>
              <w:rPr>
                <w:sz w:val="2"/>
                <w:szCs w:val="2"/>
                <w:color w:val="auto"/>
              </w:rPr>
            </w:pPr>
          </w:p>
        </w:tc>
        <w:tc>
          <w:tcPr>
            <w:tcW w:w="1160" w:type="dxa"/>
            <w:vAlign w:val="bottom"/>
            <w:tcBorders>
              <w:bottom w:val="single" w:sz="8" w:color="595959"/>
              <w:right w:val="single" w:sz="8" w:color="595959"/>
            </w:tcBorders>
          </w:tcPr>
          <w:p>
            <w:pPr>
              <w:spacing w:after="0"/>
              <w:rPr>
                <w:sz w:val="2"/>
                <w:szCs w:val="2"/>
                <w:color w:val="auto"/>
              </w:rPr>
            </w:pPr>
          </w:p>
        </w:tc>
        <w:tc>
          <w:tcPr>
            <w:tcW w:w="1140" w:type="dxa"/>
            <w:vAlign w:val="bottom"/>
            <w:tcBorders>
              <w:bottom w:val="single" w:sz="8" w:color="595959"/>
              <w:right w:val="single" w:sz="8" w:color="595959"/>
            </w:tcBorders>
          </w:tcPr>
          <w:p>
            <w:pPr>
              <w:spacing w:after="0"/>
              <w:rPr>
                <w:sz w:val="2"/>
                <w:szCs w:val="2"/>
                <w:color w:val="auto"/>
              </w:rPr>
            </w:pPr>
          </w:p>
        </w:tc>
        <w:tc>
          <w:tcPr>
            <w:tcW w:w="1080" w:type="dxa"/>
            <w:vAlign w:val="bottom"/>
            <w:tcBorders>
              <w:bottom w:val="single" w:sz="8" w:color="595959"/>
              <w:right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820" w:type="dxa"/>
            <w:vAlign w:val="bottom"/>
            <w:tcBorders>
              <w:bottom w:val="single" w:sz="8" w:color="595959"/>
              <w:right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240" w:type="dxa"/>
            <w:vAlign w:val="bottom"/>
            <w:tcBorders>
              <w:left w:val="single" w:sz="8" w:color="595959"/>
              <w:right w:val="single" w:sz="8" w:color="595959"/>
            </w:tcBorders>
            <w:gridSpan w:val="7"/>
            <w:vMerge w:val="restart"/>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Borrowing Base Utilization*</w:t>
            </w:r>
          </w:p>
        </w:tc>
        <w:tc>
          <w:tcPr>
            <w:tcW w:w="1000" w:type="dxa"/>
            <w:vAlign w:val="bottom"/>
            <w:tcBorders>
              <w:right w:val="single" w:sz="8" w:color="595959"/>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6"/>
              </w:rPr>
              <w:t>&lt; 25%</w:t>
            </w:r>
          </w:p>
        </w:tc>
        <w:tc>
          <w:tcPr>
            <w:tcW w:w="1160" w:type="dxa"/>
            <w:vAlign w:val="bottom"/>
            <w:tcBorders>
              <w:right w:val="single" w:sz="8" w:color="595959"/>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9"/>
              </w:rPr>
              <w:t>≥ 25% but</w:t>
            </w:r>
          </w:p>
        </w:tc>
        <w:tc>
          <w:tcPr>
            <w:tcW w:w="1140" w:type="dxa"/>
            <w:vAlign w:val="bottom"/>
            <w:tcBorders>
              <w:right w:val="single" w:sz="8" w:color="595959"/>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9"/>
              </w:rPr>
              <w:t>≥ 50% but</w:t>
            </w:r>
          </w:p>
        </w:tc>
        <w:tc>
          <w:tcPr>
            <w:tcW w:w="1080" w:type="dxa"/>
            <w:vAlign w:val="bottom"/>
            <w:tcBorders>
              <w:right w:val="single" w:sz="8" w:color="595959"/>
            </w:tcBorders>
          </w:tcPr>
          <w:p>
            <w:pPr>
              <w:jc w:val="center"/>
              <w:spacing w:after="0" w:line="220" w:lineRule="exact"/>
              <w:rPr>
                <w:sz w:val="20"/>
                <w:szCs w:val="20"/>
                <w:color w:val="auto"/>
              </w:rPr>
            </w:pPr>
            <w:r>
              <w:rPr>
                <w:rFonts w:ascii="Times New Roman" w:cs="Times New Roman" w:eastAsia="Times New Roman" w:hAnsi="Times New Roman"/>
                <w:sz w:val="22"/>
                <w:szCs w:val="22"/>
                <w:b w:val="1"/>
                <w:bCs w:val="1"/>
                <w:color w:val="auto"/>
                <w:w w:val="97"/>
              </w:rPr>
              <w:t>≥ 75%</w:t>
            </w:r>
          </w:p>
        </w:tc>
        <w:tc>
          <w:tcPr>
            <w:tcW w:w="1140" w:type="dxa"/>
            <w:vAlign w:val="bottom"/>
            <w:tcBorders>
              <w:right w:val="single" w:sz="8" w:color="595959"/>
            </w:tcBorders>
            <w:gridSpan w:val="3"/>
          </w:tcPr>
          <w:p>
            <w:pPr>
              <w:jc w:val="center"/>
              <w:ind w:right="20"/>
              <w:spacing w:after="0" w:line="220" w:lineRule="exact"/>
              <w:rPr>
                <w:sz w:val="20"/>
                <w:szCs w:val="20"/>
                <w:color w:val="auto"/>
              </w:rPr>
            </w:pPr>
            <w:r>
              <w:rPr>
                <w:rFonts w:ascii="Times New Roman" w:cs="Times New Roman" w:eastAsia="Times New Roman" w:hAnsi="Times New Roman"/>
                <w:sz w:val="22"/>
                <w:szCs w:val="22"/>
                <w:b w:val="1"/>
                <w:bCs w:val="1"/>
                <w:color w:val="auto"/>
                <w:w w:val="97"/>
              </w:rPr>
              <w:t>≥ 90% but</w:t>
            </w:r>
          </w:p>
        </w:tc>
        <w:tc>
          <w:tcPr>
            <w:tcW w:w="0" w:type="dxa"/>
            <w:vAlign w:val="bottom"/>
          </w:tcPr>
          <w:p>
            <w:pPr>
              <w:spacing w:after="0"/>
              <w:rPr>
                <w:sz w:val="1"/>
                <w:szCs w:val="1"/>
                <w:color w:val="auto"/>
              </w:rPr>
            </w:pPr>
          </w:p>
        </w:tc>
      </w:tr>
      <w:tr>
        <w:trPr>
          <w:trHeight w:val="206"/>
        </w:trPr>
        <w:tc>
          <w:tcPr>
            <w:tcW w:w="3240" w:type="dxa"/>
            <w:vAlign w:val="bottom"/>
            <w:tcBorders>
              <w:left w:val="single" w:sz="8" w:color="595959"/>
              <w:right w:val="single" w:sz="8" w:color="595959"/>
            </w:tcBorders>
            <w:gridSpan w:val="7"/>
            <w:vMerge w:val="continue"/>
          </w:tcPr>
          <w:p>
            <w:pPr>
              <w:spacing w:after="0"/>
              <w:rPr>
                <w:sz w:val="17"/>
                <w:szCs w:val="17"/>
                <w:color w:val="auto"/>
              </w:rPr>
            </w:pPr>
          </w:p>
        </w:tc>
        <w:tc>
          <w:tcPr>
            <w:tcW w:w="1000" w:type="dxa"/>
            <w:vAlign w:val="bottom"/>
            <w:tcBorders>
              <w:right w:val="single" w:sz="8" w:color="595959"/>
            </w:tcBorders>
          </w:tcPr>
          <w:p>
            <w:pPr>
              <w:spacing w:after="0"/>
              <w:rPr>
                <w:sz w:val="17"/>
                <w:szCs w:val="17"/>
                <w:color w:val="auto"/>
              </w:rPr>
            </w:pPr>
          </w:p>
        </w:tc>
        <w:tc>
          <w:tcPr>
            <w:tcW w:w="1160" w:type="dxa"/>
            <w:vAlign w:val="bottom"/>
            <w:tcBorders>
              <w:right w:val="single" w:sz="8" w:color="595959"/>
            </w:tcBorders>
          </w:tcPr>
          <w:p>
            <w:pPr>
              <w:jc w:val="center"/>
              <w:spacing w:after="0" w:line="206" w:lineRule="exact"/>
              <w:rPr>
                <w:sz w:val="20"/>
                <w:szCs w:val="20"/>
                <w:color w:val="auto"/>
              </w:rPr>
            </w:pPr>
            <w:r>
              <w:rPr>
                <w:rFonts w:ascii="Times New Roman" w:cs="Times New Roman" w:eastAsia="Times New Roman" w:hAnsi="Times New Roman"/>
                <w:sz w:val="22"/>
                <w:szCs w:val="22"/>
                <w:b w:val="1"/>
                <w:bCs w:val="1"/>
                <w:color w:val="auto"/>
                <w:w w:val="96"/>
              </w:rPr>
              <w:t>&lt; 50%</w:t>
            </w:r>
          </w:p>
        </w:tc>
        <w:tc>
          <w:tcPr>
            <w:tcW w:w="1140" w:type="dxa"/>
            <w:vAlign w:val="bottom"/>
            <w:tcBorders>
              <w:right w:val="single" w:sz="8" w:color="595959"/>
            </w:tcBorders>
          </w:tcPr>
          <w:p>
            <w:pPr>
              <w:jc w:val="center"/>
              <w:spacing w:after="0" w:line="206" w:lineRule="exact"/>
              <w:rPr>
                <w:sz w:val="20"/>
                <w:szCs w:val="20"/>
                <w:color w:val="auto"/>
              </w:rPr>
            </w:pPr>
            <w:r>
              <w:rPr>
                <w:rFonts w:ascii="Times New Roman" w:cs="Times New Roman" w:eastAsia="Times New Roman" w:hAnsi="Times New Roman"/>
                <w:sz w:val="22"/>
                <w:szCs w:val="22"/>
                <w:b w:val="1"/>
                <w:bCs w:val="1"/>
                <w:color w:val="auto"/>
                <w:w w:val="99"/>
              </w:rPr>
              <w:t>&lt; 75%</w:t>
            </w:r>
          </w:p>
        </w:tc>
        <w:tc>
          <w:tcPr>
            <w:tcW w:w="1080" w:type="dxa"/>
            <w:vAlign w:val="bottom"/>
            <w:tcBorders>
              <w:right w:val="single" w:sz="8" w:color="595959"/>
            </w:tcBorders>
          </w:tcPr>
          <w:p>
            <w:pPr>
              <w:jc w:val="center"/>
              <w:spacing w:after="0" w:line="206" w:lineRule="exact"/>
              <w:rPr>
                <w:sz w:val="20"/>
                <w:szCs w:val="20"/>
                <w:color w:val="auto"/>
              </w:rPr>
            </w:pPr>
            <w:r>
              <w:rPr>
                <w:rFonts w:ascii="Times New Roman" w:cs="Times New Roman" w:eastAsia="Times New Roman" w:hAnsi="Times New Roman"/>
                <w:sz w:val="22"/>
                <w:szCs w:val="22"/>
                <w:b w:val="1"/>
                <w:bCs w:val="1"/>
                <w:color w:val="auto"/>
                <w:w w:val="94"/>
              </w:rPr>
              <w:t>but</w:t>
            </w:r>
          </w:p>
        </w:tc>
        <w:tc>
          <w:tcPr>
            <w:tcW w:w="1140" w:type="dxa"/>
            <w:vAlign w:val="bottom"/>
            <w:tcBorders>
              <w:right w:val="single" w:sz="8" w:color="595959"/>
            </w:tcBorders>
            <w:gridSpan w:val="3"/>
          </w:tcPr>
          <w:p>
            <w:pPr>
              <w:jc w:val="center"/>
              <w:ind w:right="20"/>
              <w:spacing w:after="0" w:line="206" w:lineRule="exact"/>
              <w:rPr>
                <w:sz w:val="20"/>
                <w:szCs w:val="20"/>
                <w:color w:val="auto"/>
              </w:rPr>
            </w:pPr>
            <w:r>
              <w:rPr>
                <w:rFonts w:ascii="Times New Roman" w:cs="Times New Roman" w:eastAsia="Times New Roman" w:hAnsi="Times New Roman"/>
                <w:sz w:val="22"/>
                <w:szCs w:val="22"/>
                <w:color w:val="auto"/>
                <w:w w:val="98"/>
              </w:rPr>
              <w:t xml:space="preserve">&lt; </w:t>
            </w:r>
            <w:r>
              <w:rPr>
                <w:rFonts w:ascii="Times New Roman" w:cs="Times New Roman" w:eastAsia="Times New Roman" w:hAnsi="Times New Roman"/>
                <w:sz w:val="22"/>
                <w:szCs w:val="22"/>
                <w:b w:val="1"/>
                <w:bCs w:val="1"/>
                <w:color w:val="auto"/>
                <w:w w:val="98"/>
              </w:rPr>
              <w:t>100%</w:t>
            </w:r>
          </w:p>
        </w:tc>
        <w:tc>
          <w:tcPr>
            <w:tcW w:w="0" w:type="dxa"/>
            <w:vAlign w:val="bottom"/>
          </w:tcPr>
          <w:p>
            <w:pPr>
              <w:spacing w:after="0"/>
              <w:rPr>
                <w:sz w:val="1"/>
                <w:szCs w:val="1"/>
                <w:color w:val="auto"/>
              </w:rPr>
            </w:pPr>
          </w:p>
        </w:tc>
      </w:tr>
      <w:tr>
        <w:trPr>
          <w:trHeight w:val="250"/>
        </w:trPr>
        <w:tc>
          <w:tcPr>
            <w:tcW w:w="1660" w:type="dxa"/>
            <w:vAlign w:val="bottom"/>
            <w:tcBorders>
              <w:left w:val="single" w:sz="8" w:color="595959"/>
              <w:bottom w:val="single" w:sz="8" w:color="595959"/>
            </w:tcBorders>
          </w:tcPr>
          <w:p>
            <w:pPr>
              <w:spacing w:after="0"/>
              <w:rPr>
                <w:sz w:val="21"/>
                <w:szCs w:val="21"/>
                <w:color w:val="auto"/>
              </w:rPr>
            </w:pPr>
          </w:p>
        </w:tc>
        <w:tc>
          <w:tcPr>
            <w:tcW w:w="60" w:type="dxa"/>
            <w:vAlign w:val="bottom"/>
            <w:tcBorders>
              <w:bottom w:val="single" w:sz="8" w:color="595959"/>
            </w:tcBorders>
          </w:tcPr>
          <w:p>
            <w:pPr>
              <w:spacing w:after="0"/>
              <w:rPr>
                <w:sz w:val="21"/>
                <w:szCs w:val="21"/>
                <w:color w:val="auto"/>
              </w:rPr>
            </w:pPr>
          </w:p>
        </w:tc>
        <w:tc>
          <w:tcPr>
            <w:tcW w:w="860" w:type="dxa"/>
            <w:vAlign w:val="bottom"/>
            <w:tcBorders>
              <w:bottom w:val="single" w:sz="8" w:color="595959"/>
            </w:tcBorders>
          </w:tcPr>
          <w:p>
            <w:pPr>
              <w:spacing w:after="0"/>
              <w:rPr>
                <w:sz w:val="21"/>
                <w:szCs w:val="21"/>
                <w:color w:val="auto"/>
              </w:rPr>
            </w:pPr>
          </w:p>
        </w:tc>
        <w:tc>
          <w:tcPr>
            <w:tcW w:w="20" w:type="dxa"/>
            <w:vAlign w:val="bottom"/>
            <w:tcBorders>
              <w:bottom w:val="single" w:sz="8" w:color="595959"/>
            </w:tcBorders>
          </w:tcPr>
          <w:p>
            <w:pPr>
              <w:spacing w:after="0"/>
              <w:rPr>
                <w:sz w:val="21"/>
                <w:szCs w:val="21"/>
                <w:color w:val="auto"/>
              </w:rPr>
            </w:pPr>
          </w:p>
        </w:tc>
        <w:tc>
          <w:tcPr>
            <w:tcW w:w="440" w:type="dxa"/>
            <w:vAlign w:val="bottom"/>
            <w:tcBorders>
              <w:bottom w:val="single" w:sz="8" w:color="595959"/>
            </w:tcBorders>
          </w:tcPr>
          <w:p>
            <w:pPr>
              <w:spacing w:after="0"/>
              <w:rPr>
                <w:sz w:val="21"/>
                <w:szCs w:val="21"/>
                <w:color w:val="auto"/>
              </w:rPr>
            </w:pPr>
          </w:p>
        </w:tc>
        <w:tc>
          <w:tcPr>
            <w:tcW w:w="80" w:type="dxa"/>
            <w:vAlign w:val="bottom"/>
            <w:tcBorders>
              <w:bottom w:val="single" w:sz="8" w:color="595959"/>
            </w:tcBorders>
          </w:tcPr>
          <w:p>
            <w:pPr>
              <w:spacing w:after="0"/>
              <w:rPr>
                <w:sz w:val="21"/>
                <w:szCs w:val="21"/>
                <w:color w:val="auto"/>
              </w:rPr>
            </w:pPr>
          </w:p>
        </w:tc>
        <w:tc>
          <w:tcPr>
            <w:tcW w:w="120" w:type="dxa"/>
            <w:vAlign w:val="bottom"/>
            <w:tcBorders>
              <w:bottom w:val="single" w:sz="8" w:color="595959"/>
              <w:right w:val="single" w:sz="8" w:color="595959"/>
            </w:tcBorders>
          </w:tcPr>
          <w:p>
            <w:pPr>
              <w:spacing w:after="0"/>
              <w:rPr>
                <w:sz w:val="21"/>
                <w:szCs w:val="21"/>
                <w:color w:val="auto"/>
              </w:rPr>
            </w:pPr>
          </w:p>
        </w:tc>
        <w:tc>
          <w:tcPr>
            <w:tcW w:w="1000" w:type="dxa"/>
            <w:vAlign w:val="bottom"/>
            <w:tcBorders>
              <w:bottom w:val="single" w:sz="8" w:color="595959"/>
              <w:right w:val="single" w:sz="8" w:color="595959"/>
            </w:tcBorders>
          </w:tcPr>
          <w:p>
            <w:pPr>
              <w:spacing w:after="0"/>
              <w:rPr>
                <w:sz w:val="21"/>
                <w:szCs w:val="21"/>
                <w:color w:val="auto"/>
              </w:rPr>
            </w:pPr>
          </w:p>
        </w:tc>
        <w:tc>
          <w:tcPr>
            <w:tcW w:w="1160" w:type="dxa"/>
            <w:vAlign w:val="bottom"/>
            <w:tcBorders>
              <w:bottom w:val="single" w:sz="8" w:color="595959"/>
              <w:right w:val="single" w:sz="8" w:color="595959"/>
            </w:tcBorders>
          </w:tcPr>
          <w:p>
            <w:pPr>
              <w:spacing w:after="0"/>
              <w:rPr>
                <w:sz w:val="21"/>
                <w:szCs w:val="21"/>
                <w:color w:val="auto"/>
              </w:rPr>
            </w:pPr>
          </w:p>
        </w:tc>
        <w:tc>
          <w:tcPr>
            <w:tcW w:w="1140" w:type="dxa"/>
            <w:vAlign w:val="bottom"/>
            <w:tcBorders>
              <w:bottom w:val="single" w:sz="8" w:color="595959"/>
              <w:right w:val="single" w:sz="8" w:color="595959"/>
            </w:tcBorders>
          </w:tcPr>
          <w:p>
            <w:pPr>
              <w:spacing w:after="0"/>
              <w:rPr>
                <w:sz w:val="21"/>
                <w:szCs w:val="21"/>
                <w:color w:val="auto"/>
              </w:rPr>
            </w:pPr>
          </w:p>
        </w:tc>
        <w:tc>
          <w:tcPr>
            <w:tcW w:w="1080" w:type="dxa"/>
            <w:vAlign w:val="bottom"/>
            <w:tcBorders>
              <w:bottom w:val="single" w:sz="8" w:color="595959"/>
              <w:right w:val="single" w:sz="8" w:color="595959"/>
            </w:tcBorders>
          </w:tcPr>
          <w:p>
            <w:pPr>
              <w:jc w:val="center"/>
              <w:spacing w:after="0" w:line="250" w:lineRule="exact"/>
              <w:rPr>
                <w:sz w:val="20"/>
                <w:szCs w:val="20"/>
                <w:color w:val="auto"/>
              </w:rPr>
            </w:pPr>
            <w:r>
              <w:rPr>
                <w:rFonts w:ascii="Times New Roman" w:cs="Times New Roman" w:eastAsia="Times New Roman" w:hAnsi="Times New Roman"/>
                <w:sz w:val="22"/>
                <w:szCs w:val="22"/>
                <w:b w:val="1"/>
                <w:bCs w:val="1"/>
                <w:color w:val="auto"/>
                <w:w w:val="99"/>
              </w:rPr>
              <w:t>&lt; 90%</w:t>
            </w:r>
          </w:p>
        </w:tc>
        <w:tc>
          <w:tcPr>
            <w:tcW w:w="200" w:type="dxa"/>
            <w:vAlign w:val="bottom"/>
            <w:tcBorders>
              <w:bottom w:val="single" w:sz="8" w:color="595959"/>
            </w:tcBorders>
          </w:tcPr>
          <w:p>
            <w:pPr>
              <w:spacing w:after="0"/>
              <w:rPr>
                <w:sz w:val="21"/>
                <w:szCs w:val="21"/>
                <w:color w:val="auto"/>
              </w:rPr>
            </w:pPr>
          </w:p>
        </w:tc>
        <w:tc>
          <w:tcPr>
            <w:tcW w:w="120" w:type="dxa"/>
            <w:vAlign w:val="bottom"/>
            <w:tcBorders>
              <w:top w:val="single" w:sz="8" w:color="auto"/>
              <w:bottom w:val="single" w:sz="8" w:color="595959"/>
            </w:tcBorders>
          </w:tcPr>
          <w:p>
            <w:pPr>
              <w:spacing w:after="0"/>
              <w:rPr>
                <w:sz w:val="21"/>
                <w:szCs w:val="21"/>
                <w:color w:val="auto"/>
              </w:rPr>
            </w:pPr>
          </w:p>
        </w:tc>
        <w:tc>
          <w:tcPr>
            <w:tcW w:w="820" w:type="dxa"/>
            <w:vAlign w:val="bottom"/>
            <w:tcBorders>
              <w:bottom w:val="single" w:sz="8" w:color="595959"/>
              <w:right w:val="single" w:sz="8" w:color="595959"/>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660" w:type="dxa"/>
            <w:vAlign w:val="bottom"/>
            <w:tcBorders>
              <w:left w:val="single" w:sz="8" w:color="595959"/>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Revolving Credit</w:t>
            </w:r>
          </w:p>
        </w:tc>
        <w:tc>
          <w:tcPr>
            <w:tcW w:w="92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FF0000"/>
                <w:strike w:val="1"/>
                <w:w w:val="95"/>
              </w:rPr>
              <w:t>Eurodollar</w:t>
            </w:r>
          </w:p>
        </w:tc>
        <w:tc>
          <w:tcPr>
            <w:tcW w:w="540" w:type="dxa"/>
            <w:vAlign w:val="bottom"/>
            <w:tcBorders>
              <w:bottom w:val="single" w:sz="8" w:color="0000FF"/>
            </w:tcBorders>
            <w:gridSpan w:val="3"/>
          </w:tcPr>
          <w:p>
            <w:pPr>
              <w:spacing w:after="0" w:line="209" w:lineRule="exact"/>
              <w:rPr>
                <w:sz w:val="20"/>
                <w:szCs w:val="20"/>
                <w:color w:val="auto"/>
              </w:rPr>
            </w:pPr>
            <w:r>
              <w:rPr>
                <w:rFonts w:ascii="Times New Roman" w:cs="Times New Roman" w:eastAsia="Times New Roman" w:hAnsi="Times New Roman"/>
                <w:sz w:val="22"/>
                <w:szCs w:val="22"/>
                <w:color w:val="0000FF"/>
                <w:w w:val="94"/>
              </w:rPr>
              <w:t>SOFR</w:t>
            </w:r>
          </w:p>
        </w:tc>
        <w:tc>
          <w:tcPr>
            <w:tcW w:w="120" w:type="dxa"/>
            <w:vAlign w:val="bottom"/>
            <w:tcBorders>
              <w:right w:val="single" w:sz="8" w:color="595959"/>
            </w:tcBorders>
          </w:tcPr>
          <w:p>
            <w:pPr>
              <w:spacing w:after="0"/>
              <w:rPr>
                <w:sz w:val="18"/>
                <w:szCs w:val="18"/>
                <w:color w:val="auto"/>
              </w:rPr>
            </w:pPr>
          </w:p>
        </w:tc>
        <w:tc>
          <w:tcPr>
            <w:tcW w:w="100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175</w:t>
            </w:r>
          </w:p>
        </w:tc>
        <w:tc>
          <w:tcPr>
            <w:tcW w:w="116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200</w:t>
            </w:r>
          </w:p>
        </w:tc>
        <w:tc>
          <w:tcPr>
            <w:tcW w:w="114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225</w:t>
            </w:r>
          </w:p>
        </w:tc>
        <w:tc>
          <w:tcPr>
            <w:tcW w:w="108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250</w:t>
            </w:r>
          </w:p>
        </w:tc>
        <w:tc>
          <w:tcPr>
            <w:tcW w:w="1140" w:type="dxa"/>
            <w:vAlign w:val="bottom"/>
            <w:tcBorders>
              <w:right w:val="single" w:sz="8" w:color="595959"/>
            </w:tcBorders>
            <w:gridSpan w:val="3"/>
            <w:vMerge w:val="restart"/>
          </w:tcPr>
          <w:p>
            <w:pPr>
              <w:jc w:val="center"/>
              <w:ind w:right="20"/>
              <w:spacing w:after="0"/>
              <w:rPr>
                <w:sz w:val="20"/>
                <w:szCs w:val="20"/>
                <w:color w:val="auto"/>
              </w:rPr>
            </w:pPr>
            <w:r>
              <w:rPr>
                <w:rFonts w:ascii="Times New Roman" w:cs="Times New Roman" w:eastAsia="Times New Roman" w:hAnsi="Times New Roman"/>
                <w:sz w:val="22"/>
                <w:szCs w:val="22"/>
                <w:color w:val="auto"/>
                <w:w w:val="96"/>
              </w:rPr>
              <w:t>275</w:t>
            </w:r>
          </w:p>
        </w:tc>
        <w:tc>
          <w:tcPr>
            <w:tcW w:w="0" w:type="dxa"/>
            <w:vAlign w:val="bottom"/>
          </w:tcPr>
          <w:p>
            <w:pPr>
              <w:spacing w:after="0"/>
              <w:rPr>
                <w:sz w:val="1"/>
                <w:szCs w:val="1"/>
                <w:color w:val="auto"/>
              </w:rPr>
            </w:pPr>
          </w:p>
        </w:tc>
      </w:tr>
      <w:tr>
        <w:trPr>
          <w:trHeight w:val="140"/>
        </w:trPr>
        <w:tc>
          <w:tcPr>
            <w:tcW w:w="3240" w:type="dxa"/>
            <w:vAlign w:val="bottom"/>
            <w:tcBorders>
              <w:left w:val="single" w:sz="8" w:color="595959"/>
              <w:right w:val="single" w:sz="8" w:color="595959"/>
            </w:tcBorders>
            <w:gridSpan w:val="7"/>
            <w:vMerge w:val="restart"/>
          </w:tcPr>
          <w:p>
            <w:pPr>
              <w:jc w:val="center"/>
              <w:ind w:right="20"/>
              <w:spacing w:after="0" w:line="250" w:lineRule="exact"/>
              <w:rPr>
                <w:sz w:val="20"/>
                <w:szCs w:val="20"/>
                <w:color w:val="auto"/>
              </w:rPr>
            </w:pPr>
            <w:r>
              <w:rPr>
                <w:rFonts w:ascii="Times New Roman" w:cs="Times New Roman" w:eastAsia="Times New Roman" w:hAnsi="Times New Roman"/>
                <w:sz w:val="22"/>
                <w:szCs w:val="22"/>
                <w:color w:val="auto"/>
                <w:w w:val="95"/>
              </w:rPr>
              <w:t>Margin</w:t>
            </w:r>
          </w:p>
        </w:tc>
        <w:tc>
          <w:tcPr>
            <w:tcW w:w="1000" w:type="dxa"/>
            <w:vAlign w:val="bottom"/>
            <w:tcBorders>
              <w:right w:val="single" w:sz="8" w:color="595959"/>
            </w:tcBorders>
            <w:vMerge w:val="continue"/>
          </w:tcPr>
          <w:p>
            <w:pPr>
              <w:spacing w:after="0"/>
              <w:rPr>
                <w:sz w:val="12"/>
                <w:szCs w:val="12"/>
                <w:color w:val="auto"/>
              </w:rPr>
            </w:pPr>
          </w:p>
        </w:tc>
        <w:tc>
          <w:tcPr>
            <w:tcW w:w="1160" w:type="dxa"/>
            <w:vAlign w:val="bottom"/>
            <w:tcBorders>
              <w:right w:val="single" w:sz="8" w:color="595959"/>
            </w:tcBorders>
            <w:vMerge w:val="continue"/>
          </w:tcPr>
          <w:p>
            <w:pPr>
              <w:spacing w:after="0"/>
              <w:rPr>
                <w:sz w:val="12"/>
                <w:szCs w:val="12"/>
                <w:color w:val="auto"/>
              </w:rPr>
            </w:pPr>
          </w:p>
        </w:tc>
        <w:tc>
          <w:tcPr>
            <w:tcW w:w="1140" w:type="dxa"/>
            <w:vAlign w:val="bottom"/>
            <w:tcBorders>
              <w:right w:val="single" w:sz="8" w:color="595959"/>
            </w:tcBorders>
            <w:vMerge w:val="continue"/>
          </w:tcPr>
          <w:p>
            <w:pPr>
              <w:spacing w:after="0"/>
              <w:rPr>
                <w:sz w:val="12"/>
                <w:szCs w:val="12"/>
                <w:color w:val="auto"/>
              </w:rPr>
            </w:pPr>
          </w:p>
        </w:tc>
        <w:tc>
          <w:tcPr>
            <w:tcW w:w="1080" w:type="dxa"/>
            <w:vAlign w:val="bottom"/>
            <w:tcBorders>
              <w:right w:val="single" w:sz="8" w:color="595959"/>
            </w:tcBorders>
            <w:vMerge w:val="continue"/>
          </w:tcPr>
          <w:p>
            <w:pPr>
              <w:spacing w:after="0"/>
              <w:rPr>
                <w:sz w:val="12"/>
                <w:szCs w:val="12"/>
                <w:color w:val="auto"/>
              </w:rPr>
            </w:pPr>
          </w:p>
        </w:tc>
        <w:tc>
          <w:tcPr>
            <w:tcW w:w="1140" w:type="dxa"/>
            <w:vAlign w:val="bottom"/>
            <w:tcBorders>
              <w:right w:val="single" w:sz="8" w:color="595959"/>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240" w:type="dxa"/>
            <w:vAlign w:val="bottom"/>
            <w:tcBorders>
              <w:left w:val="single" w:sz="8" w:color="595959"/>
              <w:bottom w:val="single" w:sz="8" w:color="595959"/>
              <w:right w:val="single" w:sz="8" w:color="595959"/>
            </w:tcBorders>
            <w:gridSpan w:val="7"/>
            <w:vMerge w:val="continue"/>
          </w:tcPr>
          <w:p>
            <w:pPr>
              <w:spacing w:after="0"/>
              <w:rPr>
                <w:sz w:val="9"/>
                <w:szCs w:val="9"/>
                <w:color w:val="auto"/>
              </w:rPr>
            </w:pPr>
          </w:p>
        </w:tc>
        <w:tc>
          <w:tcPr>
            <w:tcW w:w="1000" w:type="dxa"/>
            <w:vAlign w:val="bottom"/>
            <w:tcBorders>
              <w:bottom w:val="single" w:sz="8" w:color="595959"/>
              <w:right w:val="single" w:sz="8" w:color="595959"/>
            </w:tcBorders>
          </w:tcPr>
          <w:p>
            <w:pPr>
              <w:spacing w:after="0"/>
              <w:rPr>
                <w:sz w:val="9"/>
                <w:szCs w:val="9"/>
                <w:color w:val="auto"/>
              </w:rPr>
            </w:pPr>
          </w:p>
        </w:tc>
        <w:tc>
          <w:tcPr>
            <w:tcW w:w="1160" w:type="dxa"/>
            <w:vAlign w:val="bottom"/>
            <w:tcBorders>
              <w:bottom w:val="single" w:sz="8" w:color="595959"/>
              <w:right w:val="single" w:sz="8" w:color="595959"/>
            </w:tcBorders>
          </w:tcPr>
          <w:p>
            <w:pPr>
              <w:spacing w:after="0"/>
              <w:rPr>
                <w:sz w:val="9"/>
                <w:szCs w:val="9"/>
                <w:color w:val="auto"/>
              </w:rPr>
            </w:pPr>
          </w:p>
        </w:tc>
        <w:tc>
          <w:tcPr>
            <w:tcW w:w="1140" w:type="dxa"/>
            <w:vAlign w:val="bottom"/>
            <w:tcBorders>
              <w:bottom w:val="single" w:sz="8" w:color="595959"/>
              <w:right w:val="single" w:sz="8" w:color="595959"/>
            </w:tcBorders>
          </w:tcPr>
          <w:p>
            <w:pPr>
              <w:spacing w:after="0"/>
              <w:rPr>
                <w:sz w:val="9"/>
                <w:szCs w:val="9"/>
                <w:color w:val="auto"/>
              </w:rPr>
            </w:pPr>
          </w:p>
        </w:tc>
        <w:tc>
          <w:tcPr>
            <w:tcW w:w="1080" w:type="dxa"/>
            <w:vAlign w:val="bottom"/>
            <w:tcBorders>
              <w:bottom w:val="single" w:sz="8" w:color="595959"/>
              <w:right w:val="single" w:sz="8" w:color="595959"/>
            </w:tcBorders>
          </w:tcPr>
          <w:p>
            <w:pPr>
              <w:spacing w:after="0"/>
              <w:rPr>
                <w:sz w:val="9"/>
                <w:szCs w:val="9"/>
                <w:color w:val="auto"/>
              </w:rPr>
            </w:pPr>
          </w:p>
        </w:tc>
        <w:tc>
          <w:tcPr>
            <w:tcW w:w="200" w:type="dxa"/>
            <w:vAlign w:val="bottom"/>
            <w:tcBorders>
              <w:bottom w:val="single" w:sz="8" w:color="595959"/>
            </w:tcBorders>
          </w:tcPr>
          <w:p>
            <w:pPr>
              <w:spacing w:after="0"/>
              <w:rPr>
                <w:sz w:val="9"/>
                <w:szCs w:val="9"/>
                <w:color w:val="auto"/>
              </w:rPr>
            </w:pPr>
          </w:p>
        </w:tc>
        <w:tc>
          <w:tcPr>
            <w:tcW w:w="120" w:type="dxa"/>
            <w:vAlign w:val="bottom"/>
            <w:tcBorders>
              <w:bottom w:val="single" w:sz="8" w:color="595959"/>
            </w:tcBorders>
          </w:tcPr>
          <w:p>
            <w:pPr>
              <w:spacing w:after="0"/>
              <w:rPr>
                <w:sz w:val="9"/>
                <w:szCs w:val="9"/>
                <w:color w:val="auto"/>
              </w:rPr>
            </w:pPr>
          </w:p>
        </w:tc>
        <w:tc>
          <w:tcPr>
            <w:tcW w:w="820" w:type="dxa"/>
            <w:vAlign w:val="bottom"/>
            <w:tcBorders>
              <w:bottom w:val="single" w:sz="8" w:color="595959"/>
              <w:right w:val="single" w:sz="8" w:color="595959"/>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595959"/>
            </w:tcBorders>
            <w:gridSpan w:val="2"/>
          </w:tcPr>
          <w:p>
            <w:pPr>
              <w:ind w:left="180"/>
              <w:spacing w:after="0" w:line="209" w:lineRule="exact"/>
              <w:rPr>
                <w:sz w:val="20"/>
                <w:szCs w:val="20"/>
                <w:color w:val="auto"/>
              </w:rPr>
            </w:pPr>
            <w:r>
              <w:rPr>
                <w:rFonts w:ascii="Times New Roman" w:cs="Times New Roman" w:eastAsia="Times New Roman" w:hAnsi="Times New Roman"/>
                <w:sz w:val="22"/>
                <w:szCs w:val="22"/>
                <w:color w:val="auto"/>
                <w:w w:val="99"/>
              </w:rPr>
              <w:t>Revolving Credit</w:t>
            </w:r>
          </w:p>
        </w:tc>
        <w:tc>
          <w:tcPr>
            <w:tcW w:w="880" w:type="dxa"/>
            <w:vAlign w:val="bottom"/>
            <w:gridSpan w:val="2"/>
          </w:tcPr>
          <w:p>
            <w:pPr>
              <w:spacing w:after="0" w:line="209" w:lineRule="exact"/>
              <w:rPr>
                <w:sz w:val="20"/>
                <w:szCs w:val="20"/>
                <w:color w:val="auto"/>
              </w:rPr>
            </w:pPr>
            <w:r>
              <w:rPr>
                <w:rFonts w:ascii="Times New Roman" w:cs="Times New Roman" w:eastAsia="Times New Roman" w:hAnsi="Times New Roman"/>
                <w:sz w:val="22"/>
                <w:szCs w:val="22"/>
                <w:color w:val="FF0000"/>
                <w:strike w:val="1"/>
                <w:w w:val="97"/>
              </w:rPr>
              <w:t>Base Rate</w:t>
            </w:r>
          </w:p>
        </w:tc>
        <w:tc>
          <w:tcPr>
            <w:tcW w:w="640" w:type="dxa"/>
            <w:vAlign w:val="bottom"/>
            <w:tcBorders>
              <w:right w:val="single" w:sz="8" w:color="595959"/>
            </w:tcBorders>
            <w:gridSpan w:val="3"/>
          </w:tcPr>
          <w:p>
            <w:pPr>
              <w:spacing w:after="0" w:line="209" w:lineRule="exact"/>
              <w:rPr>
                <w:sz w:val="20"/>
                <w:szCs w:val="20"/>
                <w:color w:val="auto"/>
              </w:rPr>
            </w:pPr>
            <w:r>
              <w:rPr>
                <w:rFonts w:ascii="Times New Roman" w:cs="Times New Roman" w:eastAsia="Times New Roman" w:hAnsi="Times New Roman"/>
                <w:sz w:val="22"/>
                <w:szCs w:val="22"/>
                <w:color w:val="0000FF"/>
              </w:rPr>
              <w:t>ABR</w:t>
            </w:r>
          </w:p>
        </w:tc>
        <w:tc>
          <w:tcPr>
            <w:tcW w:w="100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75</w:t>
            </w:r>
          </w:p>
        </w:tc>
        <w:tc>
          <w:tcPr>
            <w:tcW w:w="116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100</w:t>
            </w:r>
          </w:p>
        </w:tc>
        <w:tc>
          <w:tcPr>
            <w:tcW w:w="114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125</w:t>
            </w:r>
          </w:p>
        </w:tc>
        <w:tc>
          <w:tcPr>
            <w:tcW w:w="108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150</w:t>
            </w:r>
          </w:p>
        </w:tc>
        <w:tc>
          <w:tcPr>
            <w:tcW w:w="1140" w:type="dxa"/>
            <w:vAlign w:val="bottom"/>
            <w:tcBorders>
              <w:right w:val="single" w:sz="8" w:color="595959"/>
            </w:tcBorders>
            <w:gridSpan w:val="3"/>
            <w:vMerge w:val="restart"/>
          </w:tcPr>
          <w:p>
            <w:pPr>
              <w:jc w:val="center"/>
              <w:ind w:right="20"/>
              <w:spacing w:after="0"/>
              <w:rPr>
                <w:sz w:val="20"/>
                <w:szCs w:val="20"/>
                <w:color w:val="auto"/>
              </w:rPr>
            </w:pPr>
            <w:r>
              <w:rPr>
                <w:rFonts w:ascii="Times New Roman" w:cs="Times New Roman" w:eastAsia="Times New Roman" w:hAnsi="Times New Roman"/>
                <w:sz w:val="22"/>
                <w:szCs w:val="22"/>
                <w:color w:val="auto"/>
                <w:w w:val="96"/>
              </w:rPr>
              <w:t>175</w:t>
            </w:r>
          </w:p>
        </w:tc>
        <w:tc>
          <w:tcPr>
            <w:tcW w:w="0" w:type="dxa"/>
            <w:vAlign w:val="bottom"/>
          </w:tcPr>
          <w:p>
            <w:pPr>
              <w:spacing w:after="0"/>
              <w:rPr>
                <w:sz w:val="1"/>
                <w:szCs w:val="1"/>
                <w:color w:val="auto"/>
              </w:rPr>
            </w:pPr>
          </w:p>
        </w:tc>
      </w:tr>
      <w:tr>
        <w:trPr>
          <w:trHeight w:val="141"/>
        </w:trPr>
        <w:tc>
          <w:tcPr>
            <w:tcW w:w="2600" w:type="dxa"/>
            <w:vAlign w:val="bottom"/>
            <w:tcBorders>
              <w:left w:val="single" w:sz="8" w:color="595959"/>
            </w:tcBorders>
            <w:gridSpan w:val="4"/>
            <w:vMerge w:val="restart"/>
          </w:tcPr>
          <w:p>
            <w:pPr>
              <w:jc w:val="center"/>
              <w:ind w:left="512"/>
              <w:spacing w:after="0" w:line="250" w:lineRule="exact"/>
              <w:rPr>
                <w:sz w:val="20"/>
                <w:szCs w:val="20"/>
                <w:color w:val="auto"/>
              </w:rPr>
            </w:pPr>
            <w:r>
              <w:rPr>
                <w:rFonts w:ascii="Times New Roman" w:cs="Times New Roman" w:eastAsia="Times New Roman" w:hAnsi="Times New Roman"/>
                <w:sz w:val="22"/>
                <w:szCs w:val="22"/>
                <w:color w:val="auto"/>
                <w:w w:val="95"/>
              </w:rPr>
              <w:t>Margin</w:t>
            </w:r>
          </w:p>
        </w:tc>
        <w:tc>
          <w:tcPr>
            <w:tcW w:w="440" w:type="dxa"/>
            <w:vAlign w:val="bottom"/>
            <w:tcBorders>
              <w:top w:val="single" w:sz="8" w:color="0000FF"/>
            </w:tcBorders>
            <w:vMerge w:val="restart"/>
          </w:tcPr>
          <w:p>
            <w:pPr>
              <w:spacing w:after="0"/>
              <w:rPr>
                <w:sz w:val="12"/>
                <w:szCs w:val="12"/>
                <w:color w:val="auto"/>
              </w:rPr>
            </w:pPr>
          </w:p>
        </w:tc>
        <w:tc>
          <w:tcPr>
            <w:tcW w:w="200" w:type="dxa"/>
            <w:vAlign w:val="bottom"/>
            <w:tcBorders>
              <w:right w:val="single" w:sz="8" w:color="595959"/>
            </w:tcBorders>
            <w:gridSpan w:val="2"/>
            <w:vMerge w:val="restart"/>
          </w:tcPr>
          <w:p>
            <w:pPr>
              <w:spacing w:after="0"/>
              <w:rPr>
                <w:sz w:val="12"/>
                <w:szCs w:val="12"/>
                <w:color w:val="auto"/>
              </w:rPr>
            </w:pPr>
          </w:p>
        </w:tc>
        <w:tc>
          <w:tcPr>
            <w:tcW w:w="1000" w:type="dxa"/>
            <w:vAlign w:val="bottom"/>
            <w:tcBorders>
              <w:right w:val="single" w:sz="8" w:color="595959"/>
            </w:tcBorders>
            <w:vMerge w:val="continue"/>
          </w:tcPr>
          <w:p>
            <w:pPr>
              <w:spacing w:after="0"/>
              <w:rPr>
                <w:sz w:val="12"/>
                <w:szCs w:val="12"/>
                <w:color w:val="auto"/>
              </w:rPr>
            </w:pPr>
          </w:p>
        </w:tc>
        <w:tc>
          <w:tcPr>
            <w:tcW w:w="1160" w:type="dxa"/>
            <w:vAlign w:val="bottom"/>
            <w:tcBorders>
              <w:right w:val="single" w:sz="8" w:color="595959"/>
            </w:tcBorders>
            <w:vMerge w:val="continue"/>
          </w:tcPr>
          <w:p>
            <w:pPr>
              <w:spacing w:after="0"/>
              <w:rPr>
                <w:sz w:val="12"/>
                <w:szCs w:val="12"/>
                <w:color w:val="auto"/>
              </w:rPr>
            </w:pPr>
          </w:p>
        </w:tc>
        <w:tc>
          <w:tcPr>
            <w:tcW w:w="1140" w:type="dxa"/>
            <w:vAlign w:val="bottom"/>
            <w:tcBorders>
              <w:right w:val="single" w:sz="8" w:color="595959"/>
            </w:tcBorders>
            <w:vMerge w:val="continue"/>
          </w:tcPr>
          <w:p>
            <w:pPr>
              <w:spacing w:after="0"/>
              <w:rPr>
                <w:sz w:val="12"/>
                <w:szCs w:val="12"/>
                <w:color w:val="auto"/>
              </w:rPr>
            </w:pPr>
          </w:p>
        </w:tc>
        <w:tc>
          <w:tcPr>
            <w:tcW w:w="1080" w:type="dxa"/>
            <w:vAlign w:val="bottom"/>
            <w:tcBorders>
              <w:right w:val="single" w:sz="8" w:color="595959"/>
            </w:tcBorders>
            <w:vMerge w:val="continue"/>
          </w:tcPr>
          <w:p>
            <w:pPr>
              <w:spacing w:after="0"/>
              <w:rPr>
                <w:sz w:val="12"/>
                <w:szCs w:val="12"/>
                <w:color w:val="auto"/>
              </w:rPr>
            </w:pPr>
          </w:p>
        </w:tc>
        <w:tc>
          <w:tcPr>
            <w:tcW w:w="1140" w:type="dxa"/>
            <w:vAlign w:val="bottom"/>
            <w:tcBorders>
              <w:right w:val="single" w:sz="8" w:color="595959"/>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600" w:type="dxa"/>
            <w:vAlign w:val="bottom"/>
            <w:tcBorders>
              <w:left w:val="single" w:sz="8" w:color="595959"/>
              <w:bottom w:val="single" w:sz="8" w:color="595959"/>
            </w:tcBorders>
            <w:gridSpan w:val="4"/>
            <w:vMerge w:val="continue"/>
          </w:tcPr>
          <w:p>
            <w:pPr>
              <w:spacing w:after="0"/>
              <w:rPr>
                <w:sz w:val="9"/>
                <w:szCs w:val="9"/>
                <w:color w:val="auto"/>
              </w:rPr>
            </w:pPr>
          </w:p>
        </w:tc>
        <w:tc>
          <w:tcPr>
            <w:tcW w:w="440" w:type="dxa"/>
            <w:vAlign w:val="bottom"/>
            <w:tcBorders>
              <w:bottom w:val="single" w:sz="8" w:color="595959"/>
            </w:tcBorders>
            <w:vMerge w:val="continue"/>
          </w:tcPr>
          <w:p>
            <w:pPr>
              <w:spacing w:after="0"/>
              <w:rPr>
                <w:sz w:val="9"/>
                <w:szCs w:val="9"/>
                <w:color w:val="auto"/>
              </w:rPr>
            </w:pPr>
          </w:p>
        </w:tc>
        <w:tc>
          <w:tcPr>
            <w:tcW w:w="200" w:type="dxa"/>
            <w:vAlign w:val="bottom"/>
            <w:tcBorders>
              <w:bottom w:val="single" w:sz="8" w:color="595959"/>
              <w:right w:val="single" w:sz="8" w:color="595959"/>
            </w:tcBorders>
            <w:gridSpan w:val="2"/>
            <w:vMerge w:val="continue"/>
          </w:tcPr>
          <w:p>
            <w:pPr>
              <w:spacing w:after="0"/>
              <w:rPr>
                <w:sz w:val="9"/>
                <w:szCs w:val="9"/>
                <w:color w:val="auto"/>
              </w:rPr>
            </w:pPr>
          </w:p>
        </w:tc>
        <w:tc>
          <w:tcPr>
            <w:tcW w:w="1000" w:type="dxa"/>
            <w:vAlign w:val="bottom"/>
            <w:tcBorders>
              <w:bottom w:val="single" w:sz="8" w:color="595959"/>
              <w:right w:val="single" w:sz="8" w:color="595959"/>
            </w:tcBorders>
          </w:tcPr>
          <w:p>
            <w:pPr>
              <w:spacing w:after="0"/>
              <w:rPr>
                <w:sz w:val="9"/>
                <w:szCs w:val="9"/>
                <w:color w:val="auto"/>
              </w:rPr>
            </w:pPr>
          </w:p>
        </w:tc>
        <w:tc>
          <w:tcPr>
            <w:tcW w:w="1160" w:type="dxa"/>
            <w:vAlign w:val="bottom"/>
            <w:tcBorders>
              <w:bottom w:val="single" w:sz="8" w:color="595959"/>
              <w:right w:val="single" w:sz="8" w:color="595959"/>
            </w:tcBorders>
          </w:tcPr>
          <w:p>
            <w:pPr>
              <w:spacing w:after="0"/>
              <w:rPr>
                <w:sz w:val="9"/>
                <w:szCs w:val="9"/>
                <w:color w:val="auto"/>
              </w:rPr>
            </w:pPr>
          </w:p>
        </w:tc>
        <w:tc>
          <w:tcPr>
            <w:tcW w:w="1140" w:type="dxa"/>
            <w:vAlign w:val="bottom"/>
            <w:tcBorders>
              <w:bottom w:val="single" w:sz="8" w:color="595959"/>
              <w:right w:val="single" w:sz="8" w:color="595959"/>
            </w:tcBorders>
          </w:tcPr>
          <w:p>
            <w:pPr>
              <w:spacing w:after="0"/>
              <w:rPr>
                <w:sz w:val="9"/>
                <w:szCs w:val="9"/>
                <w:color w:val="auto"/>
              </w:rPr>
            </w:pPr>
          </w:p>
        </w:tc>
        <w:tc>
          <w:tcPr>
            <w:tcW w:w="1080" w:type="dxa"/>
            <w:vAlign w:val="bottom"/>
            <w:tcBorders>
              <w:bottom w:val="single" w:sz="8" w:color="595959"/>
              <w:right w:val="single" w:sz="8" w:color="595959"/>
            </w:tcBorders>
          </w:tcPr>
          <w:p>
            <w:pPr>
              <w:spacing w:after="0"/>
              <w:rPr>
                <w:sz w:val="9"/>
                <w:szCs w:val="9"/>
                <w:color w:val="auto"/>
              </w:rPr>
            </w:pPr>
          </w:p>
        </w:tc>
        <w:tc>
          <w:tcPr>
            <w:tcW w:w="200" w:type="dxa"/>
            <w:vAlign w:val="bottom"/>
            <w:tcBorders>
              <w:bottom w:val="single" w:sz="8" w:color="595959"/>
            </w:tcBorders>
          </w:tcPr>
          <w:p>
            <w:pPr>
              <w:spacing w:after="0"/>
              <w:rPr>
                <w:sz w:val="9"/>
                <w:szCs w:val="9"/>
                <w:color w:val="auto"/>
              </w:rPr>
            </w:pPr>
          </w:p>
        </w:tc>
        <w:tc>
          <w:tcPr>
            <w:tcW w:w="120" w:type="dxa"/>
            <w:vAlign w:val="bottom"/>
            <w:tcBorders>
              <w:bottom w:val="single" w:sz="8" w:color="595959"/>
            </w:tcBorders>
          </w:tcPr>
          <w:p>
            <w:pPr>
              <w:spacing w:after="0"/>
              <w:rPr>
                <w:sz w:val="9"/>
                <w:szCs w:val="9"/>
                <w:color w:val="auto"/>
              </w:rPr>
            </w:pPr>
          </w:p>
        </w:tc>
        <w:tc>
          <w:tcPr>
            <w:tcW w:w="820" w:type="dxa"/>
            <w:vAlign w:val="bottom"/>
            <w:tcBorders>
              <w:bottom w:val="single" w:sz="8" w:color="595959"/>
              <w:right w:val="single" w:sz="8" w:color="595959"/>
            </w:tcBorders>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3240" w:type="dxa"/>
            <w:vAlign w:val="bottom"/>
            <w:tcBorders>
              <w:left w:val="single" w:sz="8" w:color="595959"/>
              <w:right w:val="single" w:sz="8" w:color="595959"/>
            </w:tcBorders>
            <w:gridSpan w:val="7"/>
          </w:tcPr>
          <w:p>
            <w:pPr>
              <w:jc w:val="center"/>
              <w:ind w:right="20"/>
              <w:spacing w:after="0"/>
              <w:rPr>
                <w:sz w:val="20"/>
                <w:szCs w:val="20"/>
                <w:color w:val="auto"/>
              </w:rPr>
            </w:pPr>
            <w:r>
              <w:rPr>
                <w:rFonts w:ascii="Times New Roman" w:cs="Times New Roman" w:eastAsia="Times New Roman" w:hAnsi="Times New Roman"/>
                <w:sz w:val="22"/>
                <w:szCs w:val="22"/>
                <w:color w:val="auto"/>
                <w:w w:val="97"/>
              </w:rPr>
              <w:t>Commitment Fees</w:t>
            </w:r>
          </w:p>
        </w:tc>
        <w:tc>
          <w:tcPr>
            <w:tcW w:w="1000" w:type="dxa"/>
            <w:vAlign w:val="bottom"/>
            <w:tcBorders>
              <w:right w:val="single" w:sz="8" w:color="595959"/>
            </w:tcBorders>
          </w:tcPr>
          <w:p>
            <w:pPr>
              <w:jc w:val="center"/>
              <w:spacing w:after="0"/>
              <w:rPr>
                <w:sz w:val="20"/>
                <w:szCs w:val="20"/>
                <w:color w:val="auto"/>
              </w:rPr>
            </w:pPr>
            <w:r>
              <w:rPr>
                <w:rFonts w:ascii="Times New Roman" w:cs="Times New Roman" w:eastAsia="Times New Roman" w:hAnsi="Times New Roman"/>
                <w:sz w:val="22"/>
                <w:szCs w:val="22"/>
                <w:color w:val="auto"/>
                <w:w w:val="98"/>
              </w:rPr>
              <w:t>37.5</w:t>
            </w:r>
          </w:p>
        </w:tc>
        <w:tc>
          <w:tcPr>
            <w:tcW w:w="1160" w:type="dxa"/>
            <w:vAlign w:val="bottom"/>
            <w:tcBorders>
              <w:right w:val="single" w:sz="8" w:color="595959"/>
            </w:tcBorders>
          </w:tcPr>
          <w:p>
            <w:pPr>
              <w:jc w:val="center"/>
              <w:spacing w:after="0"/>
              <w:rPr>
                <w:sz w:val="20"/>
                <w:szCs w:val="20"/>
                <w:color w:val="auto"/>
              </w:rPr>
            </w:pPr>
            <w:r>
              <w:rPr>
                <w:rFonts w:ascii="Times New Roman" w:cs="Times New Roman" w:eastAsia="Times New Roman" w:hAnsi="Times New Roman"/>
                <w:sz w:val="22"/>
                <w:szCs w:val="22"/>
                <w:color w:val="auto"/>
                <w:w w:val="98"/>
              </w:rPr>
              <w:t>37.5</w:t>
            </w:r>
          </w:p>
        </w:tc>
        <w:tc>
          <w:tcPr>
            <w:tcW w:w="1140" w:type="dxa"/>
            <w:vAlign w:val="bottom"/>
            <w:tcBorders>
              <w:right w:val="single" w:sz="8" w:color="595959"/>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1080" w:type="dxa"/>
            <w:vAlign w:val="bottom"/>
            <w:tcBorders>
              <w:right w:val="single" w:sz="8" w:color="595959"/>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c>
          <w:tcPr>
            <w:tcW w:w="1140" w:type="dxa"/>
            <w:vAlign w:val="bottom"/>
            <w:tcBorders>
              <w:right w:val="single" w:sz="8" w:color="595959"/>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0"/>
              </w:rPr>
              <w:t>50</w:t>
            </w:r>
          </w:p>
        </w:tc>
        <w:tc>
          <w:tcPr>
            <w:tcW w:w="0" w:type="dxa"/>
            <w:vAlign w:val="bottom"/>
          </w:tcPr>
          <w:p>
            <w:pPr>
              <w:spacing w:after="0"/>
              <w:rPr>
                <w:sz w:val="1"/>
                <w:szCs w:val="1"/>
                <w:color w:val="auto"/>
              </w:rPr>
            </w:pPr>
          </w:p>
        </w:tc>
      </w:tr>
      <w:tr>
        <w:trPr>
          <w:trHeight w:val="28"/>
        </w:trPr>
        <w:tc>
          <w:tcPr>
            <w:tcW w:w="1660" w:type="dxa"/>
            <w:vAlign w:val="bottom"/>
            <w:tcBorders>
              <w:left w:val="single" w:sz="8" w:color="595959"/>
              <w:bottom w:val="single" w:sz="8" w:color="595959"/>
            </w:tcBorders>
          </w:tcPr>
          <w:p>
            <w:pPr>
              <w:spacing w:after="0"/>
              <w:rPr>
                <w:sz w:val="2"/>
                <w:szCs w:val="2"/>
                <w:color w:val="auto"/>
              </w:rPr>
            </w:pPr>
          </w:p>
        </w:tc>
        <w:tc>
          <w:tcPr>
            <w:tcW w:w="6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20" w:type="dxa"/>
            <w:vAlign w:val="bottom"/>
            <w:tcBorders>
              <w:bottom w:val="single" w:sz="8" w:color="595959"/>
              <w:right w:val="single" w:sz="8" w:color="595959"/>
            </w:tcBorders>
          </w:tcPr>
          <w:p>
            <w:pPr>
              <w:spacing w:after="0"/>
              <w:rPr>
                <w:sz w:val="2"/>
                <w:szCs w:val="2"/>
                <w:color w:val="auto"/>
              </w:rPr>
            </w:pPr>
          </w:p>
        </w:tc>
        <w:tc>
          <w:tcPr>
            <w:tcW w:w="1000" w:type="dxa"/>
            <w:vAlign w:val="bottom"/>
            <w:tcBorders>
              <w:bottom w:val="single" w:sz="8" w:color="595959"/>
              <w:right w:val="single" w:sz="8" w:color="595959"/>
            </w:tcBorders>
          </w:tcPr>
          <w:p>
            <w:pPr>
              <w:spacing w:after="0"/>
              <w:rPr>
                <w:sz w:val="2"/>
                <w:szCs w:val="2"/>
                <w:color w:val="auto"/>
              </w:rPr>
            </w:pPr>
          </w:p>
        </w:tc>
        <w:tc>
          <w:tcPr>
            <w:tcW w:w="1160" w:type="dxa"/>
            <w:vAlign w:val="bottom"/>
            <w:tcBorders>
              <w:bottom w:val="single" w:sz="8" w:color="595959"/>
              <w:right w:val="single" w:sz="8" w:color="595959"/>
            </w:tcBorders>
          </w:tcPr>
          <w:p>
            <w:pPr>
              <w:spacing w:after="0"/>
              <w:rPr>
                <w:sz w:val="2"/>
                <w:szCs w:val="2"/>
                <w:color w:val="auto"/>
              </w:rPr>
            </w:pPr>
          </w:p>
        </w:tc>
        <w:tc>
          <w:tcPr>
            <w:tcW w:w="1140" w:type="dxa"/>
            <w:vAlign w:val="bottom"/>
            <w:tcBorders>
              <w:bottom w:val="single" w:sz="8" w:color="595959"/>
              <w:right w:val="single" w:sz="8" w:color="595959"/>
            </w:tcBorders>
          </w:tcPr>
          <w:p>
            <w:pPr>
              <w:spacing w:after="0"/>
              <w:rPr>
                <w:sz w:val="2"/>
                <w:szCs w:val="2"/>
                <w:color w:val="auto"/>
              </w:rPr>
            </w:pPr>
          </w:p>
        </w:tc>
        <w:tc>
          <w:tcPr>
            <w:tcW w:w="1080" w:type="dxa"/>
            <w:vAlign w:val="bottom"/>
            <w:tcBorders>
              <w:bottom w:val="single" w:sz="8" w:color="595959"/>
              <w:right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820" w:type="dxa"/>
            <w:vAlign w:val="bottom"/>
            <w:tcBorders>
              <w:bottom w:val="single" w:sz="8" w:color="595959"/>
              <w:right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240" w:type="dxa"/>
            <w:vAlign w:val="bottom"/>
            <w:tcBorders>
              <w:left w:val="single" w:sz="8" w:color="595959"/>
              <w:right w:val="single" w:sz="8" w:color="595959"/>
            </w:tcBorders>
            <w:gridSpan w:val="7"/>
          </w:tcPr>
          <w:p>
            <w:pPr>
              <w:jc w:val="center"/>
              <w:ind w:right="20"/>
              <w:spacing w:after="0"/>
              <w:rPr>
                <w:sz w:val="20"/>
                <w:szCs w:val="20"/>
                <w:color w:val="auto"/>
              </w:rPr>
            </w:pPr>
            <w:r>
              <w:rPr>
                <w:rFonts w:ascii="Times New Roman" w:cs="Times New Roman" w:eastAsia="Times New Roman" w:hAnsi="Times New Roman"/>
                <w:sz w:val="22"/>
                <w:szCs w:val="22"/>
                <w:color w:val="auto"/>
                <w:w w:val="98"/>
              </w:rPr>
              <w:t>Letter of Credit Fees (exclusive of</w:t>
            </w:r>
          </w:p>
        </w:tc>
        <w:tc>
          <w:tcPr>
            <w:tcW w:w="100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175</w:t>
            </w:r>
          </w:p>
        </w:tc>
        <w:tc>
          <w:tcPr>
            <w:tcW w:w="116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200</w:t>
            </w:r>
          </w:p>
        </w:tc>
        <w:tc>
          <w:tcPr>
            <w:tcW w:w="114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225</w:t>
            </w:r>
          </w:p>
        </w:tc>
        <w:tc>
          <w:tcPr>
            <w:tcW w:w="1080" w:type="dxa"/>
            <w:vAlign w:val="bottom"/>
            <w:tcBorders>
              <w:right w:val="single" w:sz="8" w:color="595959"/>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250</w:t>
            </w:r>
          </w:p>
        </w:tc>
        <w:tc>
          <w:tcPr>
            <w:tcW w:w="1140" w:type="dxa"/>
            <w:vAlign w:val="bottom"/>
            <w:tcBorders>
              <w:right w:val="single" w:sz="8" w:color="595959"/>
            </w:tcBorders>
            <w:gridSpan w:val="3"/>
            <w:vMerge w:val="restart"/>
          </w:tcPr>
          <w:p>
            <w:pPr>
              <w:jc w:val="center"/>
              <w:ind w:right="20"/>
              <w:spacing w:after="0"/>
              <w:rPr>
                <w:sz w:val="20"/>
                <w:szCs w:val="20"/>
                <w:color w:val="auto"/>
              </w:rPr>
            </w:pPr>
            <w:r>
              <w:rPr>
                <w:rFonts w:ascii="Times New Roman" w:cs="Times New Roman" w:eastAsia="Times New Roman" w:hAnsi="Times New Roman"/>
                <w:sz w:val="22"/>
                <w:szCs w:val="22"/>
                <w:color w:val="auto"/>
                <w:w w:val="96"/>
              </w:rPr>
              <w:t>275</w:t>
            </w:r>
          </w:p>
        </w:tc>
        <w:tc>
          <w:tcPr>
            <w:tcW w:w="0" w:type="dxa"/>
            <w:vAlign w:val="bottom"/>
          </w:tcPr>
          <w:p>
            <w:pPr>
              <w:spacing w:after="0"/>
              <w:rPr>
                <w:sz w:val="1"/>
                <w:szCs w:val="1"/>
                <w:color w:val="auto"/>
              </w:rPr>
            </w:pPr>
          </w:p>
        </w:tc>
      </w:tr>
      <w:tr>
        <w:trPr>
          <w:trHeight w:val="147"/>
        </w:trPr>
        <w:tc>
          <w:tcPr>
            <w:tcW w:w="3240" w:type="dxa"/>
            <w:vAlign w:val="bottom"/>
            <w:tcBorders>
              <w:left w:val="single" w:sz="8" w:color="595959"/>
              <w:right w:val="single" w:sz="8" w:color="595959"/>
            </w:tcBorders>
            <w:gridSpan w:val="7"/>
            <w:vMerge w:val="restart"/>
          </w:tcPr>
          <w:p>
            <w:pPr>
              <w:jc w:val="center"/>
              <w:ind w:right="20"/>
              <w:spacing w:after="0"/>
              <w:rPr>
                <w:sz w:val="20"/>
                <w:szCs w:val="20"/>
                <w:color w:val="auto"/>
              </w:rPr>
            </w:pPr>
            <w:r>
              <w:rPr>
                <w:rFonts w:ascii="Times New Roman" w:cs="Times New Roman" w:eastAsia="Times New Roman" w:hAnsi="Times New Roman"/>
                <w:sz w:val="22"/>
                <w:szCs w:val="22"/>
                <w:color w:val="auto"/>
                <w:w w:val="99"/>
              </w:rPr>
              <w:t>fronting fees)</w:t>
            </w:r>
          </w:p>
        </w:tc>
        <w:tc>
          <w:tcPr>
            <w:tcW w:w="1000" w:type="dxa"/>
            <w:vAlign w:val="bottom"/>
            <w:tcBorders>
              <w:right w:val="single" w:sz="8" w:color="595959"/>
            </w:tcBorders>
            <w:vMerge w:val="continue"/>
          </w:tcPr>
          <w:p>
            <w:pPr>
              <w:spacing w:after="0"/>
              <w:rPr>
                <w:sz w:val="12"/>
                <w:szCs w:val="12"/>
                <w:color w:val="auto"/>
              </w:rPr>
            </w:pPr>
          </w:p>
        </w:tc>
        <w:tc>
          <w:tcPr>
            <w:tcW w:w="1160" w:type="dxa"/>
            <w:vAlign w:val="bottom"/>
            <w:tcBorders>
              <w:right w:val="single" w:sz="8" w:color="595959"/>
            </w:tcBorders>
            <w:vMerge w:val="continue"/>
          </w:tcPr>
          <w:p>
            <w:pPr>
              <w:spacing w:after="0"/>
              <w:rPr>
                <w:sz w:val="12"/>
                <w:szCs w:val="12"/>
                <w:color w:val="auto"/>
              </w:rPr>
            </w:pPr>
          </w:p>
        </w:tc>
        <w:tc>
          <w:tcPr>
            <w:tcW w:w="1140" w:type="dxa"/>
            <w:vAlign w:val="bottom"/>
            <w:tcBorders>
              <w:right w:val="single" w:sz="8" w:color="595959"/>
            </w:tcBorders>
            <w:vMerge w:val="continue"/>
          </w:tcPr>
          <w:p>
            <w:pPr>
              <w:spacing w:after="0"/>
              <w:rPr>
                <w:sz w:val="12"/>
                <w:szCs w:val="12"/>
                <w:color w:val="auto"/>
              </w:rPr>
            </w:pPr>
          </w:p>
        </w:tc>
        <w:tc>
          <w:tcPr>
            <w:tcW w:w="1080" w:type="dxa"/>
            <w:vAlign w:val="bottom"/>
            <w:tcBorders>
              <w:right w:val="single" w:sz="8" w:color="595959"/>
            </w:tcBorders>
            <w:vMerge w:val="continue"/>
          </w:tcPr>
          <w:p>
            <w:pPr>
              <w:spacing w:after="0"/>
              <w:rPr>
                <w:sz w:val="12"/>
                <w:szCs w:val="12"/>
                <w:color w:val="auto"/>
              </w:rPr>
            </w:pPr>
          </w:p>
        </w:tc>
        <w:tc>
          <w:tcPr>
            <w:tcW w:w="1140" w:type="dxa"/>
            <w:vAlign w:val="bottom"/>
            <w:tcBorders>
              <w:right w:val="single" w:sz="8" w:color="595959"/>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Borders>
              <w:left w:val="single" w:sz="8" w:color="595959"/>
              <w:right w:val="single" w:sz="8" w:color="595959"/>
            </w:tcBorders>
            <w:gridSpan w:val="7"/>
            <w:vMerge w:val="continue"/>
          </w:tcPr>
          <w:p>
            <w:pPr>
              <w:spacing w:after="0"/>
              <w:rPr>
                <w:sz w:val="11"/>
                <w:szCs w:val="11"/>
                <w:color w:val="auto"/>
              </w:rPr>
            </w:pPr>
          </w:p>
        </w:tc>
        <w:tc>
          <w:tcPr>
            <w:tcW w:w="1000" w:type="dxa"/>
            <w:vAlign w:val="bottom"/>
            <w:tcBorders>
              <w:right w:val="single" w:sz="8" w:color="595959"/>
            </w:tcBorders>
          </w:tcPr>
          <w:p>
            <w:pPr>
              <w:spacing w:after="0"/>
              <w:rPr>
                <w:sz w:val="11"/>
                <w:szCs w:val="11"/>
                <w:color w:val="auto"/>
              </w:rPr>
            </w:pPr>
          </w:p>
        </w:tc>
        <w:tc>
          <w:tcPr>
            <w:tcW w:w="1160" w:type="dxa"/>
            <w:vAlign w:val="bottom"/>
            <w:tcBorders>
              <w:right w:val="single" w:sz="8" w:color="595959"/>
            </w:tcBorders>
          </w:tcPr>
          <w:p>
            <w:pPr>
              <w:spacing w:after="0"/>
              <w:rPr>
                <w:sz w:val="11"/>
                <w:szCs w:val="11"/>
                <w:color w:val="auto"/>
              </w:rPr>
            </w:pPr>
          </w:p>
        </w:tc>
        <w:tc>
          <w:tcPr>
            <w:tcW w:w="1140" w:type="dxa"/>
            <w:vAlign w:val="bottom"/>
            <w:tcBorders>
              <w:right w:val="single" w:sz="8" w:color="595959"/>
            </w:tcBorders>
          </w:tcPr>
          <w:p>
            <w:pPr>
              <w:spacing w:after="0"/>
              <w:rPr>
                <w:sz w:val="11"/>
                <w:szCs w:val="11"/>
                <w:color w:val="auto"/>
              </w:rPr>
            </w:pPr>
          </w:p>
        </w:tc>
        <w:tc>
          <w:tcPr>
            <w:tcW w:w="1080" w:type="dxa"/>
            <w:vAlign w:val="bottom"/>
            <w:tcBorders>
              <w:right w:val="single" w:sz="8" w:color="595959"/>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right w:val="single" w:sz="8" w:color="595959"/>
            </w:tcBorders>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660" w:type="dxa"/>
            <w:vAlign w:val="bottom"/>
            <w:tcBorders>
              <w:left w:val="single" w:sz="8" w:color="595959"/>
              <w:bottom w:val="single" w:sz="8" w:color="595959"/>
            </w:tcBorders>
          </w:tcPr>
          <w:p>
            <w:pPr>
              <w:spacing w:after="0"/>
              <w:rPr>
                <w:sz w:val="2"/>
                <w:szCs w:val="2"/>
                <w:color w:val="auto"/>
              </w:rPr>
            </w:pPr>
          </w:p>
        </w:tc>
        <w:tc>
          <w:tcPr>
            <w:tcW w:w="60" w:type="dxa"/>
            <w:vAlign w:val="bottom"/>
            <w:tcBorders>
              <w:bottom w:val="single" w:sz="8" w:color="595959"/>
            </w:tcBorders>
          </w:tcPr>
          <w:p>
            <w:pPr>
              <w:spacing w:after="0"/>
              <w:rPr>
                <w:sz w:val="2"/>
                <w:szCs w:val="2"/>
                <w:color w:val="auto"/>
              </w:rPr>
            </w:pPr>
          </w:p>
        </w:tc>
        <w:tc>
          <w:tcPr>
            <w:tcW w:w="8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4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120" w:type="dxa"/>
            <w:vAlign w:val="bottom"/>
            <w:tcBorders>
              <w:bottom w:val="single" w:sz="8" w:color="595959"/>
              <w:right w:val="single" w:sz="8" w:color="595959"/>
            </w:tcBorders>
          </w:tcPr>
          <w:p>
            <w:pPr>
              <w:spacing w:after="0"/>
              <w:rPr>
                <w:sz w:val="2"/>
                <w:szCs w:val="2"/>
                <w:color w:val="auto"/>
              </w:rPr>
            </w:pPr>
          </w:p>
        </w:tc>
        <w:tc>
          <w:tcPr>
            <w:tcW w:w="1000" w:type="dxa"/>
            <w:vAlign w:val="bottom"/>
            <w:tcBorders>
              <w:bottom w:val="single" w:sz="8" w:color="595959"/>
              <w:right w:val="single" w:sz="8" w:color="595959"/>
            </w:tcBorders>
          </w:tcPr>
          <w:p>
            <w:pPr>
              <w:spacing w:after="0"/>
              <w:rPr>
                <w:sz w:val="2"/>
                <w:szCs w:val="2"/>
                <w:color w:val="auto"/>
              </w:rPr>
            </w:pPr>
          </w:p>
        </w:tc>
        <w:tc>
          <w:tcPr>
            <w:tcW w:w="1160" w:type="dxa"/>
            <w:vAlign w:val="bottom"/>
            <w:tcBorders>
              <w:bottom w:val="single" w:sz="8" w:color="595959"/>
              <w:right w:val="single" w:sz="8" w:color="595959"/>
            </w:tcBorders>
          </w:tcPr>
          <w:p>
            <w:pPr>
              <w:spacing w:after="0"/>
              <w:rPr>
                <w:sz w:val="2"/>
                <w:szCs w:val="2"/>
                <w:color w:val="auto"/>
              </w:rPr>
            </w:pPr>
          </w:p>
        </w:tc>
        <w:tc>
          <w:tcPr>
            <w:tcW w:w="1140" w:type="dxa"/>
            <w:vAlign w:val="bottom"/>
            <w:tcBorders>
              <w:bottom w:val="single" w:sz="8" w:color="595959"/>
              <w:right w:val="single" w:sz="8" w:color="595959"/>
            </w:tcBorders>
          </w:tcPr>
          <w:p>
            <w:pPr>
              <w:spacing w:after="0"/>
              <w:rPr>
                <w:sz w:val="2"/>
                <w:szCs w:val="2"/>
                <w:color w:val="auto"/>
              </w:rPr>
            </w:pPr>
          </w:p>
        </w:tc>
        <w:tc>
          <w:tcPr>
            <w:tcW w:w="1080" w:type="dxa"/>
            <w:vAlign w:val="bottom"/>
            <w:tcBorders>
              <w:bottom w:val="single" w:sz="8" w:color="595959"/>
              <w:right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820" w:type="dxa"/>
            <w:vAlign w:val="bottom"/>
            <w:tcBorders>
              <w:bottom w:val="single" w:sz="8" w:color="595959"/>
              <w:right w:val="single" w:sz="8" w:color="59595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332" w:hanging="332"/>
        <w:spacing w:after="0"/>
        <w:tabs>
          <w:tab w:leader="none" w:pos="332"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as set forth in the Credit Agreement.</w:t>
      </w:r>
    </w:p>
    <w:p>
      <w:pPr>
        <w:sectPr>
          <w:pgSz w:w="11900" w:h="16838" w:orient="portrait"/>
          <w:cols w:equalWidth="0" w:num="1">
            <w:col w:w="10131"/>
          </w:cols>
          <w:pgMar w:left="328" w:top="1391" w:right="1440" w:bottom="1440" w:gutter="0" w:footer="0" w:header="0"/>
        </w:sectPr>
      </w:pPr>
    </w:p>
    <w:bookmarkStart w:id="211" w:name="page212"/>
    <w:bookmarkEnd w:id="211"/>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1.2</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Percentages and Allocations</w:t>
      </w:r>
      <w:r>
        <w:rPr>
          <w:rFonts w:ascii="Times New Roman" w:cs="Times New Roman" w:eastAsia="Times New Roman" w:hAnsi="Times New Roman"/>
          <w:sz w:val="10"/>
          <w:szCs w:val="10"/>
          <w:b w:val="1"/>
          <w:bCs w:val="1"/>
          <w:u w:val="single" w:color="auto"/>
          <w:color w:val="0000FF"/>
        </w:rPr>
        <w:t>1</w:t>
      </w:r>
    </w:p>
    <w:p>
      <w:pPr>
        <w:spacing w:after="0" w:line="20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1714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0000FF"/>
        </w:rPr>
        <w:t xml:space="preserve">1 </w:t>
      </w:r>
      <w:r>
        <w:rPr>
          <w:rFonts w:ascii="Times New Roman" w:cs="Times New Roman" w:eastAsia="Times New Roman" w:hAnsi="Times New Roman"/>
          <w:sz w:val="17"/>
          <w:szCs w:val="17"/>
          <w:u w:val="single" w:color="auto"/>
          <w:color w:val="0000FF"/>
        </w:rPr>
        <w:t>As of the First Amendment Effective Date.</w:t>
      </w:r>
    </w:p>
    <w:p>
      <w:pPr>
        <w:sectPr>
          <w:pgSz w:w="11900" w:h="16838" w:orient="portrait"/>
          <w:cols w:equalWidth="0" w:num="1">
            <w:col w:w="10139"/>
          </w:cols>
          <w:pgMar w:left="320" w:top="1391" w:right="1440"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0"/>
        </w:trPr>
        <w:tc>
          <w:tcPr>
            <w:tcW w:w="2700" w:type="dxa"/>
            <w:vAlign w:val="bottom"/>
            <w:vMerge w:val="restart"/>
            <w:shd w:val="clear" w:color="auto" w:fill="A6A6A6"/>
          </w:tcPr>
          <w:p>
            <w:pPr>
              <w:ind w:left="1020"/>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3320" w:type="dxa"/>
            <w:vAlign w:val="bottom"/>
            <w:shd w:val="clear" w:color="auto" w:fill="A6A6A6"/>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7"/>
              </w:rPr>
              <w:t>REVOLVING CREDIT</w:t>
            </w:r>
          </w:p>
        </w:tc>
        <w:tc>
          <w:tcPr>
            <w:tcW w:w="3280" w:type="dxa"/>
            <w:vAlign w:val="bottom"/>
            <w:shd w:val="clear" w:color="auto" w:fill="A6A6A6"/>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7"/>
              </w:rPr>
              <w:t>REVOLVING CREDIT</w:t>
            </w:r>
          </w:p>
        </w:tc>
        <w:tc>
          <w:tcPr>
            <w:tcW w:w="0" w:type="dxa"/>
            <w:vAlign w:val="bottom"/>
          </w:tcPr>
          <w:p>
            <w:pPr>
              <w:spacing w:after="0"/>
              <w:rPr>
                <w:sz w:val="1"/>
                <w:szCs w:val="1"/>
                <w:color w:val="auto"/>
              </w:rPr>
            </w:pPr>
          </w:p>
        </w:tc>
      </w:tr>
      <w:tr>
        <w:trPr>
          <w:trHeight w:val="154"/>
        </w:trPr>
        <w:tc>
          <w:tcPr>
            <w:tcW w:w="2700" w:type="dxa"/>
            <w:vAlign w:val="bottom"/>
            <w:vMerge w:val="continue"/>
            <w:shd w:val="clear" w:color="auto" w:fill="A6A6A6"/>
          </w:tcPr>
          <w:p>
            <w:pPr>
              <w:spacing w:after="0"/>
              <w:rPr>
                <w:sz w:val="13"/>
                <w:szCs w:val="13"/>
                <w:color w:val="auto"/>
              </w:rPr>
            </w:pPr>
          </w:p>
        </w:tc>
        <w:tc>
          <w:tcPr>
            <w:tcW w:w="3320" w:type="dxa"/>
            <w:vAlign w:val="bottom"/>
            <w:vMerge w:val="restart"/>
            <w:shd w:val="clear" w:color="auto" w:fill="A6A6A6"/>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w w:val="97"/>
              </w:rPr>
              <w:t>ALLOCATIONS</w:t>
            </w:r>
          </w:p>
        </w:tc>
        <w:tc>
          <w:tcPr>
            <w:tcW w:w="328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PERCENTAGE</w:t>
            </w:r>
          </w:p>
        </w:tc>
        <w:tc>
          <w:tcPr>
            <w:tcW w:w="0" w:type="dxa"/>
            <w:vAlign w:val="bottom"/>
          </w:tcPr>
          <w:p>
            <w:pPr>
              <w:spacing w:after="0"/>
              <w:rPr>
                <w:sz w:val="1"/>
                <w:szCs w:val="1"/>
                <w:color w:val="auto"/>
              </w:rPr>
            </w:pPr>
          </w:p>
        </w:tc>
      </w:tr>
      <w:tr>
        <w:trPr>
          <w:trHeight w:val="102"/>
        </w:trPr>
        <w:tc>
          <w:tcPr>
            <w:tcW w:w="2700" w:type="dxa"/>
            <w:vAlign w:val="bottom"/>
            <w:shd w:val="clear" w:color="auto" w:fill="A6A6A6"/>
          </w:tcPr>
          <w:p>
            <w:pPr>
              <w:spacing w:after="0"/>
              <w:rPr>
                <w:sz w:val="8"/>
                <w:szCs w:val="8"/>
                <w:color w:val="auto"/>
              </w:rPr>
            </w:pPr>
          </w:p>
        </w:tc>
        <w:tc>
          <w:tcPr>
            <w:tcW w:w="3320" w:type="dxa"/>
            <w:vAlign w:val="bottom"/>
            <w:vMerge w:val="continue"/>
            <w:shd w:val="clear" w:color="auto" w:fill="A6A6A6"/>
          </w:tcPr>
          <w:p>
            <w:pPr>
              <w:spacing w:after="0"/>
              <w:rPr>
                <w:sz w:val="8"/>
                <w:szCs w:val="8"/>
                <w:color w:val="auto"/>
              </w:rPr>
            </w:pPr>
          </w:p>
        </w:tc>
        <w:tc>
          <w:tcPr>
            <w:tcW w:w="3280" w:type="dxa"/>
            <w:vAlign w:val="bottom"/>
            <w:vMerge w:val="continue"/>
            <w:shd w:val="clear" w:color="auto" w:fill="A6A6A6"/>
          </w:tcPr>
          <w:p>
            <w:pPr>
              <w:spacing w:after="0"/>
              <w:rPr>
                <w:sz w:val="8"/>
                <w:szCs w:val="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929005</wp:posOffset>
            </wp:positionV>
            <wp:extent cx="5915025" cy="46723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5915025" cy="46723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7"/>
        </w:trPr>
        <w:tc>
          <w:tcPr>
            <w:tcW w:w="298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Royal Bank of Canada</w:t>
            </w:r>
          </w:p>
        </w:tc>
        <w:tc>
          <w:tcPr>
            <w:tcW w:w="2660" w:type="dxa"/>
            <w:vAlign w:val="bottom"/>
            <w:gridSpan w:val="6"/>
            <w:vMerge w:val="restart"/>
          </w:tcPr>
          <w:p>
            <w:pPr>
              <w:jc w:val="center"/>
              <w:ind w:left="152"/>
              <w:spacing w:after="0"/>
              <w:rPr>
                <w:sz w:val="20"/>
                <w:szCs w:val="20"/>
                <w:color w:val="auto"/>
              </w:rPr>
            </w:pPr>
            <w:r>
              <w:rPr>
                <w:rFonts w:ascii="Times New Roman" w:cs="Times New Roman" w:eastAsia="Times New Roman" w:hAnsi="Times New Roman"/>
                <w:sz w:val="22"/>
                <w:szCs w:val="22"/>
                <w:color w:val="auto"/>
                <w:w w:val="98"/>
              </w:rPr>
              <w:t>$90,000,000</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3"/>
            <w:vMerge w:val="restart"/>
          </w:tcPr>
          <w:p>
            <w:pPr>
              <w:jc w:val="center"/>
              <w:ind w:left="52"/>
              <w:spacing w:after="0"/>
              <w:rPr>
                <w:sz w:val="20"/>
                <w:szCs w:val="20"/>
                <w:color w:val="auto"/>
              </w:rPr>
            </w:pPr>
            <w:r>
              <w:rPr>
                <w:rFonts w:ascii="Times New Roman" w:cs="Times New Roman" w:eastAsia="Times New Roman" w:hAnsi="Times New Roman"/>
                <w:sz w:val="22"/>
                <w:szCs w:val="22"/>
                <w:color w:val="FF0000"/>
                <w:strike w:val="1"/>
                <w:w w:val="99"/>
              </w:rPr>
              <w:t>12.857142857%</w:t>
            </w:r>
          </w:p>
        </w:tc>
        <w:tc>
          <w:tcPr>
            <w:tcW w:w="162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0000FF"/>
                <w:strike w:val="1"/>
                <w:w w:val="95"/>
              </w:rPr>
              <w:t>11.61290322581%</w:t>
            </w:r>
          </w:p>
        </w:tc>
        <w:tc>
          <w:tcPr>
            <w:tcW w:w="10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980" w:type="dxa"/>
            <w:vAlign w:val="bottom"/>
            <w:gridSpan w:val="3"/>
            <w:vMerge w:val="continue"/>
          </w:tcPr>
          <w:p>
            <w:pPr>
              <w:spacing w:after="0"/>
              <w:rPr>
                <w:sz w:val="17"/>
                <w:szCs w:val="17"/>
                <w:color w:val="auto"/>
              </w:rPr>
            </w:pPr>
          </w:p>
        </w:tc>
        <w:tc>
          <w:tcPr>
            <w:tcW w:w="2660" w:type="dxa"/>
            <w:vAlign w:val="bottom"/>
            <w:gridSpan w:val="6"/>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1620" w:type="dxa"/>
            <w:vAlign w:val="bottom"/>
            <w:tcBorders>
              <w:bottom w:val="single" w:sz="8" w:color="0000FF"/>
            </w:tcBorders>
            <w:gridSpan w:val="5"/>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7"/>
          </w:tcPr>
          <w:p>
            <w:pPr>
              <w:jc w:val="center"/>
              <w:ind w:right="160"/>
              <w:spacing w:after="0"/>
              <w:rPr>
                <w:sz w:val="20"/>
                <w:szCs w:val="20"/>
                <w:color w:val="auto"/>
              </w:rPr>
            </w:pPr>
            <w:r>
              <w:rPr>
                <w:rFonts w:ascii="Times New Roman" w:cs="Times New Roman" w:eastAsia="Times New Roman" w:hAnsi="Times New Roman"/>
                <w:sz w:val="20"/>
                <w:szCs w:val="20"/>
                <w:color w:val="0000FF"/>
                <w:w w:val="98"/>
              </w:rPr>
              <w:t>Letter of Credit Commitment:</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2380" w:type="dxa"/>
            <w:vAlign w:val="bottom"/>
            <w:tcBorders>
              <w:top w:val="single" w:sz="8" w:color="0000FF"/>
            </w:tcBorders>
            <w:gridSpan w:val="4"/>
          </w:tcPr>
          <w:p>
            <w:pPr>
              <w:jc w:val="center"/>
              <w:ind w:right="20"/>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50,000,000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top w:val="single" w:sz="8" w:color="0000FF"/>
              <w:bottom w:val="single" w:sz="8" w:color="595959"/>
            </w:tcBorders>
          </w:tcPr>
          <w:p>
            <w:pPr>
              <w:spacing w:after="0"/>
              <w:rPr>
                <w:sz w:val="7"/>
                <w:szCs w:val="7"/>
                <w:color w:val="auto"/>
              </w:rPr>
            </w:pPr>
          </w:p>
        </w:tc>
        <w:tc>
          <w:tcPr>
            <w:tcW w:w="480" w:type="dxa"/>
            <w:vAlign w:val="bottom"/>
            <w:tcBorders>
              <w:top w:val="single" w:sz="8" w:color="0000FF"/>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98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Truist Bank</w:t>
            </w:r>
          </w:p>
        </w:tc>
        <w:tc>
          <w:tcPr>
            <w:tcW w:w="2660" w:type="dxa"/>
            <w:vAlign w:val="bottom"/>
            <w:gridSpan w:val="6"/>
          </w:tcPr>
          <w:p>
            <w:pPr>
              <w:jc w:val="center"/>
              <w:ind w:left="152"/>
              <w:spacing w:after="0"/>
              <w:rPr>
                <w:sz w:val="20"/>
                <w:szCs w:val="20"/>
                <w:color w:val="auto"/>
              </w:rPr>
            </w:pPr>
            <w:r>
              <w:rPr>
                <w:rFonts w:ascii="Times New Roman" w:cs="Times New Roman" w:eastAsia="Times New Roman" w:hAnsi="Times New Roman"/>
                <w:sz w:val="22"/>
                <w:szCs w:val="22"/>
                <w:color w:val="auto"/>
                <w:w w:val="98"/>
              </w:rPr>
              <w:t>$90,000,000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gridSpan w:val="3"/>
          </w:tcPr>
          <w:p>
            <w:pPr>
              <w:jc w:val="center"/>
              <w:ind w:left="52"/>
              <w:spacing w:after="0"/>
              <w:rPr>
                <w:sz w:val="20"/>
                <w:szCs w:val="20"/>
                <w:color w:val="auto"/>
              </w:rPr>
            </w:pPr>
            <w:r>
              <w:rPr>
                <w:rFonts w:ascii="Times New Roman" w:cs="Times New Roman" w:eastAsia="Times New Roman" w:hAnsi="Times New Roman"/>
                <w:sz w:val="22"/>
                <w:szCs w:val="22"/>
                <w:color w:val="FF0000"/>
                <w:strike w:val="1"/>
                <w:w w:val="99"/>
              </w:rPr>
              <w:t>12.857142857%</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0000FF"/>
                <w:strike w:val="1"/>
                <w:w w:val="95"/>
              </w:rPr>
              <w:t>11.61290322581%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8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7"/>
          </w:tcPr>
          <w:p>
            <w:pPr>
              <w:jc w:val="center"/>
              <w:ind w:right="160"/>
              <w:spacing w:after="0"/>
              <w:rPr>
                <w:sz w:val="20"/>
                <w:szCs w:val="20"/>
                <w:color w:val="auto"/>
              </w:rPr>
            </w:pPr>
            <w:r>
              <w:rPr>
                <w:rFonts w:ascii="Times New Roman" w:cs="Times New Roman" w:eastAsia="Times New Roman" w:hAnsi="Times New Roman"/>
                <w:sz w:val="20"/>
                <w:szCs w:val="20"/>
                <w:color w:val="0000FF"/>
                <w:w w:val="98"/>
              </w:rPr>
              <w:t>Letter of Credit Commitment:</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2380" w:type="dxa"/>
            <w:vAlign w:val="bottom"/>
            <w:tcBorders>
              <w:top w:val="single" w:sz="8" w:color="0000FF"/>
            </w:tcBorders>
            <w:gridSpan w:val="4"/>
          </w:tcPr>
          <w:p>
            <w:pPr>
              <w:jc w:val="center"/>
              <w:ind w:right="20"/>
              <w:spacing w:after="0" w:line="250"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50,000,000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top w:val="single" w:sz="8" w:color="0000FF"/>
              <w:bottom w:val="single" w:sz="8" w:color="595959"/>
            </w:tcBorders>
          </w:tcPr>
          <w:p>
            <w:pPr>
              <w:spacing w:after="0"/>
              <w:rPr>
                <w:sz w:val="7"/>
                <w:szCs w:val="7"/>
                <w:color w:val="auto"/>
              </w:rPr>
            </w:pPr>
          </w:p>
        </w:tc>
        <w:tc>
          <w:tcPr>
            <w:tcW w:w="480" w:type="dxa"/>
            <w:vAlign w:val="bottom"/>
            <w:tcBorders>
              <w:top w:val="single" w:sz="8" w:color="0000FF"/>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Bank of America, N.A.</w:t>
            </w:r>
          </w:p>
        </w:tc>
        <w:tc>
          <w:tcPr>
            <w:tcW w:w="2660" w:type="dxa"/>
            <w:vAlign w:val="bottom"/>
            <w:gridSpan w:val="6"/>
          </w:tcPr>
          <w:p>
            <w:pPr>
              <w:jc w:val="center"/>
              <w:ind w:left="152"/>
              <w:spacing w:after="0"/>
              <w:rPr>
                <w:sz w:val="20"/>
                <w:szCs w:val="20"/>
                <w:color w:val="auto"/>
              </w:rPr>
            </w:pPr>
            <w:r>
              <w:rPr>
                <w:rFonts w:ascii="Times New Roman" w:cs="Times New Roman" w:eastAsia="Times New Roman" w:hAnsi="Times New Roman"/>
                <w:sz w:val="22"/>
                <w:szCs w:val="22"/>
                <w:color w:val="auto"/>
                <w:w w:val="98"/>
              </w:rPr>
              <w:t>$77,000,000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4"/>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8"/>
              </w:rPr>
              <w:t>11.000000000%</w:t>
            </w:r>
          </w:p>
        </w:tc>
        <w:tc>
          <w:tcPr>
            <w:tcW w:w="1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strike w:val="1"/>
                <w:w w:val="96"/>
              </w:rPr>
              <w:t>9.93548387097%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bottom w:val="single" w:sz="8" w:color="595959"/>
            </w:tcBorders>
          </w:tcPr>
          <w:p>
            <w:pPr>
              <w:spacing w:after="0"/>
              <w:rPr>
                <w:sz w:val="7"/>
                <w:szCs w:val="7"/>
                <w:color w:val="auto"/>
              </w:rPr>
            </w:pPr>
          </w:p>
        </w:tc>
        <w:tc>
          <w:tcPr>
            <w:tcW w:w="48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w w:val="98"/>
              </w:rPr>
              <w:t>PNC Bank, National Association</w:t>
            </w:r>
          </w:p>
        </w:tc>
        <w:tc>
          <w:tcPr>
            <w:tcW w:w="2660" w:type="dxa"/>
            <w:vAlign w:val="bottom"/>
            <w:gridSpan w:val="6"/>
          </w:tcPr>
          <w:p>
            <w:pPr>
              <w:jc w:val="center"/>
              <w:ind w:left="152"/>
              <w:spacing w:after="0"/>
              <w:rPr>
                <w:sz w:val="20"/>
                <w:szCs w:val="20"/>
                <w:color w:val="auto"/>
              </w:rPr>
            </w:pPr>
            <w:r>
              <w:rPr>
                <w:rFonts w:ascii="Times New Roman" w:cs="Times New Roman" w:eastAsia="Times New Roman" w:hAnsi="Times New Roman"/>
                <w:sz w:val="22"/>
                <w:szCs w:val="22"/>
                <w:color w:val="auto"/>
                <w:w w:val="98"/>
              </w:rPr>
              <w:t>$77,000,000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4"/>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8"/>
              </w:rPr>
              <w:t>11.000000000%</w:t>
            </w:r>
          </w:p>
        </w:tc>
        <w:tc>
          <w:tcPr>
            <w:tcW w:w="1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strike w:val="1"/>
                <w:w w:val="96"/>
              </w:rPr>
              <w:t>9.93548387097%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bottom w:val="single" w:sz="8" w:color="595959"/>
            </w:tcBorders>
          </w:tcPr>
          <w:p>
            <w:pPr>
              <w:spacing w:after="0"/>
              <w:rPr>
                <w:sz w:val="7"/>
                <w:szCs w:val="7"/>
                <w:color w:val="auto"/>
              </w:rPr>
            </w:pPr>
          </w:p>
        </w:tc>
        <w:tc>
          <w:tcPr>
            <w:tcW w:w="48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The Bank of Nova Scotia,</w:t>
            </w:r>
          </w:p>
        </w:tc>
        <w:tc>
          <w:tcPr>
            <w:tcW w:w="2660" w:type="dxa"/>
            <w:vAlign w:val="bottom"/>
            <w:gridSpan w:val="6"/>
            <w:vMerge w:val="restart"/>
          </w:tcPr>
          <w:p>
            <w:pPr>
              <w:jc w:val="center"/>
              <w:ind w:left="152"/>
              <w:spacing w:after="0"/>
              <w:rPr>
                <w:sz w:val="20"/>
                <w:szCs w:val="20"/>
                <w:color w:val="auto"/>
              </w:rPr>
            </w:pPr>
            <w:r>
              <w:rPr>
                <w:rFonts w:ascii="Times New Roman" w:cs="Times New Roman" w:eastAsia="Times New Roman" w:hAnsi="Times New Roman"/>
                <w:sz w:val="22"/>
                <w:szCs w:val="22"/>
                <w:color w:val="auto"/>
                <w:w w:val="98"/>
              </w:rPr>
              <w:t>$77,000,000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4"/>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8"/>
              </w:rPr>
              <w:t>11.000000000%</w:t>
            </w:r>
          </w:p>
        </w:tc>
        <w:tc>
          <w:tcPr>
            <w:tcW w:w="1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strike w:val="1"/>
                <w:w w:val="96"/>
              </w:rPr>
              <w:t>9.93548387097%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98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Houston Branch</w:t>
            </w:r>
          </w:p>
        </w:tc>
        <w:tc>
          <w:tcPr>
            <w:tcW w:w="266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Borders>
              <w:bottom w:val="single" w:sz="8" w:color="595959"/>
            </w:tcBorders>
          </w:tcPr>
          <w:p>
            <w:pPr>
              <w:spacing w:after="0"/>
              <w:rPr>
                <w:sz w:val="2"/>
                <w:szCs w:val="2"/>
                <w:color w:val="auto"/>
              </w:rPr>
            </w:pPr>
          </w:p>
        </w:tc>
        <w:tc>
          <w:tcPr>
            <w:tcW w:w="1600" w:type="dxa"/>
            <w:vAlign w:val="bottom"/>
            <w:tcBorders>
              <w:bottom w:val="single" w:sz="8" w:color="595959"/>
            </w:tcBorders>
          </w:tcPr>
          <w:p>
            <w:pPr>
              <w:spacing w:after="0"/>
              <w:rPr>
                <w:sz w:val="2"/>
                <w:szCs w:val="2"/>
                <w:color w:val="auto"/>
              </w:rPr>
            </w:pPr>
          </w:p>
        </w:tc>
        <w:tc>
          <w:tcPr>
            <w:tcW w:w="1300" w:type="dxa"/>
            <w:vAlign w:val="bottom"/>
            <w:tcBorders>
              <w:bottom w:val="single" w:sz="8" w:color="595959"/>
            </w:tcBorders>
          </w:tcPr>
          <w:p>
            <w:pPr>
              <w:spacing w:after="0"/>
              <w:rPr>
                <w:sz w:val="2"/>
                <w:szCs w:val="2"/>
                <w:color w:val="auto"/>
              </w:rPr>
            </w:pPr>
          </w:p>
        </w:tc>
        <w:tc>
          <w:tcPr>
            <w:tcW w:w="16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48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6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KeyBank National Association</w:t>
            </w:r>
          </w:p>
        </w:tc>
        <w:tc>
          <w:tcPr>
            <w:tcW w:w="2660" w:type="dxa"/>
            <w:vAlign w:val="bottom"/>
            <w:gridSpan w:val="6"/>
          </w:tcPr>
          <w:p>
            <w:pPr>
              <w:jc w:val="center"/>
              <w:ind w:left="152"/>
              <w:spacing w:after="0"/>
              <w:rPr>
                <w:sz w:val="20"/>
                <w:szCs w:val="20"/>
                <w:color w:val="auto"/>
              </w:rPr>
            </w:pPr>
            <w:r>
              <w:rPr>
                <w:rFonts w:ascii="Times New Roman" w:cs="Times New Roman" w:eastAsia="Times New Roman" w:hAnsi="Times New Roman"/>
                <w:sz w:val="22"/>
                <w:szCs w:val="22"/>
                <w:color w:val="auto"/>
                <w:w w:val="98"/>
              </w:rPr>
              <w:t>$77,000,000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4"/>
          </w:tcPr>
          <w:p>
            <w:pPr>
              <w:jc w:val="center"/>
              <w:ind w:left="112"/>
              <w:spacing w:after="0"/>
              <w:rPr>
                <w:sz w:val="20"/>
                <w:szCs w:val="20"/>
                <w:color w:val="auto"/>
              </w:rPr>
            </w:pPr>
            <w:r>
              <w:rPr>
                <w:rFonts w:ascii="Times New Roman" w:cs="Times New Roman" w:eastAsia="Times New Roman" w:hAnsi="Times New Roman"/>
                <w:sz w:val="22"/>
                <w:szCs w:val="22"/>
                <w:color w:val="FF0000"/>
                <w:strike w:val="1"/>
                <w:w w:val="98"/>
              </w:rPr>
              <w:t>11.000000000%</w:t>
            </w:r>
          </w:p>
        </w:tc>
        <w:tc>
          <w:tcPr>
            <w:tcW w:w="1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strike w:val="1"/>
                <w:w w:val="96"/>
              </w:rPr>
              <w:t>9.93548387097%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bottom w:val="single" w:sz="8" w:color="595959"/>
            </w:tcBorders>
          </w:tcPr>
          <w:p>
            <w:pPr>
              <w:spacing w:after="0"/>
              <w:rPr>
                <w:sz w:val="7"/>
                <w:szCs w:val="7"/>
                <w:color w:val="auto"/>
              </w:rPr>
            </w:pPr>
          </w:p>
        </w:tc>
        <w:tc>
          <w:tcPr>
            <w:tcW w:w="48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980" w:type="dxa"/>
            <w:vAlign w:val="bottom"/>
            <w:gridSpan w:val="3"/>
            <w:shd w:val="clear" w:color="auto" w:fill="CCCCFF"/>
          </w:tcPr>
          <w:p>
            <w:pPr>
              <w:ind w:left="80"/>
              <w:spacing w:after="0" w:line="237" w:lineRule="exact"/>
              <w:rPr>
                <w:sz w:val="20"/>
                <w:szCs w:val="20"/>
                <w:color w:val="auto"/>
              </w:rPr>
            </w:pPr>
            <w:r>
              <w:rPr>
                <w:rFonts w:ascii="Times New Roman" w:cs="Times New Roman" w:eastAsia="Times New Roman" w:hAnsi="Times New Roman"/>
                <w:sz w:val="22"/>
                <w:szCs w:val="22"/>
                <w:color w:val="0000FF"/>
              </w:rPr>
              <w:t>MUFG Bank, Ltd.</w:t>
            </w:r>
          </w:p>
        </w:tc>
        <w:tc>
          <w:tcPr>
            <w:tcW w:w="2660" w:type="dxa"/>
            <w:vAlign w:val="bottom"/>
            <w:gridSpan w:val="6"/>
            <w:shd w:val="clear" w:color="auto" w:fill="CCCCFF"/>
          </w:tcPr>
          <w:p>
            <w:pPr>
              <w:jc w:val="center"/>
              <w:ind w:left="152"/>
              <w:spacing w:after="0" w:line="237" w:lineRule="exact"/>
              <w:rPr>
                <w:sz w:val="20"/>
                <w:szCs w:val="20"/>
                <w:color w:val="auto"/>
              </w:rPr>
            </w:pPr>
            <w:r>
              <w:rPr>
                <w:rFonts w:ascii="Times New Roman" w:cs="Times New Roman" w:eastAsia="Times New Roman" w:hAnsi="Times New Roman"/>
                <w:sz w:val="22"/>
                <w:szCs w:val="22"/>
                <w:u w:val="single" w:color="auto"/>
                <w:color w:val="0000FF"/>
                <w:w w:val="98"/>
              </w:rPr>
              <w:t>$</w:t>
            </w:r>
            <w:r>
              <w:rPr>
                <w:rFonts w:ascii="Times New Roman" w:cs="Times New Roman" w:eastAsia="Times New Roman" w:hAnsi="Times New Roman"/>
                <w:sz w:val="22"/>
                <w:szCs w:val="22"/>
                <w:color w:val="0000FF"/>
                <w:w w:val="98"/>
              </w:rPr>
              <w:t>75,000,000</w:t>
            </w:r>
          </w:p>
        </w:tc>
        <w:tc>
          <w:tcPr>
            <w:tcW w:w="200" w:type="dxa"/>
            <w:vAlign w:val="bottom"/>
            <w:shd w:val="clear" w:color="auto" w:fill="CCCCFF"/>
          </w:tcPr>
          <w:p>
            <w:pPr>
              <w:spacing w:after="0"/>
              <w:rPr>
                <w:sz w:val="20"/>
                <w:szCs w:val="20"/>
                <w:color w:val="auto"/>
              </w:rPr>
            </w:pPr>
          </w:p>
        </w:tc>
        <w:tc>
          <w:tcPr>
            <w:tcW w:w="80" w:type="dxa"/>
            <w:vAlign w:val="bottom"/>
            <w:shd w:val="clear" w:color="auto" w:fill="CCCCFF"/>
          </w:tcPr>
          <w:p>
            <w:pPr>
              <w:spacing w:after="0"/>
              <w:rPr>
                <w:sz w:val="20"/>
                <w:szCs w:val="20"/>
                <w:color w:val="auto"/>
              </w:rPr>
            </w:pPr>
          </w:p>
        </w:tc>
        <w:tc>
          <w:tcPr>
            <w:tcW w:w="3120" w:type="dxa"/>
            <w:vAlign w:val="bottom"/>
            <w:gridSpan w:val="6"/>
            <w:shd w:val="clear" w:color="auto" w:fill="CCCCFF"/>
          </w:tcPr>
          <w:p>
            <w:pPr>
              <w:jc w:val="right"/>
              <w:ind w:right="660"/>
              <w:spacing w:after="0" w:line="237" w:lineRule="exact"/>
              <w:rPr>
                <w:sz w:val="20"/>
                <w:szCs w:val="20"/>
                <w:color w:val="auto"/>
              </w:rPr>
            </w:pPr>
            <w:r>
              <w:rPr>
                <w:rFonts w:ascii="Times New Roman" w:cs="Times New Roman" w:eastAsia="Times New Roman" w:hAnsi="Times New Roman"/>
                <w:sz w:val="22"/>
                <w:szCs w:val="22"/>
                <w:color w:val="0000FF"/>
              </w:rPr>
              <w:t>9.67741935484%</w:t>
            </w:r>
          </w:p>
        </w:tc>
        <w:tc>
          <w:tcPr>
            <w:tcW w:w="40" w:type="dxa"/>
            <w:vAlign w:val="bottom"/>
            <w:shd w:val="clear" w:color="auto" w:fill="CCCCFF"/>
          </w:tcPr>
          <w:p>
            <w:pPr>
              <w:spacing w:after="0"/>
              <w:rPr>
                <w:sz w:val="20"/>
                <w:szCs w:val="20"/>
                <w:color w:val="auto"/>
              </w:rPr>
            </w:pPr>
          </w:p>
        </w:tc>
        <w:tc>
          <w:tcPr>
            <w:tcW w:w="60" w:type="dxa"/>
            <w:vAlign w:val="bottom"/>
            <w:shd w:val="clear" w:color="auto" w:fill="CCCCFF"/>
          </w:tcPr>
          <w:p>
            <w:pPr>
              <w:spacing w:after="0"/>
              <w:rPr>
                <w:sz w:val="20"/>
                <w:szCs w:val="20"/>
                <w:color w:val="auto"/>
              </w:rPr>
            </w:pPr>
          </w:p>
        </w:tc>
        <w:tc>
          <w:tcPr>
            <w:tcW w:w="100" w:type="dxa"/>
            <w:vAlign w:val="bottom"/>
            <w:shd w:val="clear" w:color="auto" w:fill="CCCCFF"/>
          </w:tcPr>
          <w:p>
            <w:pPr>
              <w:spacing w:after="0"/>
              <w:rPr>
                <w:sz w:val="20"/>
                <w:szCs w:val="20"/>
                <w:color w:val="auto"/>
              </w:rPr>
            </w:pPr>
          </w:p>
        </w:tc>
        <w:tc>
          <w:tcPr>
            <w:tcW w:w="80" w:type="dxa"/>
            <w:vAlign w:val="bottom"/>
            <w:tcBorders>
              <w:left w:val="single" w:sz="8" w:color="CCCCFF"/>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0" w:type="dxa"/>
            <w:vAlign w:val="bottom"/>
            <w:tcBorders>
              <w:top w:val="single" w:sz="8" w:color="CCCCFF"/>
              <w:bottom w:val="single" w:sz="8" w:color="595959"/>
            </w:tcBorders>
            <w:shd w:val="clear" w:color="auto" w:fill="CCCCFF"/>
          </w:tcPr>
          <w:p>
            <w:pPr>
              <w:spacing w:after="0"/>
              <w:rPr>
                <w:sz w:val="5"/>
                <w:szCs w:val="5"/>
                <w:color w:val="auto"/>
              </w:rPr>
            </w:pPr>
          </w:p>
        </w:tc>
        <w:tc>
          <w:tcPr>
            <w:tcW w:w="1600" w:type="dxa"/>
            <w:vAlign w:val="bottom"/>
            <w:tcBorders>
              <w:top w:val="single" w:sz="8" w:color="0000FF"/>
              <w:bottom w:val="single" w:sz="8" w:color="595959"/>
            </w:tcBorders>
            <w:shd w:val="clear" w:color="auto" w:fill="CCCCFF"/>
          </w:tcPr>
          <w:p>
            <w:pPr>
              <w:spacing w:after="0"/>
              <w:rPr>
                <w:sz w:val="5"/>
                <w:szCs w:val="5"/>
                <w:color w:val="auto"/>
              </w:rPr>
            </w:pPr>
          </w:p>
        </w:tc>
        <w:tc>
          <w:tcPr>
            <w:tcW w:w="1300" w:type="dxa"/>
            <w:vAlign w:val="bottom"/>
            <w:tcBorders>
              <w:top w:val="single" w:sz="8" w:color="CCCCFF"/>
              <w:bottom w:val="single" w:sz="8" w:color="595959"/>
            </w:tcBorders>
            <w:shd w:val="clear" w:color="auto" w:fill="CCCCFF"/>
          </w:tcPr>
          <w:p>
            <w:pPr>
              <w:spacing w:after="0"/>
              <w:rPr>
                <w:sz w:val="5"/>
                <w:szCs w:val="5"/>
                <w:color w:val="auto"/>
              </w:rPr>
            </w:pPr>
          </w:p>
        </w:tc>
        <w:tc>
          <w:tcPr>
            <w:tcW w:w="160" w:type="dxa"/>
            <w:vAlign w:val="bottom"/>
            <w:tcBorders>
              <w:top w:val="single" w:sz="8" w:color="CCCCFF"/>
              <w:bottom w:val="single" w:sz="8" w:color="595959"/>
            </w:tcBorders>
            <w:shd w:val="clear" w:color="auto" w:fill="CCCCFF"/>
          </w:tcPr>
          <w:p>
            <w:pPr>
              <w:spacing w:after="0"/>
              <w:rPr>
                <w:sz w:val="5"/>
                <w:szCs w:val="5"/>
                <w:color w:val="auto"/>
              </w:rPr>
            </w:pPr>
          </w:p>
        </w:tc>
        <w:tc>
          <w:tcPr>
            <w:tcW w:w="120" w:type="dxa"/>
            <w:vAlign w:val="bottom"/>
            <w:tcBorders>
              <w:top w:val="single" w:sz="8" w:color="CCCCFF"/>
              <w:bottom w:val="single" w:sz="8" w:color="595959"/>
            </w:tcBorders>
            <w:shd w:val="clear" w:color="auto" w:fill="CCCCFF"/>
          </w:tcPr>
          <w:p>
            <w:pPr>
              <w:spacing w:after="0"/>
              <w:rPr>
                <w:sz w:val="5"/>
                <w:szCs w:val="5"/>
                <w:color w:val="auto"/>
              </w:rPr>
            </w:pPr>
          </w:p>
        </w:tc>
        <w:tc>
          <w:tcPr>
            <w:tcW w:w="640" w:type="dxa"/>
            <w:vAlign w:val="bottom"/>
            <w:tcBorders>
              <w:top w:val="single" w:sz="8" w:color="CCCCFF"/>
              <w:bottom w:val="single" w:sz="8" w:color="595959"/>
            </w:tcBorders>
            <w:shd w:val="clear" w:color="auto" w:fill="CCCCFF"/>
          </w:tcPr>
          <w:p>
            <w:pPr>
              <w:spacing w:after="0"/>
              <w:rPr>
                <w:sz w:val="5"/>
                <w:szCs w:val="5"/>
                <w:color w:val="auto"/>
              </w:rPr>
            </w:pPr>
          </w:p>
        </w:tc>
        <w:tc>
          <w:tcPr>
            <w:tcW w:w="600" w:type="dxa"/>
            <w:vAlign w:val="bottom"/>
            <w:tcBorders>
              <w:top w:val="single" w:sz="8" w:color="0000FF"/>
              <w:bottom w:val="single" w:sz="8" w:color="595959"/>
            </w:tcBorders>
            <w:shd w:val="clear" w:color="auto" w:fill="CCCCFF"/>
          </w:tcPr>
          <w:p>
            <w:pPr>
              <w:spacing w:after="0"/>
              <w:rPr>
                <w:sz w:val="5"/>
                <w:szCs w:val="5"/>
                <w:color w:val="auto"/>
              </w:rPr>
            </w:pPr>
          </w:p>
        </w:tc>
        <w:tc>
          <w:tcPr>
            <w:tcW w:w="480" w:type="dxa"/>
            <w:vAlign w:val="bottom"/>
            <w:tcBorders>
              <w:top w:val="single" w:sz="8" w:color="0000FF"/>
              <w:bottom w:val="single" w:sz="8" w:color="595959"/>
            </w:tcBorders>
            <w:shd w:val="clear" w:color="auto" w:fill="CCCCFF"/>
          </w:tcPr>
          <w:p>
            <w:pPr>
              <w:spacing w:after="0"/>
              <w:rPr>
                <w:sz w:val="5"/>
                <w:szCs w:val="5"/>
                <w:color w:val="auto"/>
              </w:rPr>
            </w:pPr>
          </w:p>
        </w:tc>
        <w:tc>
          <w:tcPr>
            <w:tcW w:w="660" w:type="dxa"/>
            <w:vAlign w:val="bottom"/>
            <w:tcBorders>
              <w:top w:val="single" w:sz="8" w:color="CCCCFF"/>
              <w:bottom w:val="single" w:sz="8" w:color="595959"/>
            </w:tcBorders>
            <w:shd w:val="clear" w:color="auto" w:fill="CCCCFF"/>
          </w:tcPr>
          <w:p>
            <w:pPr>
              <w:spacing w:after="0"/>
              <w:rPr>
                <w:sz w:val="5"/>
                <w:szCs w:val="5"/>
                <w:color w:val="auto"/>
              </w:rPr>
            </w:pPr>
          </w:p>
        </w:tc>
        <w:tc>
          <w:tcPr>
            <w:tcW w:w="200" w:type="dxa"/>
            <w:vAlign w:val="bottom"/>
            <w:tcBorders>
              <w:top w:val="single" w:sz="8" w:color="CCCCFF"/>
              <w:bottom w:val="single" w:sz="8" w:color="595959"/>
            </w:tcBorders>
            <w:shd w:val="clear" w:color="auto" w:fill="CCCCFF"/>
          </w:tcPr>
          <w:p>
            <w:pPr>
              <w:spacing w:after="0"/>
              <w:rPr>
                <w:sz w:val="5"/>
                <w:szCs w:val="5"/>
                <w:color w:val="auto"/>
              </w:rPr>
            </w:pPr>
          </w:p>
        </w:tc>
        <w:tc>
          <w:tcPr>
            <w:tcW w:w="80" w:type="dxa"/>
            <w:vAlign w:val="bottom"/>
            <w:tcBorders>
              <w:top w:val="single" w:sz="8" w:color="CCCCFF"/>
              <w:bottom w:val="single" w:sz="8" w:color="595959"/>
            </w:tcBorders>
            <w:shd w:val="clear" w:color="auto" w:fill="CCCCFF"/>
          </w:tcPr>
          <w:p>
            <w:pPr>
              <w:spacing w:after="0"/>
              <w:rPr>
                <w:sz w:val="5"/>
                <w:szCs w:val="5"/>
                <w:color w:val="auto"/>
              </w:rPr>
            </w:pPr>
          </w:p>
        </w:tc>
        <w:tc>
          <w:tcPr>
            <w:tcW w:w="920" w:type="dxa"/>
            <w:vAlign w:val="bottom"/>
            <w:tcBorders>
              <w:top w:val="single" w:sz="8" w:color="CCCCFF"/>
              <w:bottom w:val="single" w:sz="8" w:color="595959"/>
            </w:tcBorders>
            <w:shd w:val="clear" w:color="auto" w:fill="CCCCFF"/>
          </w:tcPr>
          <w:p>
            <w:pPr>
              <w:spacing w:after="0"/>
              <w:rPr>
                <w:sz w:val="5"/>
                <w:szCs w:val="5"/>
                <w:color w:val="auto"/>
              </w:rPr>
            </w:pPr>
          </w:p>
        </w:tc>
        <w:tc>
          <w:tcPr>
            <w:tcW w:w="660" w:type="dxa"/>
            <w:vAlign w:val="bottom"/>
            <w:tcBorders>
              <w:top w:val="single" w:sz="8" w:color="0000FF"/>
              <w:bottom w:val="single" w:sz="8" w:color="595959"/>
            </w:tcBorders>
            <w:shd w:val="clear" w:color="auto" w:fill="CCCCFF"/>
          </w:tcPr>
          <w:p>
            <w:pPr>
              <w:spacing w:after="0"/>
              <w:rPr>
                <w:sz w:val="5"/>
                <w:szCs w:val="5"/>
                <w:color w:val="auto"/>
              </w:rPr>
            </w:pPr>
          </w:p>
        </w:tc>
        <w:tc>
          <w:tcPr>
            <w:tcW w:w="20" w:type="dxa"/>
            <w:vAlign w:val="bottom"/>
            <w:tcBorders>
              <w:top w:val="single" w:sz="8" w:color="0000FF"/>
              <w:bottom w:val="single" w:sz="8" w:color="595959"/>
            </w:tcBorders>
            <w:shd w:val="clear" w:color="auto" w:fill="CCCCFF"/>
          </w:tcPr>
          <w:p>
            <w:pPr>
              <w:spacing w:after="0"/>
              <w:rPr>
                <w:sz w:val="5"/>
                <w:szCs w:val="5"/>
                <w:color w:val="auto"/>
              </w:rPr>
            </w:pPr>
          </w:p>
        </w:tc>
        <w:tc>
          <w:tcPr>
            <w:tcW w:w="40" w:type="dxa"/>
            <w:vAlign w:val="bottom"/>
            <w:tcBorders>
              <w:top w:val="single" w:sz="8" w:color="0000FF"/>
              <w:bottom w:val="single" w:sz="8" w:color="595959"/>
            </w:tcBorders>
            <w:shd w:val="clear" w:color="auto" w:fill="CCCCFF"/>
          </w:tcPr>
          <w:p>
            <w:pPr>
              <w:spacing w:after="0"/>
              <w:rPr>
                <w:sz w:val="5"/>
                <w:szCs w:val="5"/>
                <w:color w:val="auto"/>
              </w:rPr>
            </w:pPr>
          </w:p>
        </w:tc>
        <w:tc>
          <w:tcPr>
            <w:tcW w:w="820" w:type="dxa"/>
            <w:vAlign w:val="bottom"/>
            <w:tcBorders>
              <w:top w:val="single" w:sz="8" w:color="0000FF"/>
              <w:bottom w:val="single" w:sz="8" w:color="595959"/>
            </w:tcBorders>
            <w:shd w:val="clear" w:color="auto" w:fill="CCCCFF"/>
          </w:tcPr>
          <w:p>
            <w:pPr>
              <w:spacing w:after="0"/>
              <w:rPr>
                <w:sz w:val="5"/>
                <w:szCs w:val="5"/>
                <w:color w:val="auto"/>
              </w:rPr>
            </w:pPr>
          </w:p>
        </w:tc>
        <w:tc>
          <w:tcPr>
            <w:tcW w:w="660" w:type="dxa"/>
            <w:vAlign w:val="bottom"/>
            <w:tcBorders>
              <w:top w:val="single" w:sz="8" w:color="CCCCFF"/>
              <w:bottom w:val="single" w:sz="8" w:color="595959"/>
            </w:tcBorders>
            <w:shd w:val="clear" w:color="auto" w:fill="CCCCFF"/>
          </w:tcPr>
          <w:p>
            <w:pPr>
              <w:spacing w:after="0"/>
              <w:rPr>
                <w:sz w:val="5"/>
                <w:szCs w:val="5"/>
                <w:color w:val="auto"/>
              </w:rPr>
            </w:pPr>
          </w:p>
        </w:tc>
        <w:tc>
          <w:tcPr>
            <w:tcW w:w="40" w:type="dxa"/>
            <w:vAlign w:val="bottom"/>
            <w:tcBorders>
              <w:top w:val="single" w:sz="8" w:color="CCCCFF"/>
              <w:bottom w:val="single" w:sz="8" w:color="595959"/>
            </w:tcBorders>
            <w:shd w:val="clear" w:color="auto" w:fill="CCCCFF"/>
          </w:tcPr>
          <w:p>
            <w:pPr>
              <w:spacing w:after="0"/>
              <w:rPr>
                <w:sz w:val="5"/>
                <w:szCs w:val="5"/>
                <w:color w:val="auto"/>
              </w:rPr>
            </w:pPr>
          </w:p>
        </w:tc>
        <w:tc>
          <w:tcPr>
            <w:tcW w:w="60" w:type="dxa"/>
            <w:vAlign w:val="bottom"/>
            <w:tcBorders>
              <w:top w:val="single" w:sz="8" w:color="CCCCFF"/>
              <w:bottom w:val="single" w:sz="8" w:color="595959"/>
            </w:tcBorders>
            <w:shd w:val="clear" w:color="auto" w:fill="CCCCFF"/>
          </w:tcPr>
          <w:p>
            <w:pPr>
              <w:spacing w:after="0"/>
              <w:rPr>
                <w:sz w:val="5"/>
                <w:szCs w:val="5"/>
                <w:color w:val="auto"/>
              </w:rPr>
            </w:pPr>
          </w:p>
        </w:tc>
        <w:tc>
          <w:tcPr>
            <w:tcW w:w="100" w:type="dxa"/>
            <w:vAlign w:val="bottom"/>
            <w:tcBorders>
              <w:top w:val="single" w:sz="8" w:color="CCCCFF"/>
              <w:bottom w:val="single" w:sz="8" w:color="595959"/>
            </w:tcBorders>
            <w:shd w:val="clear" w:color="auto" w:fill="CCCCFF"/>
          </w:tcPr>
          <w:p>
            <w:pPr>
              <w:spacing w:after="0"/>
              <w:rPr>
                <w:sz w:val="5"/>
                <w:szCs w:val="5"/>
                <w:color w:val="auto"/>
              </w:rPr>
            </w:pPr>
          </w:p>
        </w:tc>
        <w:tc>
          <w:tcPr>
            <w:tcW w:w="80" w:type="dxa"/>
            <w:vAlign w:val="bottom"/>
            <w:tcBorders>
              <w:left w:val="single" w:sz="8" w:color="CCCCFF"/>
              <w:bottom w:val="single" w:sz="8" w:color="595959"/>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Comerica Bank</w:t>
            </w:r>
          </w:p>
        </w:tc>
        <w:tc>
          <w:tcPr>
            <w:tcW w:w="2660" w:type="dxa"/>
            <w:vAlign w:val="bottom"/>
            <w:gridSpan w:val="6"/>
          </w:tcPr>
          <w:p>
            <w:pPr>
              <w:jc w:val="center"/>
              <w:ind w:left="152"/>
              <w:spacing w:after="0"/>
              <w:rPr>
                <w:sz w:val="20"/>
                <w:szCs w:val="20"/>
                <w:color w:val="auto"/>
              </w:rPr>
            </w:pPr>
            <w:r>
              <w:rPr>
                <w:rFonts w:ascii="Times New Roman" w:cs="Times New Roman" w:eastAsia="Times New Roman" w:hAnsi="Times New Roman"/>
                <w:sz w:val="22"/>
                <w:szCs w:val="22"/>
                <w:color w:val="auto"/>
                <w:w w:val="98"/>
              </w:rPr>
              <w:t>$58,500,000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color w:val="FF0000"/>
                <w:strike w:val="1"/>
                <w:w w:val="97"/>
              </w:rPr>
              <w:t>8.357142857%</w:t>
            </w:r>
          </w:p>
        </w:tc>
        <w:tc>
          <w:tcPr>
            <w:tcW w:w="1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strike w:val="1"/>
                <w:w w:val="97"/>
              </w:rPr>
              <w:t>7.54838709677%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bottom w:val="single" w:sz="8" w:color="595959"/>
            </w:tcBorders>
          </w:tcPr>
          <w:p>
            <w:pPr>
              <w:spacing w:after="0"/>
              <w:rPr>
                <w:sz w:val="7"/>
                <w:szCs w:val="7"/>
                <w:color w:val="auto"/>
              </w:rPr>
            </w:pPr>
          </w:p>
        </w:tc>
        <w:tc>
          <w:tcPr>
            <w:tcW w:w="48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U.S. Bank National Association</w:t>
            </w:r>
          </w:p>
        </w:tc>
        <w:tc>
          <w:tcPr>
            <w:tcW w:w="2660" w:type="dxa"/>
            <w:vAlign w:val="bottom"/>
            <w:gridSpan w:val="6"/>
          </w:tcPr>
          <w:p>
            <w:pPr>
              <w:jc w:val="center"/>
              <w:ind w:left="152"/>
              <w:spacing w:after="0"/>
              <w:rPr>
                <w:sz w:val="20"/>
                <w:szCs w:val="20"/>
                <w:color w:val="auto"/>
              </w:rPr>
            </w:pPr>
            <w:r>
              <w:rPr>
                <w:rFonts w:ascii="Times New Roman" w:cs="Times New Roman" w:eastAsia="Times New Roman" w:hAnsi="Times New Roman"/>
                <w:sz w:val="22"/>
                <w:szCs w:val="22"/>
                <w:color w:val="auto"/>
                <w:w w:val="98"/>
              </w:rPr>
              <w:t>$58,500,000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color w:val="FF0000"/>
                <w:strike w:val="1"/>
                <w:w w:val="97"/>
              </w:rPr>
              <w:t>8.357142857%</w:t>
            </w:r>
          </w:p>
        </w:tc>
        <w:tc>
          <w:tcPr>
            <w:tcW w:w="1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strike w:val="1"/>
                <w:w w:val="97"/>
              </w:rPr>
              <w:t>7.54838709677%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bottom w:val="single" w:sz="8" w:color="595959"/>
            </w:tcBorders>
          </w:tcPr>
          <w:p>
            <w:pPr>
              <w:spacing w:after="0"/>
              <w:rPr>
                <w:sz w:val="7"/>
                <w:szCs w:val="7"/>
                <w:color w:val="auto"/>
              </w:rPr>
            </w:pPr>
          </w:p>
        </w:tc>
        <w:tc>
          <w:tcPr>
            <w:tcW w:w="48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IBERIABANK</w:t>
            </w:r>
          </w:p>
        </w:tc>
        <w:tc>
          <w:tcPr>
            <w:tcW w:w="2660" w:type="dxa"/>
            <w:vAlign w:val="bottom"/>
            <w:gridSpan w:val="6"/>
          </w:tcPr>
          <w:p>
            <w:pPr>
              <w:jc w:val="center"/>
              <w:ind w:left="152"/>
              <w:spacing w:after="0"/>
              <w:rPr>
                <w:sz w:val="20"/>
                <w:szCs w:val="20"/>
                <w:color w:val="auto"/>
              </w:rPr>
            </w:pPr>
            <w:r>
              <w:rPr>
                <w:rFonts w:ascii="Times New Roman" w:cs="Times New Roman" w:eastAsia="Times New Roman" w:hAnsi="Times New Roman"/>
                <w:sz w:val="22"/>
                <w:szCs w:val="22"/>
                <w:color w:val="auto"/>
                <w:w w:val="98"/>
              </w:rPr>
              <w:t>$35,000,000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color w:val="FF0000"/>
                <w:strike w:val="1"/>
                <w:w w:val="97"/>
              </w:rPr>
              <w:t>5.000000000%</w:t>
            </w:r>
          </w:p>
        </w:tc>
        <w:tc>
          <w:tcPr>
            <w:tcW w:w="1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strike w:val="1"/>
                <w:w w:val="97"/>
              </w:rPr>
              <w:t>4.51612903226%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bottom w:val="single" w:sz="8" w:color="595959"/>
            </w:tcBorders>
          </w:tcPr>
          <w:p>
            <w:pPr>
              <w:spacing w:after="0"/>
              <w:rPr>
                <w:sz w:val="7"/>
                <w:szCs w:val="7"/>
                <w:color w:val="auto"/>
              </w:rPr>
            </w:pPr>
          </w:p>
        </w:tc>
        <w:tc>
          <w:tcPr>
            <w:tcW w:w="48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w w:val="99"/>
              </w:rPr>
              <w:t>Zions Bancorporation, N.A., dba</w:t>
            </w:r>
          </w:p>
        </w:tc>
        <w:tc>
          <w:tcPr>
            <w:tcW w:w="2660" w:type="dxa"/>
            <w:vAlign w:val="bottom"/>
            <w:gridSpan w:val="6"/>
            <w:vMerge w:val="restart"/>
          </w:tcPr>
          <w:p>
            <w:pPr>
              <w:jc w:val="center"/>
              <w:ind w:left="152"/>
              <w:spacing w:after="0"/>
              <w:rPr>
                <w:sz w:val="20"/>
                <w:szCs w:val="20"/>
                <w:color w:val="auto"/>
              </w:rPr>
            </w:pPr>
            <w:r>
              <w:rPr>
                <w:rFonts w:ascii="Times New Roman" w:cs="Times New Roman" w:eastAsia="Times New Roman" w:hAnsi="Times New Roman"/>
                <w:sz w:val="22"/>
                <w:szCs w:val="22"/>
                <w:color w:val="auto"/>
                <w:w w:val="98"/>
              </w:rPr>
              <w:t>$35,000,000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color w:val="FF0000"/>
                <w:strike w:val="1"/>
                <w:w w:val="97"/>
              </w:rPr>
              <w:t>5.000000000%</w:t>
            </w:r>
          </w:p>
        </w:tc>
        <w:tc>
          <w:tcPr>
            <w:tcW w:w="1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strike w:val="1"/>
                <w:w w:val="97"/>
              </w:rPr>
              <w:t>4.51612903226%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98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color w:val="auto"/>
              </w:rPr>
              <w:t>Amegy Bank</w:t>
            </w:r>
          </w:p>
        </w:tc>
        <w:tc>
          <w:tcPr>
            <w:tcW w:w="266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80" w:type="dxa"/>
            <w:vAlign w:val="bottom"/>
            <w:tcBorders>
              <w:bottom w:val="single" w:sz="8" w:color="595959"/>
            </w:tcBorders>
          </w:tcPr>
          <w:p>
            <w:pPr>
              <w:spacing w:after="0"/>
              <w:rPr>
                <w:sz w:val="2"/>
                <w:szCs w:val="2"/>
                <w:color w:val="auto"/>
              </w:rPr>
            </w:pPr>
          </w:p>
        </w:tc>
        <w:tc>
          <w:tcPr>
            <w:tcW w:w="1600" w:type="dxa"/>
            <w:vAlign w:val="bottom"/>
            <w:tcBorders>
              <w:bottom w:val="single" w:sz="8" w:color="595959"/>
            </w:tcBorders>
          </w:tcPr>
          <w:p>
            <w:pPr>
              <w:spacing w:after="0"/>
              <w:rPr>
                <w:sz w:val="2"/>
                <w:szCs w:val="2"/>
                <w:color w:val="auto"/>
              </w:rPr>
            </w:pPr>
          </w:p>
        </w:tc>
        <w:tc>
          <w:tcPr>
            <w:tcW w:w="1300" w:type="dxa"/>
            <w:vAlign w:val="bottom"/>
            <w:tcBorders>
              <w:bottom w:val="single" w:sz="8" w:color="595959"/>
            </w:tcBorders>
          </w:tcPr>
          <w:p>
            <w:pPr>
              <w:spacing w:after="0"/>
              <w:rPr>
                <w:sz w:val="2"/>
                <w:szCs w:val="2"/>
                <w:color w:val="auto"/>
              </w:rPr>
            </w:pPr>
          </w:p>
        </w:tc>
        <w:tc>
          <w:tcPr>
            <w:tcW w:w="160" w:type="dxa"/>
            <w:vAlign w:val="bottom"/>
            <w:tcBorders>
              <w:bottom w:val="single" w:sz="8" w:color="595959"/>
            </w:tcBorders>
          </w:tcPr>
          <w:p>
            <w:pPr>
              <w:spacing w:after="0"/>
              <w:rPr>
                <w:sz w:val="2"/>
                <w:szCs w:val="2"/>
                <w:color w:val="auto"/>
              </w:rPr>
            </w:pPr>
          </w:p>
        </w:tc>
        <w:tc>
          <w:tcPr>
            <w:tcW w:w="120" w:type="dxa"/>
            <w:vAlign w:val="bottom"/>
            <w:tcBorders>
              <w:bottom w:val="single" w:sz="8" w:color="595959"/>
            </w:tcBorders>
          </w:tcPr>
          <w:p>
            <w:pPr>
              <w:spacing w:after="0"/>
              <w:rPr>
                <w:sz w:val="2"/>
                <w:szCs w:val="2"/>
                <w:color w:val="auto"/>
              </w:rPr>
            </w:pPr>
          </w:p>
        </w:tc>
        <w:tc>
          <w:tcPr>
            <w:tcW w:w="640" w:type="dxa"/>
            <w:vAlign w:val="bottom"/>
            <w:tcBorders>
              <w:bottom w:val="single" w:sz="8" w:color="595959"/>
            </w:tcBorders>
          </w:tcPr>
          <w:p>
            <w:pPr>
              <w:spacing w:after="0"/>
              <w:rPr>
                <w:sz w:val="2"/>
                <w:szCs w:val="2"/>
                <w:color w:val="auto"/>
              </w:rPr>
            </w:pPr>
          </w:p>
        </w:tc>
        <w:tc>
          <w:tcPr>
            <w:tcW w:w="600" w:type="dxa"/>
            <w:vAlign w:val="bottom"/>
            <w:tcBorders>
              <w:bottom w:val="single" w:sz="8" w:color="595959"/>
            </w:tcBorders>
          </w:tcPr>
          <w:p>
            <w:pPr>
              <w:spacing w:after="0"/>
              <w:rPr>
                <w:sz w:val="2"/>
                <w:szCs w:val="2"/>
                <w:color w:val="auto"/>
              </w:rPr>
            </w:pPr>
          </w:p>
        </w:tc>
        <w:tc>
          <w:tcPr>
            <w:tcW w:w="48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2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92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2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820" w:type="dxa"/>
            <w:vAlign w:val="bottom"/>
            <w:tcBorders>
              <w:bottom w:val="single" w:sz="8" w:color="595959"/>
            </w:tcBorders>
          </w:tcPr>
          <w:p>
            <w:pPr>
              <w:spacing w:after="0"/>
              <w:rPr>
                <w:sz w:val="2"/>
                <w:szCs w:val="2"/>
                <w:color w:val="auto"/>
              </w:rPr>
            </w:pPr>
          </w:p>
        </w:tc>
        <w:tc>
          <w:tcPr>
            <w:tcW w:w="660" w:type="dxa"/>
            <w:vAlign w:val="bottom"/>
            <w:tcBorders>
              <w:bottom w:val="single" w:sz="8" w:color="595959"/>
            </w:tcBorders>
          </w:tcPr>
          <w:p>
            <w:pPr>
              <w:spacing w:after="0"/>
              <w:rPr>
                <w:sz w:val="2"/>
                <w:szCs w:val="2"/>
                <w:color w:val="auto"/>
              </w:rPr>
            </w:pPr>
          </w:p>
        </w:tc>
        <w:tc>
          <w:tcPr>
            <w:tcW w:w="40" w:type="dxa"/>
            <w:vAlign w:val="bottom"/>
            <w:tcBorders>
              <w:bottom w:val="single" w:sz="8" w:color="595959"/>
            </w:tcBorders>
          </w:tcPr>
          <w:p>
            <w:pPr>
              <w:spacing w:after="0"/>
              <w:rPr>
                <w:sz w:val="2"/>
                <w:szCs w:val="2"/>
                <w:color w:val="auto"/>
              </w:rPr>
            </w:pPr>
          </w:p>
        </w:tc>
        <w:tc>
          <w:tcPr>
            <w:tcW w:w="60" w:type="dxa"/>
            <w:vAlign w:val="bottom"/>
            <w:tcBorders>
              <w:bottom w:val="single" w:sz="8" w:color="595959"/>
            </w:tcBorders>
          </w:tcPr>
          <w:p>
            <w:pPr>
              <w:spacing w:after="0"/>
              <w:rPr>
                <w:sz w:val="2"/>
                <w:szCs w:val="2"/>
                <w:color w:val="auto"/>
              </w:rPr>
            </w:pPr>
          </w:p>
        </w:tc>
        <w:tc>
          <w:tcPr>
            <w:tcW w:w="100" w:type="dxa"/>
            <w:vAlign w:val="bottom"/>
            <w:tcBorders>
              <w:bottom w:val="single" w:sz="8" w:color="595959"/>
            </w:tcBorders>
          </w:tcPr>
          <w:p>
            <w:pPr>
              <w:spacing w:after="0"/>
              <w:rPr>
                <w:sz w:val="2"/>
                <w:szCs w:val="2"/>
                <w:color w:val="auto"/>
              </w:rPr>
            </w:pPr>
          </w:p>
        </w:tc>
        <w:tc>
          <w:tcPr>
            <w:tcW w:w="80" w:type="dxa"/>
            <w:vAlign w:val="bottom"/>
            <w:tcBorders>
              <w:bottom w:val="single" w:sz="8" w:color="59595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Cathay Bank</w:t>
            </w:r>
          </w:p>
        </w:tc>
        <w:tc>
          <w:tcPr>
            <w:tcW w:w="2660" w:type="dxa"/>
            <w:vAlign w:val="bottom"/>
            <w:gridSpan w:val="6"/>
          </w:tcPr>
          <w:p>
            <w:pPr>
              <w:jc w:val="center"/>
              <w:ind w:left="152"/>
              <w:spacing w:after="0"/>
              <w:rPr>
                <w:sz w:val="20"/>
                <w:szCs w:val="20"/>
                <w:color w:val="auto"/>
              </w:rPr>
            </w:pPr>
            <w:r>
              <w:rPr>
                <w:rFonts w:ascii="Times New Roman" w:cs="Times New Roman" w:eastAsia="Times New Roman" w:hAnsi="Times New Roman"/>
                <w:sz w:val="22"/>
                <w:szCs w:val="22"/>
                <w:color w:val="auto"/>
                <w:w w:val="98"/>
              </w:rPr>
              <w:t>$25,000,000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color w:val="FF0000"/>
                <w:strike w:val="1"/>
                <w:w w:val="97"/>
              </w:rPr>
              <w:t>3.571428572%</w:t>
            </w:r>
          </w:p>
        </w:tc>
        <w:tc>
          <w:tcPr>
            <w:tcW w:w="1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strike w:val="1"/>
                <w:w w:val="97"/>
              </w:rPr>
              <w:t>3.22580645160%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595959"/>
            </w:tcBorders>
          </w:tcPr>
          <w:p>
            <w:pPr>
              <w:spacing w:after="0"/>
              <w:rPr>
                <w:sz w:val="7"/>
                <w:szCs w:val="7"/>
                <w:color w:val="auto"/>
              </w:rPr>
            </w:pPr>
          </w:p>
        </w:tc>
        <w:tc>
          <w:tcPr>
            <w:tcW w:w="1600" w:type="dxa"/>
            <w:vAlign w:val="bottom"/>
            <w:tcBorders>
              <w:bottom w:val="single" w:sz="8" w:color="595959"/>
            </w:tcBorders>
          </w:tcPr>
          <w:p>
            <w:pPr>
              <w:spacing w:after="0"/>
              <w:rPr>
                <w:sz w:val="7"/>
                <w:szCs w:val="7"/>
                <w:color w:val="auto"/>
              </w:rPr>
            </w:pPr>
          </w:p>
        </w:tc>
        <w:tc>
          <w:tcPr>
            <w:tcW w:w="1300" w:type="dxa"/>
            <w:vAlign w:val="bottom"/>
            <w:tcBorders>
              <w:bottom w:val="single" w:sz="8" w:color="595959"/>
            </w:tcBorders>
          </w:tcPr>
          <w:p>
            <w:pPr>
              <w:spacing w:after="0"/>
              <w:rPr>
                <w:sz w:val="7"/>
                <w:szCs w:val="7"/>
                <w:color w:val="auto"/>
              </w:rPr>
            </w:pPr>
          </w:p>
        </w:tc>
        <w:tc>
          <w:tcPr>
            <w:tcW w:w="160" w:type="dxa"/>
            <w:vAlign w:val="bottom"/>
            <w:tcBorders>
              <w:bottom w:val="single" w:sz="8" w:color="595959"/>
            </w:tcBorders>
          </w:tcPr>
          <w:p>
            <w:pPr>
              <w:spacing w:after="0"/>
              <w:rPr>
                <w:sz w:val="7"/>
                <w:szCs w:val="7"/>
                <w:color w:val="auto"/>
              </w:rPr>
            </w:pPr>
          </w:p>
        </w:tc>
        <w:tc>
          <w:tcPr>
            <w:tcW w:w="120" w:type="dxa"/>
            <w:vAlign w:val="bottom"/>
            <w:tcBorders>
              <w:bottom w:val="single" w:sz="8" w:color="595959"/>
            </w:tcBorders>
          </w:tcPr>
          <w:p>
            <w:pPr>
              <w:spacing w:after="0"/>
              <w:rPr>
                <w:sz w:val="7"/>
                <w:szCs w:val="7"/>
                <w:color w:val="auto"/>
              </w:rPr>
            </w:pPr>
          </w:p>
        </w:tc>
        <w:tc>
          <w:tcPr>
            <w:tcW w:w="640" w:type="dxa"/>
            <w:vAlign w:val="bottom"/>
            <w:tcBorders>
              <w:bottom w:val="single" w:sz="8" w:color="595959"/>
            </w:tcBorders>
          </w:tcPr>
          <w:p>
            <w:pPr>
              <w:spacing w:after="0"/>
              <w:rPr>
                <w:sz w:val="7"/>
                <w:szCs w:val="7"/>
                <w:color w:val="auto"/>
              </w:rPr>
            </w:pPr>
          </w:p>
        </w:tc>
        <w:tc>
          <w:tcPr>
            <w:tcW w:w="600" w:type="dxa"/>
            <w:vAlign w:val="bottom"/>
            <w:tcBorders>
              <w:bottom w:val="single" w:sz="8" w:color="595959"/>
            </w:tcBorders>
          </w:tcPr>
          <w:p>
            <w:pPr>
              <w:spacing w:after="0"/>
              <w:rPr>
                <w:sz w:val="7"/>
                <w:szCs w:val="7"/>
                <w:color w:val="auto"/>
              </w:rPr>
            </w:pPr>
          </w:p>
        </w:tc>
        <w:tc>
          <w:tcPr>
            <w:tcW w:w="48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9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2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820" w:type="dxa"/>
            <w:vAlign w:val="bottom"/>
            <w:tcBorders>
              <w:bottom w:val="single" w:sz="8" w:color="595959"/>
            </w:tcBorders>
          </w:tcPr>
          <w:p>
            <w:pPr>
              <w:spacing w:after="0"/>
              <w:rPr>
                <w:sz w:val="7"/>
                <w:szCs w:val="7"/>
                <w:color w:val="auto"/>
              </w:rPr>
            </w:pPr>
          </w:p>
        </w:tc>
        <w:tc>
          <w:tcPr>
            <w:tcW w:w="660" w:type="dxa"/>
            <w:vAlign w:val="bottom"/>
            <w:tcBorders>
              <w:bottom w:val="single" w:sz="8" w:color="595959"/>
            </w:tcBorders>
          </w:tcPr>
          <w:p>
            <w:pPr>
              <w:spacing w:after="0"/>
              <w:rPr>
                <w:sz w:val="7"/>
                <w:szCs w:val="7"/>
                <w:color w:val="auto"/>
              </w:rPr>
            </w:pPr>
          </w:p>
        </w:tc>
        <w:tc>
          <w:tcPr>
            <w:tcW w:w="40" w:type="dxa"/>
            <w:vAlign w:val="bottom"/>
            <w:tcBorders>
              <w:bottom w:val="single" w:sz="8" w:color="595959"/>
            </w:tcBorders>
          </w:tcPr>
          <w:p>
            <w:pPr>
              <w:spacing w:after="0"/>
              <w:rPr>
                <w:sz w:val="7"/>
                <w:szCs w:val="7"/>
                <w:color w:val="auto"/>
              </w:rPr>
            </w:pPr>
          </w:p>
        </w:tc>
        <w:tc>
          <w:tcPr>
            <w:tcW w:w="60" w:type="dxa"/>
            <w:vAlign w:val="bottom"/>
            <w:tcBorders>
              <w:bottom w:val="single" w:sz="8" w:color="595959"/>
            </w:tcBorders>
          </w:tcPr>
          <w:p>
            <w:pPr>
              <w:spacing w:after="0"/>
              <w:rPr>
                <w:sz w:val="7"/>
                <w:szCs w:val="7"/>
                <w:color w:val="auto"/>
              </w:rPr>
            </w:pPr>
          </w:p>
        </w:tc>
        <w:tc>
          <w:tcPr>
            <w:tcW w:w="100" w:type="dxa"/>
            <w:vAlign w:val="bottom"/>
            <w:tcBorders>
              <w:bottom w:val="single" w:sz="8" w:color="595959"/>
            </w:tcBorders>
          </w:tcPr>
          <w:p>
            <w:pPr>
              <w:spacing w:after="0"/>
              <w:rPr>
                <w:sz w:val="7"/>
                <w:szCs w:val="7"/>
                <w:color w:val="auto"/>
              </w:rPr>
            </w:pPr>
          </w:p>
        </w:tc>
        <w:tc>
          <w:tcPr>
            <w:tcW w:w="80" w:type="dxa"/>
            <w:vAlign w:val="bottom"/>
            <w:tcBorders>
              <w:bottom w:val="single" w:sz="8" w:color="595959"/>
            </w:tcBorders>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80" w:type="dxa"/>
            <w:vAlign w:val="bottom"/>
            <w:tcBorders>
              <w:bottom w:val="single" w:sz="8" w:color="595959"/>
            </w:tcBorders>
          </w:tcPr>
          <w:p>
            <w:pPr>
              <w:spacing w:after="0"/>
              <w:rPr>
                <w:sz w:val="24"/>
                <w:szCs w:val="24"/>
                <w:color w:val="auto"/>
              </w:rPr>
            </w:pPr>
          </w:p>
        </w:tc>
        <w:tc>
          <w:tcPr>
            <w:tcW w:w="1600" w:type="dxa"/>
            <w:vAlign w:val="bottom"/>
            <w:tcBorders>
              <w:bottom w:val="single" w:sz="8" w:color="595959"/>
            </w:tcBorders>
          </w:tcPr>
          <w:p>
            <w:pPr>
              <w:spacing w:after="0"/>
              <w:rPr>
                <w:sz w:val="24"/>
                <w:szCs w:val="24"/>
                <w:color w:val="auto"/>
              </w:rPr>
            </w:pPr>
          </w:p>
        </w:tc>
        <w:tc>
          <w:tcPr>
            <w:tcW w:w="1300" w:type="dxa"/>
            <w:vAlign w:val="bottom"/>
            <w:tcBorders>
              <w:bottom w:val="single" w:sz="8" w:color="595959"/>
            </w:tcBorders>
          </w:tcPr>
          <w:p>
            <w:pPr>
              <w:spacing w:after="0"/>
              <w:rPr>
                <w:sz w:val="24"/>
                <w:szCs w:val="24"/>
                <w:color w:val="auto"/>
              </w:rPr>
            </w:pPr>
          </w:p>
        </w:tc>
        <w:tc>
          <w:tcPr>
            <w:tcW w:w="160" w:type="dxa"/>
            <w:vAlign w:val="bottom"/>
            <w:tcBorders>
              <w:bottom w:val="single" w:sz="8" w:color="595959"/>
            </w:tcBorders>
          </w:tcPr>
          <w:p>
            <w:pPr>
              <w:spacing w:after="0"/>
              <w:rPr>
                <w:sz w:val="24"/>
                <w:szCs w:val="24"/>
                <w:color w:val="auto"/>
              </w:rPr>
            </w:pPr>
          </w:p>
        </w:tc>
        <w:tc>
          <w:tcPr>
            <w:tcW w:w="120" w:type="dxa"/>
            <w:vAlign w:val="bottom"/>
            <w:tcBorders>
              <w:bottom w:val="single" w:sz="8" w:color="595959"/>
            </w:tcBorders>
          </w:tcPr>
          <w:p>
            <w:pPr>
              <w:spacing w:after="0"/>
              <w:rPr>
                <w:sz w:val="24"/>
                <w:szCs w:val="24"/>
                <w:color w:val="auto"/>
              </w:rPr>
            </w:pPr>
          </w:p>
        </w:tc>
        <w:tc>
          <w:tcPr>
            <w:tcW w:w="640" w:type="dxa"/>
            <w:vAlign w:val="bottom"/>
            <w:tcBorders>
              <w:bottom w:val="single" w:sz="8" w:color="595959"/>
            </w:tcBorders>
          </w:tcPr>
          <w:p>
            <w:pPr>
              <w:spacing w:after="0"/>
              <w:rPr>
                <w:sz w:val="24"/>
                <w:szCs w:val="24"/>
                <w:color w:val="auto"/>
              </w:rPr>
            </w:pPr>
          </w:p>
        </w:tc>
        <w:tc>
          <w:tcPr>
            <w:tcW w:w="600" w:type="dxa"/>
            <w:vAlign w:val="bottom"/>
            <w:tcBorders>
              <w:bottom w:val="single" w:sz="8" w:color="595959"/>
            </w:tcBorders>
          </w:tcPr>
          <w:p>
            <w:pPr>
              <w:spacing w:after="0"/>
              <w:rPr>
                <w:sz w:val="24"/>
                <w:szCs w:val="24"/>
                <w:color w:val="auto"/>
              </w:rPr>
            </w:pPr>
          </w:p>
        </w:tc>
        <w:tc>
          <w:tcPr>
            <w:tcW w:w="480" w:type="dxa"/>
            <w:vAlign w:val="bottom"/>
            <w:tcBorders>
              <w:bottom w:val="single" w:sz="8" w:color="595959"/>
            </w:tcBorders>
          </w:tcPr>
          <w:p>
            <w:pPr>
              <w:spacing w:after="0"/>
              <w:rPr>
                <w:sz w:val="24"/>
                <w:szCs w:val="24"/>
                <w:color w:val="auto"/>
              </w:rPr>
            </w:pPr>
          </w:p>
        </w:tc>
        <w:tc>
          <w:tcPr>
            <w:tcW w:w="660" w:type="dxa"/>
            <w:vAlign w:val="bottom"/>
            <w:tcBorders>
              <w:bottom w:val="single" w:sz="8" w:color="595959"/>
            </w:tcBorders>
          </w:tcPr>
          <w:p>
            <w:pPr>
              <w:spacing w:after="0"/>
              <w:rPr>
                <w:sz w:val="24"/>
                <w:szCs w:val="24"/>
                <w:color w:val="auto"/>
              </w:rPr>
            </w:pPr>
          </w:p>
        </w:tc>
        <w:tc>
          <w:tcPr>
            <w:tcW w:w="200" w:type="dxa"/>
            <w:vAlign w:val="bottom"/>
            <w:tcBorders>
              <w:bottom w:val="single" w:sz="8" w:color="595959"/>
            </w:tcBorders>
          </w:tcPr>
          <w:p>
            <w:pPr>
              <w:spacing w:after="0"/>
              <w:rPr>
                <w:sz w:val="24"/>
                <w:szCs w:val="24"/>
                <w:color w:val="auto"/>
              </w:rPr>
            </w:pPr>
          </w:p>
        </w:tc>
        <w:tc>
          <w:tcPr>
            <w:tcW w:w="80" w:type="dxa"/>
            <w:vAlign w:val="bottom"/>
            <w:tcBorders>
              <w:bottom w:val="single" w:sz="8" w:color="595959"/>
            </w:tcBorders>
          </w:tcPr>
          <w:p>
            <w:pPr>
              <w:spacing w:after="0"/>
              <w:rPr>
                <w:sz w:val="24"/>
                <w:szCs w:val="24"/>
                <w:color w:val="auto"/>
              </w:rPr>
            </w:pPr>
          </w:p>
        </w:tc>
        <w:tc>
          <w:tcPr>
            <w:tcW w:w="920" w:type="dxa"/>
            <w:vAlign w:val="bottom"/>
            <w:tcBorders>
              <w:bottom w:val="single" w:sz="8" w:color="595959"/>
            </w:tcBorders>
          </w:tcPr>
          <w:p>
            <w:pPr>
              <w:spacing w:after="0"/>
              <w:rPr>
                <w:sz w:val="24"/>
                <w:szCs w:val="24"/>
                <w:color w:val="auto"/>
              </w:rPr>
            </w:pPr>
          </w:p>
        </w:tc>
        <w:tc>
          <w:tcPr>
            <w:tcW w:w="660" w:type="dxa"/>
            <w:vAlign w:val="bottom"/>
            <w:tcBorders>
              <w:bottom w:val="single" w:sz="8" w:color="595959"/>
            </w:tcBorders>
          </w:tcPr>
          <w:p>
            <w:pPr>
              <w:spacing w:after="0"/>
              <w:rPr>
                <w:sz w:val="24"/>
                <w:szCs w:val="24"/>
                <w:color w:val="auto"/>
              </w:rPr>
            </w:pPr>
          </w:p>
        </w:tc>
        <w:tc>
          <w:tcPr>
            <w:tcW w:w="20" w:type="dxa"/>
            <w:vAlign w:val="bottom"/>
            <w:tcBorders>
              <w:bottom w:val="single" w:sz="8" w:color="595959"/>
            </w:tcBorders>
          </w:tcPr>
          <w:p>
            <w:pPr>
              <w:spacing w:after="0"/>
              <w:rPr>
                <w:sz w:val="24"/>
                <w:szCs w:val="24"/>
                <w:color w:val="auto"/>
              </w:rPr>
            </w:pPr>
          </w:p>
        </w:tc>
        <w:tc>
          <w:tcPr>
            <w:tcW w:w="40" w:type="dxa"/>
            <w:vAlign w:val="bottom"/>
            <w:tcBorders>
              <w:bottom w:val="single" w:sz="8" w:color="595959"/>
            </w:tcBorders>
          </w:tcPr>
          <w:p>
            <w:pPr>
              <w:spacing w:after="0"/>
              <w:rPr>
                <w:sz w:val="24"/>
                <w:szCs w:val="24"/>
                <w:color w:val="auto"/>
              </w:rPr>
            </w:pPr>
          </w:p>
        </w:tc>
        <w:tc>
          <w:tcPr>
            <w:tcW w:w="820" w:type="dxa"/>
            <w:vAlign w:val="bottom"/>
            <w:tcBorders>
              <w:bottom w:val="single" w:sz="8" w:color="595959"/>
            </w:tcBorders>
          </w:tcPr>
          <w:p>
            <w:pPr>
              <w:spacing w:after="0"/>
              <w:rPr>
                <w:sz w:val="24"/>
                <w:szCs w:val="24"/>
                <w:color w:val="auto"/>
              </w:rPr>
            </w:pPr>
          </w:p>
        </w:tc>
        <w:tc>
          <w:tcPr>
            <w:tcW w:w="660" w:type="dxa"/>
            <w:vAlign w:val="bottom"/>
            <w:tcBorders>
              <w:bottom w:val="single" w:sz="8" w:color="595959"/>
            </w:tcBorders>
          </w:tcPr>
          <w:p>
            <w:pPr>
              <w:spacing w:after="0"/>
              <w:rPr>
                <w:sz w:val="24"/>
                <w:szCs w:val="24"/>
                <w:color w:val="auto"/>
              </w:rPr>
            </w:pPr>
          </w:p>
        </w:tc>
        <w:tc>
          <w:tcPr>
            <w:tcW w:w="40" w:type="dxa"/>
            <w:vAlign w:val="bottom"/>
            <w:tcBorders>
              <w:bottom w:val="single" w:sz="8" w:color="595959"/>
            </w:tcBorders>
          </w:tcPr>
          <w:p>
            <w:pPr>
              <w:spacing w:after="0"/>
              <w:rPr>
                <w:sz w:val="24"/>
                <w:szCs w:val="24"/>
                <w:color w:val="auto"/>
              </w:rPr>
            </w:pPr>
          </w:p>
        </w:tc>
        <w:tc>
          <w:tcPr>
            <w:tcW w:w="60" w:type="dxa"/>
            <w:vAlign w:val="bottom"/>
            <w:tcBorders>
              <w:bottom w:val="single" w:sz="8" w:color="595959"/>
            </w:tcBorders>
          </w:tcPr>
          <w:p>
            <w:pPr>
              <w:spacing w:after="0"/>
              <w:rPr>
                <w:sz w:val="24"/>
                <w:szCs w:val="24"/>
                <w:color w:val="auto"/>
              </w:rPr>
            </w:pPr>
          </w:p>
        </w:tc>
        <w:tc>
          <w:tcPr>
            <w:tcW w:w="100" w:type="dxa"/>
            <w:vAlign w:val="bottom"/>
            <w:tcBorders>
              <w:bottom w:val="single" w:sz="8" w:color="595959"/>
            </w:tcBorders>
          </w:tcPr>
          <w:p>
            <w:pPr>
              <w:spacing w:after="0"/>
              <w:rPr>
                <w:sz w:val="24"/>
                <w:szCs w:val="24"/>
                <w:color w:val="auto"/>
              </w:rPr>
            </w:pPr>
          </w:p>
        </w:tc>
        <w:tc>
          <w:tcPr>
            <w:tcW w:w="80" w:type="dxa"/>
            <w:vAlign w:val="bottom"/>
            <w:tcBorders>
              <w:bottom w:val="single" w:sz="8" w:color="595959"/>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TOTALS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w w:val="97"/>
              </w:rPr>
              <w:t>700,000,000.00</w:t>
            </w: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22"/>
                <w:szCs w:val="22"/>
                <w:b w:val="1"/>
                <w:bCs w:val="1"/>
                <w:color w:val="0000FF"/>
                <w:w w:val="95"/>
              </w:rPr>
              <w:t>775,000,000.00</w:t>
            </w: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22"/>
                <w:szCs w:val="22"/>
                <w:b w:val="1"/>
                <w:bCs w:val="1"/>
                <w:color w:val="FF0000"/>
                <w:strike w:val="1"/>
                <w:w w:val="97"/>
              </w:rPr>
              <w:t>100.000000000%</w:t>
            </w:r>
          </w:p>
        </w:tc>
        <w:tc>
          <w:tcPr>
            <w:tcW w:w="168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0000FF"/>
                <w:strike w:val="1"/>
                <w:w w:val="96"/>
              </w:rPr>
              <w:t>100.0000000000%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579"/>
          </w:cols>
          <w:pgMar w:left="880" w:top="1435" w:right="1440"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REQUEST FOR REVOLVING CREDIT ADVANCE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Dated: ________, 20__</w:t>
      </w:r>
    </w:p>
    <w:p>
      <w:pPr>
        <w:spacing w:after="0" w:line="20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TO:</w:t>
        <w:tab/>
        <w:t>Royal Bank of Canada, as Administrative Agent</w:t>
      </w:r>
    </w:p>
    <w:p>
      <w:pPr>
        <w:spacing w:after="0" w:line="206" w:lineRule="exact"/>
        <w:rPr>
          <w:sz w:val="20"/>
          <w:szCs w:val="20"/>
          <w:color w:val="auto"/>
        </w:rPr>
      </w:pPr>
    </w:p>
    <w:p>
      <w:pPr>
        <w:jc w:val="both"/>
        <w:ind w:left="580" w:hanging="647"/>
        <w:spacing w:after="0" w:line="220" w:lineRule="auto"/>
        <w:tabs>
          <w:tab w:leader="none" w:pos="560" w:val="left"/>
        </w:tabs>
        <w:rPr>
          <w:sz w:val="20"/>
          <w:szCs w:val="20"/>
          <w:color w:val="auto"/>
        </w:rPr>
      </w:pPr>
      <w:r>
        <w:rPr>
          <w:rFonts w:ascii="Times New Roman" w:cs="Times New Roman" w:eastAsia="Times New Roman" w:hAnsi="Times New Roman"/>
          <w:sz w:val="22"/>
          <w:szCs w:val="22"/>
          <w:color w:val="auto"/>
        </w:rPr>
        <w:t>RE:</w:t>
        <w:tab/>
        <w:t>Fourth Amended and Restated Credit Agreement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dated as of November 18, 2021, among the Lenders from time to time party thereto, Royal Bank of Canada, as administrative agent for the Lenders, and MRC Energy Company, a Texas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the Credit Agreement, the Borrower hereby requests an Advance from the Lenders, as described herein:</w:t>
      </w:r>
    </w:p>
    <w:p>
      <w:pPr>
        <w:spacing w:after="0" w:line="179" w:lineRule="exact"/>
        <w:rPr>
          <w:sz w:val="20"/>
          <w:szCs w:val="20"/>
          <w:color w:val="auto"/>
        </w:rPr>
      </w:pPr>
    </w:p>
    <w:p>
      <w:pPr>
        <w:ind w:left="440" w:hanging="432"/>
        <w:spacing w:after="0"/>
        <w:tabs>
          <w:tab w:leader="none" w:pos="44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Date of Advance: </w:t>
      </w:r>
      <w:r>
        <w:rPr>
          <w:rFonts w:ascii="Times New Roman" w:cs="Times New Roman" w:eastAsia="Times New Roman" w:hAnsi="Times New Roman"/>
          <w:sz w:val="22"/>
          <w:szCs w:val="22"/>
          <w:u w:val="single" w:color="auto"/>
          <w:color w:val="auto"/>
        </w:rPr>
        <w:t>____________________</w:t>
      </w:r>
    </w:p>
    <w:p>
      <w:pPr>
        <w:spacing w:after="0" w:line="145" w:lineRule="exact"/>
        <w:rPr>
          <w:rFonts w:ascii="Times New Roman" w:cs="Times New Roman" w:eastAsia="Times New Roman" w:hAnsi="Times New Roman"/>
          <w:sz w:val="22"/>
          <w:szCs w:val="22"/>
          <w:color w:val="auto"/>
        </w:rPr>
      </w:pPr>
    </w:p>
    <w:p>
      <w:pPr>
        <w:ind w:left="440" w:hanging="432"/>
        <w:spacing w:after="0" w:line="253" w:lineRule="exact"/>
        <w:tabs>
          <w:tab w:leader="none" w:pos="440" w:val="left"/>
        </w:tabs>
        <w:numPr>
          <w:ilvl w:val="0"/>
          <w:numId w:val="27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(check if applicable):</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Advance is or includes a whole or partial continuation/conversion 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[Describe Advance(s)]</w:t>
      </w:r>
    </w:p>
    <w:p>
      <w:pPr>
        <w:spacing w:after="0" w:line="179" w:lineRule="exact"/>
        <w:rPr>
          <w:sz w:val="20"/>
          <w:szCs w:val="20"/>
          <w:color w:val="auto"/>
        </w:rPr>
      </w:pPr>
    </w:p>
    <w:p>
      <w:pPr>
        <w:ind w:left="440" w:hanging="432"/>
        <w:spacing w:after="0"/>
        <w:tabs>
          <w:tab w:leader="none" w:pos="44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Advance (check only one):</w:t>
      </w:r>
    </w:p>
    <w:p>
      <w:pPr>
        <w:spacing w:after="0" w:line="166" w:lineRule="exact"/>
        <w:rPr>
          <w:rFonts w:ascii="Times New Roman" w:cs="Times New Roman" w:eastAsia="Times New Roman" w:hAnsi="Times New Roman"/>
          <w:sz w:val="22"/>
          <w:szCs w:val="22"/>
          <w:color w:val="auto"/>
        </w:rPr>
      </w:pPr>
    </w:p>
    <w:p>
      <w:pPr>
        <w:ind w:left="900" w:hanging="244"/>
        <w:spacing w:after="0"/>
        <w:tabs>
          <w:tab w:leader="none" w:pos="900" w:val="left"/>
        </w:tabs>
        <w:numPr>
          <w:ilvl w:val="1"/>
          <w:numId w:val="279"/>
        </w:numPr>
        <w:rPr>
          <w:rFonts w:ascii="MS PGothic" w:cs="MS PGothic" w:eastAsia="MS PGothic" w:hAnsi="MS PGothic"/>
          <w:sz w:val="22"/>
          <w:szCs w:val="22"/>
          <w:color w:val="auto"/>
        </w:rPr>
      </w:pP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w:t>
      </w:r>
    </w:p>
    <w:p>
      <w:pPr>
        <w:ind w:left="900" w:hanging="244"/>
        <w:spacing w:after="0"/>
        <w:tabs>
          <w:tab w:leader="none" w:pos="900" w:val="left"/>
        </w:tabs>
        <w:numPr>
          <w:ilvl w:val="1"/>
          <w:numId w:val="279"/>
        </w:numPr>
        <w:rPr>
          <w:rFonts w:ascii="MS PGothic" w:cs="MS PGothic" w:eastAsia="MS PGothic" w:hAnsi="MS PGothic"/>
          <w:sz w:val="22"/>
          <w:szCs w:val="22"/>
          <w:color w:val="auto"/>
        </w:rPr>
      </w:pP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Advance</w:t>
      </w:r>
    </w:p>
    <w:p>
      <w:pPr>
        <w:spacing w:after="0" w:line="182" w:lineRule="exact"/>
        <w:rPr>
          <w:sz w:val="20"/>
          <w:szCs w:val="20"/>
          <w:color w:val="auto"/>
        </w:rPr>
      </w:pPr>
    </w:p>
    <w:p>
      <w:pPr>
        <w:ind w:left="440" w:hanging="432"/>
        <w:spacing w:after="0"/>
        <w:tabs>
          <w:tab w:leader="none" w:pos="44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of Advance: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79" w:lineRule="exact"/>
        <w:rPr>
          <w:sz w:val="20"/>
          <w:szCs w:val="20"/>
          <w:color w:val="auto"/>
        </w:rPr>
      </w:pPr>
    </w:p>
    <w:p>
      <w:pPr>
        <w:ind w:left="440" w:hanging="432"/>
        <w:spacing w:after="0"/>
        <w:tabs>
          <w:tab w:leader="none" w:pos="4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Period (applicable to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Advances):</w:t>
      </w:r>
    </w:p>
    <w:p>
      <w:pPr>
        <w:spacing w:after="0" w:line="17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 months (insert 1, 3, or 6)</w:t>
      </w:r>
    </w:p>
    <w:p>
      <w:pPr>
        <w:spacing w:after="0" w:line="179"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2"/>
          <w:szCs w:val="22"/>
          <w:color w:val="auto"/>
        </w:rPr>
        <w:t>Disbursement Instructions: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ind w:left="66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82" w:lineRule="exact"/>
        <w:rPr>
          <w:sz w:val="20"/>
          <w:szCs w:val="20"/>
          <w:color w:val="auto"/>
        </w:rPr>
      </w:pPr>
    </w:p>
    <w:p>
      <w:pPr>
        <w:ind w:left="660" w:right="2640" w:hanging="652"/>
        <w:spacing w:after="0" w:line="409" w:lineRule="auto"/>
        <w:tabs>
          <w:tab w:leader="none" w:pos="444"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Cash Balance (without regard to the requested Revolving Credit Advance): $____________________</w:t>
      </w:r>
    </w:p>
    <w:p>
      <w:pPr>
        <w:spacing w:after="0" w:line="2" w:lineRule="exact"/>
        <w:rPr>
          <w:sz w:val="20"/>
          <w:szCs w:val="20"/>
          <w:color w:val="auto"/>
        </w:rPr>
      </w:pPr>
    </w:p>
    <w:p>
      <w:pPr>
        <w:ind w:left="660" w:hanging="652"/>
        <w:spacing w:after="0" w:line="236" w:lineRule="auto"/>
        <w:tabs>
          <w:tab w:leader="none" w:pos="444"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 forma Consolidated Cash Balance (giving effect to the requested Revolving Credit Advance and any other transactions occurring prior to, or substantially simultaneously with, such Advance):</w:t>
      </w:r>
    </w:p>
    <w:p>
      <w:pPr>
        <w:sectPr>
          <w:pgSz w:w="11900" w:h="16838" w:orient="portrait"/>
          <w:cols w:equalWidth="0" w:num="1">
            <w:col w:w="11240"/>
          </w:cols>
          <w:pgMar w:left="320" w:top="1391" w:right="33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22"/>
          <w:szCs w:val="22"/>
          <w:color w:val="auto"/>
        </w:rPr>
        <w:t>$____________________]</w:t>
      </w:r>
      <w:r>
        <w:rPr>
          <w:rFonts w:ascii="Times New Roman" w:cs="Times New Roman" w:eastAsia="Times New Roman" w:hAnsi="Times New Roman"/>
          <w:sz w:val="16"/>
          <w:szCs w:val="16"/>
          <w:color w:val="FF0000"/>
          <w:strike w:val="1"/>
        </w:rPr>
        <w:t>1</w:t>
      </w:r>
      <w:r>
        <w:rPr>
          <w:rFonts w:ascii="Times New Roman" w:cs="Times New Roman" w:eastAsia="Times New Roman" w:hAnsi="Times New Roman"/>
          <w:sz w:val="10"/>
          <w:szCs w:val="10"/>
          <w:u w:val="single" w:color="auto"/>
          <w:color w:val="0000FF"/>
        </w:rPr>
        <w:t>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The Borrower hereby represents and warrants that the conditions specified in Section 5.2 of the Credit Agreement will be satisfied on and as of the date of the Advance requested hereunder.</w:t>
      </w:r>
    </w:p>
    <w:p>
      <w:pPr>
        <w:spacing w:after="0" w:line="1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MRC ENERGY COMPANY</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___________________________________</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1714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7"/>
          <w:szCs w:val="17"/>
          <w:color w:val="000000"/>
        </w:rPr>
        <w:t>To be included solely with respect to a Revolving Credit Advance made pursuant to Section 2.1 (but not conversions/continuations) where the Request</w:t>
      </w:r>
    </w:p>
    <w:p>
      <w:pPr>
        <w:spacing w:after="0" w:line="14"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for Revolving Credit Advance was not delivered to Administrative Agent by 12:00 pm (New York time) two (2) Business Days prior to the proposed date of the Revolving Credit Advance.</w:t>
      </w:r>
    </w:p>
    <w:p>
      <w:pPr>
        <w:sectPr>
          <w:pgSz w:w="11900" w:h="16838" w:orient="portrait"/>
          <w:cols w:equalWidth="0" w:num="1">
            <w:col w:w="11240"/>
          </w:cols>
          <w:pgMar w:left="320" w:top="1395"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REVOLVING CREDIT NOTE</w:t>
      </w:r>
    </w:p>
    <w:p>
      <w:pPr>
        <w:spacing w:after="0" w:line="200" w:lineRule="exact"/>
        <w:rPr>
          <w:sz w:val="20"/>
          <w:szCs w:val="20"/>
          <w:color w:val="auto"/>
        </w:rPr>
      </w:pPr>
    </w:p>
    <w:p>
      <w:pPr>
        <w:spacing w:after="0" w:line="22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__________, 20__</w:t>
      </w:r>
    </w:p>
    <w:p>
      <w:pPr>
        <w:spacing w:after="0" w:line="20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FOR VALUE RECEIVED, the undersigned MRC Energy Company, a Texas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hereby unconditionally promises to pay to [</w:t>
      </w:r>
      <w:r>
        <w:rPr>
          <w:rFonts w:ascii="Times New Roman" w:cs="Times New Roman" w:eastAsia="Times New Roman" w:hAnsi="Times New Roman"/>
          <w:sz w:val="21"/>
          <w:szCs w:val="21"/>
          <w:u w:val="single" w:color="auto"/>
          <w:color w:val="auto"/>
        </w:rPr>
        <w:t>_________________</w:t>
      </w:r>
      <w:r>
        <w:rPr>
          <w:rFonts w:ascii="Times New Roman" w:cs="Times New Roman" w:eastAsia="Times New Roman" w:hAnsi="Times New Roman"/>
          <w:sz w:val="21"/>
          <w:szCs w:val="21"/>
          <w:color w:val="auto"/>
        </w:rPr>
        <w:t>] and its registered assigns (the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the principal sum equal to its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Revolving Credit Commitment Amount as set forth in the Credit Agreement (as defined below), or if less, the aggregate unpaid principal amount of all Advances made by the Lender to Borrower pursuant to the terms of the Credit Agreement, together with interest on the unpaid principal balance thereof as set forth in the Credit Agreement, both principal and interest payable as therein provided in lawful money of the United State of America at the offices of Administrative Agent provided in Section 13.6 of the Credit Agreement, or at such other place, as from time to time may be designated by Administrative Agent in accordance with the Credit Agreement.</w:t>
      </w:r>
    </w:p>
    <w:p>
      <w:pPr>
        <w:spacing w:after="0" w:line="15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This Revolving Credit Note (this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is one of the Notes referred to in the Fourth Amended and Restated Credit Agreement, dated as of November 18, 2021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the Borrower, the lenders from time to time party thereto, and Royal Bank of Canada, as Administrative Agent. Unless otherwise defined herein, terms defined in the Credit Agreement and used herein shall have the meanings given to them in the Credit 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This Note is entitled to the benefits of the Credit Agreement and may be prepaid in whole or in part subject to the terms and conditions provided therein. This Note is also entitled to the benefits of the Guaranty and the Collateral Documents. Upon the occurrence and continuation of one or more of the Events of Default specified in the Credit Agreement, all amounts then remaining unpaid on this Note shall become, or may be declared to be, immediately due and payable all as provided in the Credit Agreement.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Borrower hereby waives presentment for payment, demand, protest and notice of dishonor and nonpayment of this</w:t>
      </w:r>
    </w:p>
    <w:p>
      <w:pPr>
        <w:spacing w:after="0"/>
        <w:rPr>
          <w:sz w:val="20"/>
          <w:szCs w:val="20"/>
          <w:color w:val="auto"/>
        </w:rPr>
      </w:pPr>
      <w:r>
        <w:rPr>
          <w:rFonts w:ascii="Times New Roman" w:cs="Times New Roman" w:eastAsia="Times New Roman" w:hAnsi="Times New Roman"/>
          <w:sz w:val="22"/>
          <w:szCs w:val="22"/>
          <w:color w:val="auto"/>
        </w:rPr>
        <w:t>Note.</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Note shall be governed by and construed in accordance with the applicable laws of the United States of America and the laws of the State of Texas.</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THIS NOTE, THE CREDIT AGREEMENT AND THE OTHER LOAN DOCUMENTS REPRESENT THE FINAL AGREEMENTS BETWEEN THE PARTIES AND MAY NOT BE CONTRADICTED BY EVIDENCE OF PRIOR, CONTEMPORANEOUS, OR SUBSEQUENT ORAL AGREEMENTS OF THE PARTIES. THERE ARE NO UNWRITTEN ORAL AGREEMENTS BETWEEN THE PARTIES.</w:t>
      </w:r>
    </w:p>
    <w:p>
      <w:pPr>
        <w:spacing w:after="0" w:line="14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[SIGNATURE FOLLOWS ON SUCCEEDING PAGE]</w:t>
      </w:r>
    </w:p>
    <w:p>
      <w:pPr>
        <w:sectPr>
          <w:pgSz w:w="11900" w:h="16838" w:orient="portrait"/>
          <w:cols w:equalWidth="0" w:num="1">
            <w:col w:w="11240"/>
          </w:cols>
          <w:pgMar w:left="320" w:top="1391" w:right="339" w:bottom="1440" w:gutter="0" w:footer="0" w:header="0"/>
        </w:sectPr>
      </w:pPr>
    </w:p>
    <w:bookmarkStart w:id="216" w:name="page217"/>
    <w:bookmarkEnd w:id="216"/>
    <w:p>
      <w:pPr>
        <w:ind w:left="2780"/>
        <w:spacing w:after="0"/>
        <w:rPr>
          <w:sz w:val="20"/>
          <w:szCs w:val="20"/>
          <w:color w:val="auto"/>
        </w:rPr>
      </w:pPr>
      <w:r>
        <w:rPr>
          <w:rFonts w:ascii="Times New Roman" w:cs="Times New Roman" w:eastAsia="Times New Roman" w:hAnsi="Times New Roman"/>
          <w:sz w:val="21"/>
          <w:szCs w:val="21"/>
          <w:b w:val="1"/>
          <w:bCs w:val="1"/>
          <w:color w:val="auto"/>
        </w:rPr>
        <w:t>MRC ENERGY COMPANY</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9601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391" w:right="1440"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ASSIGNMENT AND ASSUMPTION</w:t>
      </w:r>
    </w:p>
    <w:p>
      <w:pPr>
        <w:spacing w:after="0" w:line="183" w:lineRule="exact"/>
        <w:rPr>
          <w:sz w:val="20"/>
          <w:szCs w:val="20"/>
          <w:color w:val="auto"/>
        </w:rPr>
      </w:pPr>
    </w:p>
    <w:p>
      <w:pPr>
        <w:jc w:val="both"/>
        <w:ind w:firstLine="648"/>
        <w:spacing w:after="0" w:line="194" w:lineRule="auto"/>
        <w:rPr>
          <w:sz w:val="20"/>
          <w:szCs w:val="20"/>
          <w:color w:val="auto"/>
        </w:rPr>
      </w:pPr>
      <w:r>
        <w:rPr>
          <w:rFonts w:ascii="Times New Roman" w:cs="Times New Roman" w:eastAsia="Times New Roman" w:hAnsi="Times New Roman"/>
          <w:sz w:val="22"/>
          <w:szCs w:val="22"/>
          <w:color w:val="auto"/>
        </w:rPr>
        <w:t>This Assignment and Assumption (the “</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is dated as of the Effective Date set forth below and is entered into by and between [the][each]</w:t>
      </w:r>
      <w:r>
        <w:rPr>
          <w:rFonts w:ascii="Times New Roman" w:cs="Times New Roman" w:eastAsia="Times New Roman" w:hAnsi="Times New Roman"/>
          <w:sz w:val="28"/>
          <w:szCs w:val="28"/>
          <w:color w:val="FF0000"/>
          <w:strike w:val="1"/>
          <w:vertAlign w:val="superscript"/>
        </w:rPr>
        <w:t>2</w:t>
      </w:r>
      <w:r>
        <w:rPr>
          <w:rFonts w:ascii="Times New Roman" w:cs="Times New Roman" w:eastAsia="Times New Roman" w:hAnsi="Times New Roman"/>
          <w:sz w:val="28"/>
          <w:szCs w:val="28"/>
          <w:u w:val="single" w:color="auto"/>
          <w:color w:val="0000FF"/>
          <w:vertAlign w:val="superscript"/>
        </w:rPr>
        <w:t>3</w:t>
      </w:r>
      <w:r>
        <w:rPr>
          <w:rFonts w:ascii="Times New Roman" w:cs="Times New Roman" w:eastAsia="Times New Roman" w:hAnsi="Times New Roman"/>
          <w:sz w:val="22"/>
          <w:szCs w:val="22"/>
          <w:color w:val="auto"/>
        </w:rPr>
        <w:t xml:space="preserve"> Assignor identified in item 1 below ([the][each, an]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xml:space="preserve"> ”) and [the] [each]</w:t>
      </w:r>
      <w:r>
        <w:rPr>
          <w:rFonts w:ascii="Times New Roman" w:cs="Times New Roman" w:eastAsia="Times New Roman" w:hAnsi="Times New Roman"/>
          <w:sz w:val="28"/>
          <w:szCs w:val="28"/>
          <w:color w:val="FF0000"/>
          <w:strike w:val="1"/>
          <w:vertAlign w:val="superscript"/>
        </w:rPr>
        <w:t>3</w:t>
      </w:r>
      <w:r>
        <w:rPr>
          <w:rFonts w:ascii="Times New Roman" w:cs="Times New Roman" w:eastAsia="Times New Roman" w:hAnsi="Times New Roman"/>
          <w:sz w:val="28"/>
          <w:szCs w:val="28"/>
          <w:u w:val="single" w:color="auto"/>
          <w:color w:val="0000FF"/>
          <w:vertAlign w:val="superscript"/>
        </w:rPr>
        <w:t>4</w:t>
      </w:r>
      <w:r>
        <w:rPr>
          <w:rFonts w:ascii="Times New Roman" w:cs="Times New Roman" w:eastAsia="Times New Roman" w:hAnsi="Times New Roman"/>
          <w:sz w:val="22"/>
          <w:szCs w:val="22"/>
          <w:color w:val="auto"/>
        </w:rPr>
        <w:t xml:space="preserve"> Assignee identified in item 2 below ([the][each, an]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[It is understood and agreed that the rights and obligations of [the Assignors][the Assignees]</w:t>
      </w:r>
      <w:r>
        <w:rPr>
          <w:rFonts w:ascii="Times New Roman" w:cs="Times New Roman" w:eastAsia="Times New Roman" w:hAnsi="Times New Roman"/>
          <w:sz w:val="28"/>
          <w:szCs w:val="28"/>
          <w:color w:val="FF0000"/>
          <w:strike w:val="1"/>
          <w:vertAlign w:val="superscript"/>
        </w:rPr>
        <w:t>4</w:t>
      </w:r>
      <w:r>
        <w:rPr>
          <w:rFonts w:ascii="Times New Roman" w:cs="Times New Roman" w:eastAsia="Times New Roman" w:hAnsi="Times New Roman"/>
          <w:sz w:val="28"/>
          <w:szCs w:val="28"/>
          <w:u w:val="single" w:color="auto"/>
          <w:color w:val="0000FF"/>
          <w:vertAlign w:val="superscript"/>
        </w:rPr>
        <w:t>5</w:t>
      </w:r>
      <w:r>
        <w:rPr>
          <w:rFonts w:ascii="Times New Roman" w:cs="Times New Roman" w:eastAsia="Times New Roman" w:hAnsi="Times New Roman"/>
          <w:sz w:val="22"/>
          <w:szCs w:val="22"/>
          <w:color w:val="auto"/>
        </w:rPr>
        <w:t xml:space="preserve"> hereunder are several and not joint.]</w:t>
      </w:r>
      <w:r>
        <w:rPr>
          <w:rFonts w:ascii="Times New Roman" w:cs="Times New Roman" w:eastAsia="Times New Roman" w:hAnsi="Times New Roman"/>
          <w:sz w:val="28"/>
          <w:szCs w:val="28"/>
          <w:color w:val="FF0000"/>
          <w:strike w:val="1"/>
          <w:vertAlign w:val="superscript"/>
        </w:rPr>
        <w:t>5</w:t>
      </w:r>
      <w:r>
        <w:rPr>
          <w:rFonts w:ascii="Times New Roman" w:cs="Times New Roman" w:eastAsia="Times New Roman" w:hAnsi="Times New Roman"/>
          <w:sz w:val="28"/>
          <w:szCs w:val="28"/>
          <w:u w:val="single" w:color="auto"/>
          <w:color w:val="0000FF"/>
          <w:vertAlign w:val="superscript"/>
        </w:rPr>
        <w:t>6</w:t>
      </w:r>
      <w:r>
        <w:rPr>
          <w:rFonts w:ascii="Times New Roman" w:cs="Times New Roman" w:eastAsia="Times New Roman" w:hAnsi="Times New Roman"/>
          <w:sz w:val="22"/>
          <w:szCs w:val="22"/>
          <w:color w:val="auto"/>
        </w:rPr>
        <w:t xml:space="preserve"> Capitalized terms used but not defined herein shall have the meanings given to them in the Credit Agreement identified below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and guarantees included in such facilities), and (ii) to the extent permitted to be assigned under applicable law, all claims, suits, causes of action and any other right of [the Assignor (in its capacity as a Lender)] [the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22"/>
          <w:szCs w:val="22"/>
          <w:u w:val="single" w:color="auto"/>
          <w:color w:val="auto"/>
        </w:rPr>
        <w:t>Assigned Interest</w:t>
      </w:r>
      <w:r>
        <w:rPr>
          <w:rFonts w:ascii="Times New Roman" w:cs="Times New Roman" w:eastAsia="Times New Roman" w:hAnsi="Times New Roman"/>
          <w:sz w:val="22"/>
          <w:szCs w:val="22"/>
          <w:color w:val="auto"/>
        </w:rPr>
        <w:t>”). Each such sale and assignment is without recourse to [the][any] Assignor and, except as expressly provided in this Assignment and Assumption, without representation or warranty by [the][any] Assignor.</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w:t>
            </w:r>
          </w:p>
        </w:tc>
        <w:tc>
          <w:tcPr>
            <w:tcW w:w="13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Assignor[s]:</w:t>
            </w:r>
          </w:p>
        </w:tc>
        <w:tc>
          <w:tcPr>
            <w:tcW w:w="7860" w:type="dxa"/>
            <w:vAlign w:val="bottom"/>
          </w:tcPr>
          <w:p>
            <w:pPr>
              <w:jc w:val="right"/>
              <w:ind w:right="4212"/>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459"/>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2.</w:t>
            </w:r>
          </w:p>
        </w:tc>
        <w:tc>
          <w:tcPr>
            <w:tcW w:w="13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Assignee[s]:</w:t>
            </w:r>
          </w:p>
        </w:tc>
        <w:tc>
          <w:tcPr>
            <w:tcW w:w="7860" w:type="dxa"/>
            <w:vAlign w:val="bottom"/>
          </w:tcPr>
          <w:p>
            <w:pPr>
              <w:jc w:val="right"/>
              <w:ind w:right="4212"/>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393"/>
        </w:trPr>
        <w:tc>
          <w:tcPr>
            <w:tcW w:w="200" w:type="dxa"/>
            <w:vAlign w:val="bottom"/>
          </w:tcPr>
          <w:p>
            <w:pPr>
              <w:spacing w:after="0"/>
              <w:rPr>
                <w:sz w:val="24"/>
                <w:szCs w:val="24"/>
                <w:color w:val="auto"/>
              </w:rPr>
            </w:pPr>
          </w:p>
        </w:tc>
        <w:tc>
          <w:tcPr>
            <w:tcW w:w="9240" w:type="dxa"/>
            <w:vAlign w:val="bottom"/>
            <w:gridSpan w:val="2"/>
          </w:tcPr>
          <w:p>
            <w:pPr>
              <w:ind w:left="680"/>
              <w:spacing w:after="0"/>
              <w:rPr>
                <w:sz w:val="20"/>
                <w:szCs w:val="20"/>
                <w:color w:val="auto"/>
              </w:rPr>
            </w:pPr>
            <w:r>
              <w:rPr>
                <w:rFonts w:ascii="Times New Roman" w:cs="Times New Roman" w:eastAsia="Times New Roman" w:hAnsi="Times New Roman"/>
                <w:sz w:val="22"/>
                <w:szCs w:val="22"/>
                <w:color w:val="auto"/>
              </w:rPr>
              <w:t>______________________________</w:t>
            </w:r>
          </w:p>
        </w:tc>
      </w:tr>
      <w:tr>
        <w:trPr>
          <w:trHeight w:val="286"/>
        </w:trPr>
        <w:tc>
          <w:tcPr>
            <w:tcW w:w="200" w:type="dxa"/>
            <w:vAlign w:val="bottom"/>
          </w:tcPr>
          <w:p>
            <w:pPr>
              <w:spacing w:after="0"/>
              <w:rPr>
                <w:sz w:val="24"/>
                <w:szCs w:val="24"/>
                <w:color w:val="auto"/>
              </w:rPr>
            </w:pPr>
          </w:p>
        </w:tc>
        <w:tc>
          <w:tcPr>
            <w:tcW w:w="92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[for each Assignee, indicate Affiliate of [</w:t>
            </w:r>
            <w:r>
              <w:rPr>
                <w:rFonts w:ascii="Times New Roman" w:cs="Times New Roman" w:eastAsia="Times New Roman" w:hAnsi="Times New Roman"/>
                <w:sz w:val="22"/>
                <w:szCs w:val="22"/>
                <w:i w:val="1"/>
                <w:iCs w:val="1"/>
                <w:color w:val="auto"/>
              </w:rPr>
              <w:t>identify Lender</w:t>
            </w:r>
            <w:r>
              <w:rPr>
                <w:rFonts w:ascii="Times New Roman" w:cs="Times New Roman" w:eastAsia="Times New Roman" w:hAnsi="Times New Roman"/>
                <w:sz w:val="22"/>
                <w:szCs w:val="22"/>
                <w:color w:val="auto"/>
              </w:rPr>
              <w:t>]]</w:t>
            </w:r>
          </w:p>
        </w:tc>
      </w:tr>
      <w:tr>
        <w:trPr>
          <w:trHeight w:val="455"/>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3.</w:t>
            </w:r>
          </w:p>
        </w:tc>
        <w:tc>
          <w:tcPr>
            <w:tcW w:w="13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Borrower:</w:t>
            </w:r>
          </w:p>
        </w:tc>
        <w:tc>
          <w:tcPr>
            <w:tcW w:w="7860" w:type="dxa"/>
            <w:vAlign w:val="bottom"/>
          </w:tcPr>
          <w:p>
            <w:pPr>
              <w:jc w:val="right"/>
              <w:ind w:right="5572"/>
              <w:spacing w:after="0"/>
              <w:rPr>
                <w:sz w:val="20"/>
                <w:szCs w:val="20"/>
                <w:color w:val="auto"/>
              </w:rPr>
            </w:pPr>
            <w:r>
              <w:rPr>
                <w:rFonts w:ascii="Times New Roman" w:cs="Times New Roman" w:eastAsia="Times New Roman" w:hAnsi="Times New Roman"/>
                <w:sz w:val="22"/>
                <w:szCs w:val="22"/>
                <w:color w:val="auto"/>
              </w:rPr>
              <w:t>MRC Energy Company</w:t>
            </w:r>
          </w:p>
        </w:tc>
      </w:tr>
      <w:tr>
        <w:trPr>
          <w:trHeight w:val="459"/>
        </w:trPr>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4.</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9"/>
              </w:rPr>
              <w:t>Administrative Agent:   Royal Bank of Canada, as the administrative agent under the Credit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4" w:lineRule="exact"/>
        <w:rPr>
          <w:sz w:val="20"/>
          <w:szCs w:val="20"/>
          <w:color w:val="auto"/>
        </w:rPr>
      </w:pPr>
    </w:p>
    <w:p>
      <w:pPr>
        <w:ind w:right="80"/>
        <w:spacing w:after="0" w:line="182" w:lineRule="auto"/>
        <w:rPr>
          <w:sz w:val="20"/>
          <w:szCs w:val="20"/>
          <w:color w:val="auto"/>
        </w:rPr>
      </w:pPr>
      <w:r>
        <w:rPr>
          <w:rFonts w:ascii="Times New Roman" w:cs="Times New Roman" w:eastAsia="Times New Roman" w:hAnsi="Times New Roman"/>
          <w:sz w:val="28"/>
          <w:szCs w:val="28"/>
          <w:color w:val="FF0000"/>
          <w:strike w:val="1"/>
          <w:vertAlign w:val="superscript"/>
        </w:rPr>
        <w:t>2</w:t>
      </w:r>
      <w:r>
        <w:rPr>
          <w:rFonts w:ascii="Times New Roman" w:cs="Times New Roman" w:eastAsia="Times New Roman" w:hAnsi="Times New Roman"/>
          <w:sz w:val="28"/>
          <w:szCs w:val="28"/>
          <w:u w:val="single" w:color="auto"/>
          <w:color w:val="0000FF"/>
          <w:vertAlign w:val="superscript"/>
        </w:rPr>
        <w:t>3</w:t>
      </w:r>
      <w:r>
        <w:rPr>
          <w:rFonts w:ascii="Times New Roman" w:cs="Times New Roman" w:eastAsia="Times New Roman" w:hAnsi="Times New Roman"/>
          <w:sz w:val="16"/>
          <w:szCs w:val="16"/>
          <w:color w:val="auto"/>
        </w:rPr>
        <w:t xml:space="preserve"> For bracketed language here and elsewhere in this form relating to the Assignor(s), if the assignment is from a single Assignor, choose the first bracketed language. If the assignment is from multiple Assignors, choose the second bracketed language.</w:t>
      </w:r>
    </w:p>
    <w:p>
      <w:pPr>
        <w:ind w:right="240"/>
        <w:spacing w:after="0" w:line="182" w:lineRule="auto"/>
        <w:rPr>
          <w:sz w:val="20"/>
          <w:szCs w:val="20"/>
          <w:color w:val="auto"/>
        </w:rPr>
      </w:pPr>
      <w:r>
        <w:rPr>
          <w:rFonts w:ascii="Times New Roman" w:cs="Times New Roman" w:eastAsia="Times New Roman" w:hAnsi="Times New Roman"/>
          <w:sz w:val="23"/>
          <w:szCs w:val="23"/>
          <w:color w:val="FF0000"/>
          <w:strike w:val="1"/>
          <w:vertAlign w:val="superscript"/>
        </w:rPr>
        <w:t>3</w:t>
      </w:r>
      <w:r>
        <w:rPr>
          <w:rFonts w:ascii="Times New Roman" w:cs="Times New Roman" w:eastAsia="Times New Roman" w:hAnsi="Times New Roman"/>
          <w:sz w:val="23"/>
          <w:szCs w:val="23"/>
          <w:u w:val="single" w:color="auto"/>
          <w:color w:val="0000FF"/>
          <w:vertAlign w:val="superscript"/>
        </w:rPr>
        <w:t>4</w:t>
      </w:r>
      <w:r>
        <w:rPr>
          <w:rFonts w:ascii="Times New Roman" w:cs="Times New Roman" w:eastAsia="Times New Roman" w:hAnsi="Times New Roman"/>
          <w:sz w:val="14"/>
          <w:szCs w:val="14"/>
          <w:color w:val="auto"/>
        </w:rPr>
        <w:t xml:space="preserve"> For bracketed language here and elsewhere in this form relating to the Assignee(s), if the assignment is to a single Assignee, choose the first bracketed language. If the assignment is to multiple Assignees, choose the second bracketed language.</w:t>
      </w:r>
    </w:p>
    <w:p>
      <w:pPr>
        <w:spacing w:after="0" w:line="189" w:lineRule="auto"/>
        <w:rPr>
          <w:sz w:val="20"/>
          <w:szCs w:val="20"/>
          <w:color w:val="auto"/>
        </w:rPr>
      </w:pPr>
      <w:r>
        <w:rPr>
          <w:rFonts w:ascii="Times New Roman" w:cs="Times New Roman" w:eastAsia="Times New Roman" w:hAnsi="Times New Roman"/>
          <w:sz w:val="18"/>
          <w:szCs w:val="18"/>
          <w:color w:val="FF0000"/>
          <w:strike w:val="1"/>
          <w:vertAlign w:val="superscript"/>
        </w:rPr>
        <w:t>4</w:t>
      </w:r>
      <w:r>
        <w:rPr>
          <w:rFonts w:ascii="Times New Roman" w:cs="Times New Roman" w:eastAsia="Times New Roman" w:hAnsi="Times New Roman"/>
          <w:sz w:val="18"/>
          <w:szCs w:val="18"/>
          <w:u w:val="single" w:color="auto"/>
          <w:color w:val="0000FF"/>
          <w:vertAlign w:val="superscript"/>
        </w:rPr>
        <w:t>5</w:t>
      </w:r>
      <w:r>
        <w:rPr>
          <w:rFonts w:ascii="Times New Roman" w:cs="Times New Roman" w:eastAsia="Times New Roman" w:hAnsi="Times New Roman"/>
          <w:sz w:val="12"/>
          <w:szCs w:val="12"/>
          <w:color w:val="auto"/>
        </w:rPr>
        <w:t xml:space="preserve"> Select as appropriate.</w:t>
      </w:r>
    </w:p>
    <w:p>
      <w:pPr>
        <w:spacing w:after="0" w:line="207" w:lineRule="auto"/>
        <w:rPr>
          <w:sz w:val="20"/>
          <w:szCs w:val="20"/>
          <w:color w:val="auto"/>
        </w:rPr>
      </w:pPr>
      <w:r>
        <w:rPr>
          <w:rFonts w:ascii="Times New Roman" w:cs="Times New Roman" w:eastAsia="Times New Roman" w:hAnsi="Times New Roman"/>
          <w:sz w:val="28"/>
          <w:szCs w:val="28"/>
          <w:color w:val="FF0000"/>
          <w:strike w:val="1"/>
          <w:vertAlign w:val="superscript"/>
        </w:rPr>
        <w:t>5</w:t>
      </w:r>
      <w:r>
        <w:rPr>
          <w:rFonts w:ascii="Times New Roman" w:cs="Times New Roman" w:eastAsia="Times New Roman" w:hAnsi="Times New Roman"/>
          <w:sz w:val="28"/>
          <w:szCs w:val="28"/>
          <w:u w:val="single" w:color="auto"/>
          <w:color w:val="0000FF"/>
          <w:vertAlign w:val="superscript"/>
        </w:rPr>
        <w:t>6</w:t>
      </w:r>
      <w:r>
        <w:rPr>
          <w:rFonts w:ascii="Times New Roman" w:cs="Times New Roman" w:eastAsia="Times New Roman" w:hAnsi="Times New Roman"/>
          <w:sz w:val="16"/>
          <w:szCs w:val="16"/>
          <w:color w:val="auto"/>
        </w:rPr>
        <w:t xml:space="preserve"> Include bracketed language if there are either multiple Assignors or multiple Assignees.</w:t>
      </w:r>
    </w:p>
    <w:p>
      <w:pPr>
        <w:sectPr>
          <w:pgSz w:w="11900" w:h="16838" w:orient="portrait"/>
          <w:cols w:equalWidth="0" w:num="1">
            <w:col w:w="11240"/>
          </w:cols>
          <w:pgMar w:left="320" w:top="999" w:right="339" w:bottom="1440" w:gutter="0" w:footer="0" w:header="0"/>
        </w:sectPr>
      </w:pPr>
    </w:p>
    <w:bookmarkStart w:id="218" w:name="page219"/>
    <w:bookmarkEnd w:id="218"/>
    <w:p>
      <w:pPr>
        <w:ind w:left="2600" w:right="20" w:hanging="2592"/>
        <w:spacing w:after="0" w:line="225" w:lineRule="auto"/>
        <w:tabs>
          <w:tab w:leader="none" w:pos="414"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Agreement: Fourth Amended and Restated Credit Agreement dated as of November 18, 2021 among MRC Energy Company, as borrower, the Lenders parties thereto, Royal Bank of Canada, as Administrative Agent.</w:t>
      </w:r>
    </w:p>
    <w:p>
      <w:pPr>
        <w:spacing w:after="0" w:line="179"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Assigned Interest[s]: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260" w:type="dxa"/>
            <w:vAlign w:val="bottom"/>
            <w:tcBorders>
              <w:top w:val="single" w:sz="8" w:color="auto"/>
              <w:left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right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30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Aggregate Amount of</w:t>
            </w:r>
          </w:p>
        </w:tc>
        <w:tc>
          <w:tcPr>
            <w:tcW w:w="2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Amount of Revolving</w:t>
            </w:r>
          </w:p>
        </w:tc>
        <w:tc>
          <w:tcPr>
            <w:tcW w:w="2380" w:type="dxa"/>
            <w:vAlign w:val="bottom"/>
            <w:tcBorders>
              <w:top w:val="single" w:sz="8" w:color="auto"/>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2"/>
                <w:szCs w:val="22"/>
                <w:color w:val="auto"/>
                <w:w w:val="98"/>
              </w:rPr>
              <w:t>Percentage Assigned of</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Revolving Credit Aggregate</w:t>
            </w:r>
          </w:p>
        </w:tc>
        <w:tc>
          <w:tcPr>
            <w:tcW w:w="24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Credit Aggregate</w:t>
            </w:r>
          </w:p>
        </w:tc>
        <w:tc>
          <w:tcPr>
            <w:tcW w:w="2380" w:type="dxa"/>
            <w:vAlign w:val="bottom"/>
            <w:tcBorders>
              <w:right w:val="single" w:sz="8" w:color="auto"/>
            </w:tcBorders>
            <w:gridSpan w:val="4"/>
          </w:tcPr>
          <w:p>
            <w:pPr>
              <w:jc w:val="center"/>
              <w:ind w:right="20"/>
              <w:spacing w:after="0" w:line="216" w:lineRule="exact"/>
              <w:rPr>
                <w:sz w:val="20"/>
                <w:szCs w:val="20"/>
                <w:color w:val="auto"/>
              </w:rPr>
            </w:pPr>
            <w:r>
              <w:rPr>
                <w:rFonts w:ascii="Times New Roman" w:cs="Times New Roman" w:eastAsia="Times New Roman" w:hAnsi="Times New Roman"/>
                <w:sz w:val="22"/>
                <w:szCs w:val="22"/>
                <w:color w:val="auto"/>
                <w:w w:val="97"/>
              </w:rPr>
              <w:t>Revolving Credit</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000" w:type="dxa"/>
            <w:vAlign w:val="bottom"/>
            <w:tcBorders>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Commitment/Advances</w:t>
            </w:r>
          </w:p>
        </w:tc>
        <w:tc>
          <w:tcPr>
            <w:tcW w:w="248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Commitment/</w:t>
            </w:r>
          </w:p>
        </w:tc>
        <w:tc>
          <w:tcPr>
            <w:tcW w:w="2380" w:type="dxa"/>
            <w:vAlign w:val="bottom"/>
            <w:tcBorders>
              <w:right w:val="single" w:sz="8" w:color="auto"/>
            </w:tcBorders>
            <w:gridSpan w:val="4"/>
          </w:tcPr>
          <w:p>
            <w:pPr>
              <w:jc w:val="center"/>
              <w:ind w:right="20"/>
              <w:spacing w:after="0" w:line="216" w:lineRule="exact"/>
              <w:rPr>
                <w:sz w:val="20"/>
                <w:szCs w:val="20"/>
                <w:color w:val="auto"/>
              </w:rPr>
            </w:pPr>
            <w:r>
              <w:rPr>
                <w:rFonts w:ascii="Times New Roman" w:cs="Times New Roman" w:eastAsia="Times New Roman" w:hAnsi="Times New Roman"/>
                <w:sz w:val="22"/>
                <w:szCs w:val="22"/>
                <w:color w:val="auto"/>
                <w:w w:val="98"/>
              </w:rPr>
              <w:t>Aggregate Commitment/</w:t>
            </w: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vMerge w:val="restart"/>
          </w:tcPr>
          <w:p>
            <w:pPr>
              <w:ind w:left="260"/>
              <w:spacing w:after="0"/>
              <w:rPr>
                <w:sz w:val="20"/>
                <w:szCs w:val="20"/>
                <w:color w:val="auto"/>
              </w:rPr>
            </w:pPr>
            <w:r>
              <w:rPr>
                <w:rFonts w:ascii="Times New Roman" w:cs="Times New Roman" w:eastAsia="Times New Roman" w:hAnsi="Times New Roman"/>
                <w:sz w:val="22"/>
                <w:szCs w:val="22"/>
                <w:color w:val="auto"/>
                <w:w w:val="95"/>
              </w:rPr>
              <w:t>Assignor[s]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FF0000"/>
                <w:strike w:val="1"/>
                <w:w w:val="85"/>
              </w:rPr>
              <w:t>6</w:t>
            </w:r>
          </w:p>
        </w:tc>
        <w:tc>
          <w:tcPr>
            <w:tcW w:w="320" w:type="dxa"/>
            <w:vAlign w:val="bottom"/>
            <w:tcBorders>
              <w:right w:val="single" w:sz="8" w:color="auto"/>
            </w:tcBorders>
            <w:vMerge w:val="restart"/>
          </w:tcPr>
          <w:p>
            <w:pPr>
              <w:jc w:val="right"/>
              <w:ind w:right="205"/>
              <w:spacing w:after="0"/>
              <w:rPr>
                <w:sz w:val="20"/>
                <w:szCs w:val="20"/>
                <w:color w:val="auto"/>
              </w:rPr>
            </w:pPr>
            <w:r>
              <w:rPr>
                <w:rFonts w:ascii="Times New Roman" w:cs="Times New Roman" w:eastAsia="Times New Roman" w:hAnsi="Times New Roman"/>
                <w:sz w:val="11"/>
                <w:szCs w:val="11"/>
                <w:color w:val="auto"/>
                <w:w w:val="71"/>
              </w:rPr>
              <w:t>7</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6"/>
              </w:rPr>
              <w:t>Assignee[s]</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FF0000"/>
                <w:strike w:val="1"/>
                <w:w w:val="71"/>
              </w:rPr>
              <w:t>7</w:t>
            </w:r>
          </w:p>
        </w:tc>
        <w:tc>
          <w:tcPr>
            <w:tcW w:w="380" w:type="dxa"/>
            <w:vAlign w:val="bottom"/>
            <w:tcBorders>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w w:val="85"/>
              </w:rPr>
              <w:t>8</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for all Lenders</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FF0000"/>
                <w:strike w:val="1"/>
                <w:w w:val="71"/>
              </w:rPr>
              <w:t>8</w:t>
            </w:r>
          </w:p>
        </w:tc>
        <w:tc>
          <w:tcPr>
            <w:tcW w:w="880" w:type="dxa"/>
            <w:vAlign w:val="bottom"/>
            <w:tcBorders>
              <w:right w:val="single" w:sz="8" w:color="auto"/>
            </w:tcBorders>
            <w:vMerge w:val="restart"/>
          </w:tcPr>
          <w:p>
            <w:pPr>
              <w:jc w:val="right"/>
              <w:ind w:right="730"/>
              <w:spacing w:after="0"/>
              <w:rPr>
                <w:sz w:val="20"/>
                <w:szCs w:val="20"/>
                <w:color w:val="auto"/>
              </w:rPr>
            </w:pPr>
            <w:r>
              <w:rPr>
                <w:rFonts w:ascii="Times New Roman" w:cs="Times New Roman" w:eastAsia="Times New Roman" w:hAnsi="Times New Roman"/>
                <w:sz w:val="14"/>
                <w:szCs w:val="14"/>
                <w:color w:val="auto"/>
                <w:w w:val="85"/>
              </w:rPr>
              <w:t>9</w:t>
            </w:r>
          </w:p>
        </w:tc>
        <w:tc>
          <w:tcPr>
            <w:tcW w:w="2480" w:type="dxa"/>
            <w:vAlign w:val="bottom"/>
            <w:tcBorders>
              <w:right w:val="single" w:sz="8" w:color="auto"/>
            </w:tcBorders>
            <w:vMerge w:val="restart"/>
          </w:tcPr>
          <w:p>
            <w:pPr>
              <w:jc w:val="center"/>
              <w:spacing w:after="0" w:line="310" w:lineRule="exact"/>
              <w:rPr>
                <w:sz w:val="20"/>
                <w:szCs w:val="20"/>
                <w:color w:val="auto"/>
              </w:rPr>
            </w:pPr>
            <w:r>
              <w:rPr>
                <w:rFonts w:ascii="Times New Roman" w:cs="Times New Roman" w:eastAsia="Times New Roman" w:hAnsi="Times New Roman"/>
                <w:sz w:val="22"/>
                <w:szCs w:val="22"/>
                <w:color w:val="auto"/>
                <w:w w:val="96"/>
              </w:rPr>
              <w:t>Advances Assigned</w:t>
            </w:r>
            <w:r>
              <w:rPr>
                <w:rFonts w:ascii="Times New Roman" w:cs="Times New Roman" w:eastAsia="Times New Roman" w:hAnsi="Times New Roman"/>
                <w:sz w:val="28"/>
                <w:szCs w:val="28"/>
                <w:color w:val="auto"/>
                <w:w w:val="96"/>
                <w:vertAlign w:val="superscript"/>
              </w:rPr>
              <w:t>8</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Advances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FF0000"/>
                <w:strike w:val="1"/>
                <w:w w:val="85"/>
              </w:rPr>
              <w:t>9</w:t>
            </w:r>
          </w:p>
        </w:tc>
        <w:tc>
          <w:tcPr>
            <w:tcW w:w="200" w:type="dxa"/>
            <w:vAlign w:val="bottom"/>
            <w:tcBorders>
              <w:bottom w:val="single" w:sz="8" w:color="0000FF"/>
            </w:tcBorders>
          </w:tcPr>
          <w:p>
            <w:pPr>
              <w:jc w:val="right"/>
              <w:spacing w:after="0" w:line="129" w:lineRule="exact"/>
              <w:rPr>
                <w:sz w:val="20"/>
                <w:szCs w:val="20"/>
                <w:color w:val="auto"/>
              </w:rPr>
            </w:pPr>
            <w:r>
              <w:rPr>
                <w:rFonts w:ascii="Times New Roman" w:cs="Times New Roman" w:eastAsia="Times New Roman" w:hAnsi="Times New Roman"/>
                <w:sz w:val="14"/>
                <w:szCs w:val="14"/>
                <w:color w:val="0000FF"/>
                <w:w w:val="85"/>
              </w:rPr>
              <w:t>110</w:t>
            </w:r>
          </w:p>
        </w:tc>
        <w:tc>
          <w:tcPr>
            <w:tcW w:w="620" w:type="dxa"/>
            <w:vAlign w:val="bottom"/>
            <w:tcBorders>
              <w:right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left w:val="single" w:sz="8" w:color="auto"/>
              <w:bottom w:val="single" w:sz="8" w:color="auto"/>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right w:val="single" w:sz="8" w:color="auto"/>
            </w:tcBorders>
            <w:vMerge w:val="continue"/>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right w:val="single" w:sz="8" w:color="auto"/>
            </w:tcBorders>
            <w:vMerge w:val="continue"/>
          </w:tcPr>
          <w:p>
            <w:pPr>
              <w:spacing w:after="0"/>
              <w:rPr>
                <w:sz w:val="12"/>
                <w:szCs w:val="12"/>
                <w:color w:val="auto"/>
              </w:rPr>
            </w:pPr>
          </w:p>
        </w:tc>
        <w:tc>
          <w:tcPr>
            <w:tcW w:w="20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right w:val="single" w:sz="8" w:color="auto"/>
            </w:tcBorders>
            <w:vMerge w:val="continue"/>
          </w:tcPr>
          <w:p>
            <w:pPr>
              <w:spacing w:after="0"/>
              <w:rPr>
                <w:sz w:val="12"/>
                <w:szCs w:val="12"/>
                <w:color w:val="auto"/>
              </w:rPr>
            </w:pPr>
          </w:p>
        </w:tc>
        <w:tc>
          <w:tcPr>
            <w:tcW w:w="2480" w:type="dxa"/>
            <w:vAlign w:val="bottom"/>
            <w:tcBorders>
              <w:bottom w:val="single" w:sz="8" w:color="auto"/>
              <w:right w:val="single" w:sz="8" w:color="auto"/>
            </w:tcBorders>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12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060" w:type="dxa"/>
            <w:vAlign w:val="bottom"/>
          </w:tcPr>
          <w:p>
            <w:pPr>
              <w:jc w:val="right"/>
              <w:ind w:right="1772"/>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jc w:val="right"/>
              <w:ind w:right="2212"/>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2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2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060" w:type="dxa"/>
            <w:vAlign w:val="bottom"/>
          </w:tcPr>
          <w:p>
            <w:pPr>
              <w:jc w:val="right"/>
              <w:ind w:right="1772"/>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jc w:val="right"/>
              <w:ind w:right="2212"/>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2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2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060" w:type="dxa"/>
            <w:vAlign w:val="bottom"/>
          </w:tcPr>
          <w:p>
            <w:pPr>
              <w:jc w:val="right"/>
              <w:ind w:right="1772"/>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480" w:type="dxa"/>
            <w:vAlign w:val="bottom"/>
            <w:tcBorders>
              <w:right w:val="single" w:sz="8" w:color="auto"/>
            </w:tcBorders>
          </w:tcPr>
          <w:p>
            <w:pPr>
              <w:jc w:val="right"/>
              <w:ind w:right="2212"/>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2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1714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FF0000"/>
          <w:strike w:val="1"/>
          <w:vertAlign w:val="superscript"/>
        </w:rPr>
        <w:t>6</w:t>
      </w:r>
      <w:r>
        <w:rPr>
          <w:rFonts w:ascii="Times New Roman" w:cs="Times New Roman" w:eastAsia="Times New Roman" w:hAnsi="Times New Roman"/>
          <w:sz w:val="28"/>
          <w:szCs w:val="28"/>
          <w:u w:val="single" w:color="auto"/>
          <w:color w:val="0000FF"/>
          <w:vertAlign w:val="superscript"/>
        </w:rPr>
        <w:t>7</w:t>
      </w:r>
      <w:r>
        <w:rPr>
          <w:rFonts w:ascii="Times New Roman" w:cs="Times New Roman" w:eastAsia="Times New Roman" w:hAnsi="Times New Roman"/>
          <w:sz w:val="16"/>
          <w:szCs w:val="16"/>
          <w:color w:val="auto"/>
        </w:rPr>
        <w:t xml:space="preserve"> List each Assignor, as appropriate.</w:t>
      </w:r>
    </w:p>
    <w:p>
      <w:pPr>
        <w:spacing w:after="0" w:line="183" w:lineRule="auto"/>
        <w:rPr>
          <w:sz w:val="20"/>
          <w:szCs w:val="20"/>
          <w:color w:val="auto"/>
        </w:rPr>
      </w:pPr>
      <w:r>
        <w:rPr>
          <w:rFonts w:ascii="Times New Roman" w:cs="Times New Roman" w:eastAsia="Times New Roman" w:hAnsi="Times New Roman"/>
          <w:sz w:val="20"/>
          <w:szCs w:val="20"/>
          <w:color w:val="FF0000"/>
          <w:strike w:val="1"/>
          <w:vertAlign w:val="superscript"/>
        </w:rPr>
        <w:t>7</w:t>
      </w:r>
      <w:r>
        <w:rPr>
          <w:rFonts w:ascii="Times New Roman" w:cs="Times New Roman" w:eastAsia="Times New Roman" w:hAnsi="Times New Roman"/>
          <w:sz w:val="20"/>
          <w:szCs w:val="20"/>
          <w:u w:val="single" w:color="auto"/>
          <w:color w:val="0000FF"/>
          <w:vertAlign w:val="superscript"/>
        </w:rPr>
        <w:t>8</w:t>
      </w:r>
      <w:r>
        <w:rPr>
          <w:rFonts w:ascii="Times New Roman" w:cs="Times New Roman" w:eastAsia="Times New Roman" w:hAnsi="Times New Roman"/>
          <w:sz w:val="12"/>
          <w:szCs w:val="12"/>
          <w:color w:val="auto"/>
        </w:rPr>
        <w:t xml:space="preserve"> List each Assignee, as appropriate.</w:t>
      </w:r>
    </w:p>
    <w:p>
      <w:pPr>
        <w:spacing w:after="0" w:line="187" w:lineRule="auto"/>
        <w:rPr>
          <w:sz w:val="20"/>
          <w:szCs w:val="20"/>
          <w:color w:val="auto"/>
        </w:rPr>
      </w:pPr>
      <w:r>
        <w:rPr>
          <w:rFonts w:ascii="Times New Roman" w:cs="Times New Roman" w:eastAsia="Times New Roman" w:hAnsi="Times New Roman"/>
          <w:sz w:val="20"/>
          <w:szCs w:val="20"/>
          <w:color w:val="FF0000"/>
          <w:strike w:val="1"/>
          <w:vertAlign w:val="superscript"/>
        </w:rPr>
        <w:t>8</w:t>
      </w:r>
      <w:r>
        <w:rPr>
          <w:rFonts w:ascii="Times New Roman" w:cs="Times New Roman" w:eastAsia="Times New Roman" w:hAnsi="Times New Roman"/>
          <w:sz w:val="20"/>
          <w:szCs w:val="20"/>
          <w:u w:val="single" w:color="auto"/>
          <w:color w:val="0000FF"/>
          <w:vertAlign w:val="superscript"/>
        </w:rPr>
        <w:t>9</w:t>
      </w:r>
      <w:r>
        <w:rPr>
          <w:rFonts w:ascii="Times New Roman" w:cs="Times New Roman" w:eastAsia="Times New Roman" w:hAnsi="Times New Roman"/>
          <w:sz w:val="12"/>
          <w:szCs w:val="12"/>
          <w:color w:val="auto"/>
        </w:rPr>
        <w:t xml:space="preserve"> Amount to be adjusted by the counterparties to take into account any payments or prepayments made between the Trade Date and the Effective Date.</w:t>
      </w:r>
    </w:p>
    <w:p>
      <w:pPr>
        <w:spacing w:after="0" w:line="181" w:lineRule="auto"/>
        <w:rPr>
          <w:sz w:val="20"/>
          <w:szCs w:val="20"/>
          <w:color w:val="auto"/>
        </w:rPr>
      </w:pPr>
      <w:r>
        <w:rPr>
          <w:rFonts w:ascii="Times New Roman" w:cs="Times New Roman" w:eastAsia="Times New Roman" w:hAnsi="Times New Roman"/>
          <w:sz w:val="27"/>
          <w:szCs w:val="27"/>
          <w:color w:val="FF0000"/>
          <w:strike w:val="1"/>
          <w:vertAlign w:val="superscript"/>
        </w:rPr>
        <w:t>9</w:t>
      </w:r>
      <w:r>
        <w:rPr>
          <w:rFonts w:ascii="Times New Roman" w:cs="Times New Roman" w:eastAsia="Times New Roman" w:hAnsi="Times New Roman"/>
          <w:sz w:val="27"/>
          <w:szCs w:val="27"/>
          <w:u w:val="single" w:color="auto"/>
          <w:color w:val="0000FF"/>
          <w:vertAlign w:val="superscript"/>
        </w:rPr>
        <w:t>10</w:t>
      </w:r>
      <w:r>
        <w:rPr>
          <w:rFonts w:ascii="Times New Roman" w:cs="Times New Roman" w:eastAsia="Times New Roman" w:hAnsi="Times New Roman"/>
          <w:sz w:val="16"/>
          <w:szCs w:val="16"/>
          <w:color w:val="auto"/>
        </w:rPr>
        <w:t xml:space="preserve"> Set forth, to at least 9 decimals.</w:t>
      </w:r>
    </w:p>
    <w:p>
      <w:pPr>
        <w:sectPr>
          <w:pgSz w:w="11900" w:h="16838" w:orient="portrait"/>
          <w:cols w:equalWidth="0" w:num="1">
            <w:col w:w="11260"/>
          </w:cols>
          <w:pgMar w:left="320" w:top="1246" w:right="3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1"/>
          <w:szCs w:val="21"/>
          <w:color w:val="auto"/>
        </w:rPr>
        <w:t>Effective Date: _____________ ___, 20___ [TO BE INSERTED BY ADMINISTRATIVE AGENT AND WHICH SHALL BE</w:t>
      </w:r>
    </w:p>
    <w:p>
      <w:pPr>
        <w:ind w:right="2480"/>
        <w:spacing w:after="0" w:line="424" w:lineRule="auto"/>
        <w:rPr>
          <w:sz w:val="20"/>
          <w:szCs w:val="20"/>
          <w:color w:val="auto"/>
        </w:rPr>
      </w:pPr>
      <w:r>
        <w:rPr>
          <w:rFonts w:ascii="Times New Roman" w:cs="Times New Roman" w:eastAsia="Times New Roman" w:hAnsi="Times New Roman"/>
          <w:sz w:val="22"/>
          <w:szCs w:val="22"/>
          <w:color w:val="auto"/>
        </w:rPr>
        <w:t>THE EFFECTIVE DATE OF RECORDATION OF TRANSFER IN THE REGISTER THEREFOR.] The terms set forth in this Assignment and Assumption are hereby agreed to:</w:t>
      </w:r>
    </w:p>
    <w:p>
      <w:pPr>
        <w:ind w:left="4540"/>
        <w:spacing w:after="0" w:line="227" w:lineRule="auto"/>
        <w:rPr>
          <w:sz w:val="20"/>
          <w:szCs w:val="20"/>
          <w:color w:val="auto"/>
        </w:rPr>
      </w:pPr>
      <w:r>
        <w:rPr>
          <w:rFonts w:ascii="Times New Roman" w:cs="Times New Roman" w:eastAsia="Times New Roman" w:hAnsi="Times New Roman"/>
          <w:sz w:val="22"/>
          <w:szCs w:val="22"/>
          <w:u w:val="single" w:color="auto"/>
          <w:color w:val="auto"/>
        </w:rPr>
        <w:t>ASSIGNOR[S]</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OF ASSIGNOR]</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By:______________________________</w:t>
      </w: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[NAME OF ASSIGNOR]</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By:______________________________</w:t>
      </w: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16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ASSIGNEE[S]</w:t>
      </w:r>
    </w:p>
    <w:p>
      <w:pPr>
        <w:ind w:left="4540"/>
        <w:spacing w:after="0"/>
        <w:rPr>
          <w:sz w:val="20"/>
          <w:szCs w:val="20"/>
          <w:color w:val="auto"/>
        </w:rPr>
      </w:pPr>
      <w:r>
        <w:rPr>
          <w:rFonts w:ascii="Times New Roman" w:cs="Times New Roman" w:eastAsia="Times New Roman" w:hAnsi="Times New Roman"/>
          <w:sz w:val="22"/>
          <w:szCs w:val="22"/>
          <w:color w:val="auto"/>
        </w:rPr>
        <w:t>[NAME OF ASSIGNEE]</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By:______________________________</w:t>
      </w: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 OF ASSIGNEE]</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By:______________________________</w:t>
      </w: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 and]</w:t>
      </w:r>
      <w:r>
        <w:rPr>
          <w:rFonts w:ascii="Times New Roman" w:cs="Times New Roman" w:eastAsia="Times New Roman" w:hAnsi="Times New Roman"/>
          <w:sz w:val="28"/>
          <w:szCs w:val="28"/>
          <w:color w:val="FF0000"/>
          <w:strike w:val="1"/>
          <w:vertAlign w:val="superscript"/>
        </w:rPr>
        <w:t>10</w:t>
      </w:r>
      <w:r>
        <w:rPr>
          <w:rFonts w:ascii="Times New Roman" w:cs="Times New Roman" w:eastAsia="Times New Roman" w:hAnsi="Times New Roman"/>
          <w:sz w:val="28"/>
          <w:szCs w:val="28"/>
          <w:u w:val="single" w:color="auto"/>
          <w:color w:val="0000FF"/>
          <w:vertAlign w:val="superscript"/>
        </w:rPr>
        <w:t>111</w:t>
      </w:r>
      <w:r>
        <w:rPr>
          <w:rFonts w:ascii="Times New Roman" w:cs="Times New Roman" w:eastAsia="Times New Roman" w:hAnsi="Times New Roman"/>
          <w:sz w:val="22"/>
          <w:szCs w:val="22"/>
          <w:color w:val="auto"/>
        </w:rPr>
        <w:t xml:space="preserve"> Accepted: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ADMINISTRATIVE AGENT], as</w:t>
      </w:r>
    </w:p>
    <w:p>
      <w:pPr>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714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FF0000"/>
          <w:strike w:val="1"/>
          <w:vertAlign w:val="superscript"/>
        </w:rPr>
        <w:t>10</w:t>
      </w:r>
      <w:r>
        <w:rPr>
          <w:rFonts w:ascii="Times New Roman" w:cs="Times New Roman" w:eastAsia="Times New Roman" w:hAnsi="Times New Roman"/>
          <w:sz w:val="26"/>
          <w:szCs w:val="26"/>
          <w:u w:val="single" w:color="auto"/>
          <w:color w:val="0000FF"/>
          <w:vertAlign w:val="superscript"/>
        </w:rPr>
        <w:t>11</w:t>
      </w:r>
      <w:r>
        <w:rPr>
          <w:rFonts w:ascii="Times New Roman" w:cs="Times New Roman" w:eastAsia="Times New Roman" w:hAnsi="Times New Roman"/>
          <w:sz w:val="15"/>
          <w:szCs w:val="15"/>
          <w:color w:val="auto"/>
        </w:rPr>
        <w:t xml:space="preserve"> To be added only if the consent of the Administrative Agent is required by the terms of the Credit Agreement.</w:t>
      </w:r>
    </w:p>
    <w:p>
      <w:pPr>
        <w:sectPr>
          <w:pgSz w:w="11900" w:h="16838" w:orient="portrait"/>
          <w:cols w:equalWidth="0" w:num="1">
            <w:col w:w="11240"/>
          </w:cols>
          <w:pgMar w:left="320" w:top="1245" w:right="339"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[Consented to:]</w:t>
      </w:r>
      <w:r>
        <w:rPr>
          <w:rFonts w:ascii="Times New Roman" w:cs="Times New Roman" w:eastAsia="Times New Roman" w:hAnsi="Times New Roman"/>
          <w:sz w:val="28"/>
          <w:szCs w:val="28"/>
          <w:color w:val="FF0000"/>
          <w:strike w:val="1"/>
          <w:vertAlign w:val="superscript"/>
        </w:rPr>
        <w:t>11</w:t>
      </w:r>
      <w:r>
        <w:rPr>
          <w:rFonts w:ascii="Times New Roman" w:cs="Times New Roman" w:eastAsia="Times New Roman" w:hAnsi="Times New Roman"/>
          <w:sz w:val="28"/>
          <w:szCs w:val="28"/>
          <w:u w:val="single" w:color="auto"/>
          <w:color w:val="0000FF"/>
          <w:vertAlign w:val="superscript"/>
        </w:rPr>
        <w:t>112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RELEVANT PARTY]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FF0000"/>
          <w:strike w:val="1"/>
          <w:vertAlign w:val="superscript"/>
        </w:rPr>
        <w:t>11</w:t>
      </w:r>
      <w:r>
        <w:rPr>
          <w:rFonts w:ascii="Times New Roman" w:cs="Times New Roman" w:eastAsia="Times New Roman" w:hAnsi="Times New Roman"/>
          <w:sz w:val="28"/>
          <w:szCs w:val="28"/>
          <w:u w:val="single" w:color="auto"/>
          <w:color w:val="0000FF"/>
          <w:vertAlign w:val="superscript"/>
        </w:rPr>
        <w:t>12</w:t>
      </w:r>
      <w:r>
        <w:rPr>
          <w:rFonts w:ascii="Times New Roman" w:cs="Times New Roman" w:eastAsia="Times New Roman" w:hAnsi="Times New Roman"/>
          <w:sz w:val="16"/>
          <w:szCs w:val="16"/>
          <w:color w:val="auto"/>
        </w:rPr>
        <w:t xml:space="preserve"> To be added only if the consent of the Borrower and/or other parties (e.g. Issuing Lender) is required by the terms of the Credit Agreement.</w:t>
      </w:r>
    </w:p>
    <w:p>
      <w:pPr>
        <w:sectPr>
          <w:pgSz w:w="11900" w:h="16838" w:orient="portrait"/>
          <w:cols w:equalWidth="0" w:num="1">
            <w:col w:w="10139"/>
          </w:cols>
          <w:pgMar w:left="320" w:top="1003" w:right="1440"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2"/>
          <w:szCs w:val="22"/>
          <w:color w:val="auto"/>
        </w:rPr>
        <w:t>ANNEX 1</w:t>
      </w:r>
    </w:p>
    <w:p>
      <w:pPr>
        <w:spacing w:after="0" w:line="19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STANDARD TERMS AND CONDITIONS FOR</w:t>
      </w:r>
    </w:p>
    <w:p>
      <w:pPr>
        <w:ind w:left="3940"/>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82" w:lineRule="exact"/>
        <w:rPr>
          <w:sz w:val="20"/>
          <w:szCs w:val="20"/>
          <w:color w:val="auto"/>
        </w:rPr>
      </w:pPr>
    </w:p>
    <w:p>
      <w:pPr>
        <w:ind w:left="380" w:hanging="372"/>
        <w:spacing w:after="0"/>
        <w:tabs>
          <w:tab w:leader="none" w:pos="38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283"/>
        <w:spacing w:after="0" w:line="21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Assignor[s]</w:t>
      </w:r>
      <w:r>
        <w:rPr>
          <w:rFonts w:ascii="Times New Roman" w:cs="Times New Roman" w:eastAsia="Times New Roman" w:hAnsi="Times New Roman"/>
          <w:sz w:val="22"/>
          <w:szCs w:val="22"/>
          <w:color w:val="auto"/>
        </w:rPr>
        <w:t>. [The][Each] Assignor (a) represents and warrants that (i) it is the legal and beneficial owner of [the][the relevant] Assigned Interest, (ii) [the][such] Assigned Interest is free and clear of any lien, encumbrance or other adverse claim,</w:t>
      </w:r>
    </w:p>
    <w:p>
      <w:pPr>
        <w:spacing w:after="0" w:line="1" w:lineRule="exact"/>
        <w:rPr>
          <w:sz w:val="20"/>
          <w:szCs w:val="20"/>
          <w:color w:val="auto"/>
        </w:rPr>
      </w:pPr>
    </w:p>
    <w:p>
      <w:pPr>
        <w:jc w:val="both"/>
        <w:ind w:firstLine="8"/>
        <w:spacing w:after="0" w:line="220" w:lineRule="auto"/>
        <w:tabs>
          <w:tab w:leader="none" w:pos="393"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1" w:lineRule="exact"/>
        <w:rPr>
          <w:sz w:val="20"/>
          <w:szCs w:val="20"/>
          <w:color w:val="auto"/>
        </w:rPr>
      </w:pPr>
    </w:p>
    <w:p>
      <w:pPr>
        <w:jc w:val="both"/>
        <w:ind w:firstLine="250"/>
        <w:spacing w:after="0" w:line="217"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Assignee[s]</w:t>
      </w:r>
      <w:r>
        <w:rPr>
          <w:rFonts w:ascii="Times New Roman" w:cs="Times New Roman" w:eastAsia="Times New Roman" w:hAnsi="Times New Roman"/>
          <w:sz w:val="21"/>
          <w:szCs w:val="21"/>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13.7(b)(iii), (v) and (vi) of the Credit Agreement (subject to such consents, if any, as may be required under Section 13.7(b)(iii) or (v)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7.1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6" w:lineRule="exact"/>
        <w:rPr>
          <w:sz w:val="20"/>
          <w:szCs w:val="20"/>
          <w:color w:val="auto"/>
        </w:rPr>
      </w:pPr>
    </w:p>
    <w:p>
      <w:pPr>
        <w:jc w:val="both"/>
        <w:ind w:firstLine="258"/>
        <w:spacing w:after="0" w:line="220" w:lineRule="auto"/>
        <w:tabs>
          <w:tab w:leader="none" w:pos="66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w:t>
      </w:r>
    </w:p>
    <w:p>
      <w:pPr>
        <w:sectPr>
          <w:pgSz w:w="11900" w:h="16838" w:orient="portrait"/>
          <w:cols w:equalWidth="0" w:num="1">
            <w:col w:w="11240"/>
          </w:cols>
          <w:pgMar w:left="320" w:top="1395" w:right="339" w:bottom="1440" w:gutter="0" w:footer="0" w:header="0"/>
        </w:sectPr>
      </w:pPr>
    </w:p>
    <w:bookmarkStart w:id="222" w:name="page223"/>
    <w:bookmarkEnd w:id="222"/>
    <w:p>
      <w:pPr>
        <w:spacing w:after="0" w:line="236" w:lineRule="auto"/>
        <w:rPr>
          <w:sz w:val="20"/>
          <w:szCs w:val="20"/>
          <w:color w:val="auto"/>
        </w:rPr>
      </w:pPr>
      <w:r>
        <w:rPr>
          <w:rFonts w:ascii="Times New Roman" w:cs="Times New Roman" w:eastAsia="Times New Roman" w:hAnsi="Times New Roman"/>
          <w:sz w:val="22"/>
          <w:szCs w:val="22"/>
          <w:color w:val="auto"/>
        </w:rPr>
        <w:t>Agent shall make all payments of interest, fees or other amounts paid or payable in kind from and after the Effective Date to [the] [the relevant] Assignee.</w:t>
      </w:r>
    </w:p>
    <w:p>
      <w:pPr>
        <w:spacing w:after="0" w:line="177" w:lineRule="exact"/>
        <w:rPr>
          <w:sz w:val="20"/>
          <w:szCs w:val="20"/>
          <w:color w:val="auto"/>
        </w:rPr>
      </w:pPr>
    </w:p>
    <w:p>
      <w:pPr>
        <w:jc w:val="both"/>
        <w:ind w:firstLine="231"/>
        <w:spacing w:after="0" w:line="227" w:lineRule="auto"/>
        <w:tabs>
          <w:tab w:leader="none" w:pos="607"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Texas.</w:t>
      </w:r>
    </w:p>
    <w:p>
      <w:pPr>
        <w:sectPr>
          <w:pgSz w:w="11900" w:h="16838" w:orient="portrait"/>
          <w:cols w:equalWidth="0" w:num="1">
            <w:col w:w="11240"/>
          </w:cols>
          <w:pgMar w:left="320" w:top="1395" w:right="339" w:bottom="1440" w:gutter="0" w:footer="0" w:header="0"/>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FORM OF GUARANTY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1391" w:right="1440" w:bottom="1440" w:gutter="0" w:footer="0" w:header="0"/>
        </w:sectPr>
      </w:pPr>
    </w:p>
    <w:bookmarkStart w:id="224" w:name="page225"/>
    <w:bookmarkEnd w:id="224"/>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COMPLIANCE CERTIFICATE</w:t>
      </w:r>
    </w:p>
    <w:p>
      <w:pPr>
        <w:spacing w:after="0" w:line="18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1"/>
          <w:szCs w:val="21"/>
          <w:color w:val="auto"/>
        </w:rPr>
        <w:t>Financial Statement Date:____________</w:t>
      </w:r>
    </w:p>
    <w:p>
      <w:pPr>
        <w:spacing w:after="0" w:line="19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Royal Bank of Canada, as Administrative Agent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Reference is made to that certain Fourth Amended and Restated Credit Agreement, dated as of November 18, 2021 (as amended, restated, amended and restated, extended, supplemented or otherwise modified in writing from time to time, the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being used herein as therein defined), among MRC Energy Company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from time to time party thereto, and Royal Bank of Canada, as Administrative Agent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ind w:left="660"/>
        <w:spacing w:after="0"/>
        <w:tabs>
          <w:tab w:leader="none" w:pos="9780" w:val="left"/>
        </w:tabs>
        <w:rPr>
          <w:sz w:val="20"/>
          <w:szCs w:val="20"/>
          <w:color w:val="auto"/>
        </w:rPr>
      </w:pPr>
      <w:r>
        <w:rPr>
          <w:rFonts w:ascii="Times New Roman" w:cs="Times New Roman" w:eastAsia="Times New Roman" w:hAnsi="Times New Roman"/>
          <w:sz w:val="22"/>
          <w:szCs w:val="22"/>
          <w:color w:val="auto"/>
        </w:rPr>
        <w:t>The undersigned Responsible Officer hereby certifies as of the date hereof that he/she is the</w:t>
      </w:r>
      <w:r>
        <w:rPr>
          <w:sz w:val="20"/>
          <w:szCs w:val="20"/>
          <w:color w:val="auto"/>
        </w:rPr>
        <w:tab/>
      </w:r>
      <w:r>
        <w:rPr>
          <w:rFonts w:ascii="Times New Roman" w:cs="Times New Roman" w:eastAsia="Times New Roman" w:hAnsi="Times New Roman"/>
          <w:sz w:val="21"/>
          <w:szCs w:val="21"/>
          <w:color w:val="auto"/>
        </w:rPr>
        <w:t>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-5715</wp:posOffset>
            </wp:positionV>
            <wp:extent cx="6254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and that, as such, he/she is authorized to execute and deliver this Compliance Certificate (this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to the Administrative Agent on the behalf of the Borrower, and that: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[Use following paragraph 1 for fiscal year-end financial statements]</w:t>
      </w:r>
    </w:p>
    <w:p>
      <w:pPr>
        <w:spacing w:after="0" w:line="183" w:lineRule="exact"/>
        <w:rPr>
          <w:sz w:val="20"/>
          <w:szCs w:val="20"/>
          <w:color w:val="auto"/>
        </w:rPr>
      </w:pPr>
    </w:p>
    <w:p>
      <w:pPr>
        <w:jc w:val="both"/>
        <w:ind w:firstLine="656"/>
        <w:spacing w:after="0" w:line="225" w:lineRule="auto"/>
        <w:tabs>
          <w:tab w:leader="none" w:pos="123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are the year-end audited Consolidated financial statements of Parent and its Subsidiaries required by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of the Credit Agreement for the Fiscal Year ended as of the above date certified by an independent, nationally recognized certified public accounting firm required by such section.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[Use following paragraph 1 for fiscal quarter-end financial statements]</w:t>
      </w:r>
    </w:p>
    <w:p>
      <w:pPr>
        <w:spacing w:after="0" w:line="183" w:lineRule="exact"/>
        <w:rPr>
          <w:sz w:val="20"/>
          <w:szCs w:val="20"/>
          <w:color w:val="auto"/>
        </w:rPr>
      </w:pPr>
    </w:p>
    <w:p>
      <w:pPr>
        <w:ind w:firstLine="656"/>
        <w:spacing w:after="0" w:line="236" w:lineRule="auto"/>
        <w:tabs>
          <w:tab w:leader="none" w:pos="1122"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Attached hereto as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are the unaudited Consolidated financial statements of Parent and its Subsidiaries required by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of the Credit Agreement for the Fiscal Quarter ended as of the above date.</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Such financial statements fairly present the consolidated financial condition and results of operations of the Parent and its Subsidiaries in accordance with GAAP (except as disclosed on </w:t>
      </w:r>
      <w:r>
        <w:rPr>
          <w:rFonts w:ascii="Times New Roman" w:cs="Times New Roman" w:eastAsia="Times New Roman" w:hAnsi="Times New Roman"/>
          <w:sz w:val="22"/>
          <w:szCs w:val="22"/>
          <w:u w:val="single" w:color="auto"/>
          <w:color w:val="auto"/>
        </w:rPr>
        <w:t>Annex 1</w:t>
      </w:r>
      <w:r>
        <w:rPr>
          <w:rFonts w:ascii="Times New Roman" w:cs="Times New Roman" w:eastAsia="Times New Roman" w:hAnsi="Times New Roman"/>
          <w:sz w:val="22"/>
          <w:szCs w:val="22"/>
          <w:color w:val="auto"/>
        </w:rPr>
        <w:t xml:space="preserve"> hereto) throughout the periods reflected therein and with prior periods, provided that financial statements delivered pursuant to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are not required to include footnotes and will be subject to change for audit and year-end adjustments, including tests for impairment of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one:]</w:t>
      </w:r>
    </w:p>
    <w:p>
      <w:pPr>
        <w:spacing w:after="0" w:line="179" w:lineRule="exact"/>
        <w:rPr>
          <w:sz w:val="20"/>
          <w:szCs w:val="20"/>
          <w:color w:val="auto"/>
        </w:rPr>
      </w:pPr>
    </w:p>
    <w:p>
      <w:pPr>
        <w:ind w:left="660" w:right="340"/>
        <w:spacing w:after="0" w:line="441" w:lineRule="auto"/>
        <w:rPr>
          <w:sz w:val="20"/>
          <w:szCs w:val="20"/>
          <w:color w:val="auto"/>
        </w:rPr>
      </w:pPr>
      <w:r>
        <w:rPr>
          <w:rFonts w:ascii="Times New Roman" w:cs="Times New Roman" w:eastAsia="Times New Roman" w:hAnsi="Times New Roman"/>
          <w:sz w:val="22"/>
          <w:szCs w:val="22"/>
          <w:b w:val="1"/>
          <w:bCs w:val="1"/>
          <w:color w:val="auto"/>
        </w:rPr>
        <w:t>[to the best knowledge of the undersigned during such fiscal period, no Default has occurred and is continuing.] [The following is a list of the existing Defaults and their nature and status:]</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94" w:lineRule="exact"/>
        <w:rPr>
          <w:sz w:val="20"/>
          <w:szCs w:val="20"/>
          <w:color w:val="auto"/>
        </w:rPr>
      </w:pPr>
    </w:p>
    <w:p>
      <w:pPr>
        <w:jc w:val="both"/>
        <w:ind w:firstLine="656"/>
        <w:spacing w:after="0" w:line="214" w:lineRule="auto"/>
        <w:tabs>
          <w:tab w:leader="none" w:pos="1107"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[Except as described below,]</w:t>
      </w:r>
      <w:r>
        <w:rPr>
          <w:rFonts w:ascii="Times New Roman" w:cs="Times New Roman" w:eastAsia="Times New Roman" w:hAnsi="Times New Roman"/>
          <w:sz w:val="16"/>
          <w:szCs w:val="16"/>
          <w:b w:val="1"/>
          <w:bCs w:val="1"/>
          <w:color w:val="FF0000"/>
          <w:strike w:val="1"/>
        </w:rPr>
        <w:t>2</w:t>
      </w:r>
      <w:r>
        <w:rPr>
          <w:rFonts w:ascii="Times New Roman" w:cs="Times New Roman" w:eastAsia="Times New Roman" w:hAnsi="Times New Roman"/>
          <w:sz w:val="10"/>
          <w:szCs w:val="10"/>
          <w:b w:val="1"/>
          <w:bCs w:val="1"/>
          <w:u w:val="single" w:color="auto"/>
          <w:color w:val="0000FF"/>
        </w:rPr>
        <w:t>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representations and warranties of the Borrower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Credit Agreement or in any other Loan Document are true and correct in all material respects on and as of the date hereof, except to the extent that such representations and warranties specifically refer to an earlier date, in which case they shall be true and correct in all material respects as of such earlier date, and except that for purposes of this Certificate, the representations and warranties contained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of the Credit Agreement shall be deemed to refer to the most recent statements furnished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of the Credit Agreement, including the statements in connection with which this Certificate is delivered.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039"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financial covenant analyses and information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attached hereto are true and accurate on and as of the date of this Certificate.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undersigned has executed this Certificate as of ___________________________, ______.</w:t>
      </w:r>
    </w:p>
    <w:p>
      <w:pPr>
        <w:spacing w:after="0" w:line="1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MRC ENERGY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-5715</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22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1714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2</w:t>
      </w:r>
      <w:r>
        <w:rPr>
          <w:rFonts w:ascii="Times New Roman" w:cs="Times New Roman" w:eastAsia="Times New Roman" w:hAnsi="Times New Roman"/>
          <w:sz w:val="16"/>
          <w:szCs w:val="16"/>
          <w:b w:val="1"/>
          <w:bCs w:val="1"/>
          <w:u w:val="single" w:color="auto"/>
          <w:color w:val="0000FF"/>
        </w:rPr>
        <w:t>3</w:t>
      </w:r>
      <w:r>
        <w:rPr>
          <w:rFonts w:ascii="Times New Roman" w:cs="Times New Roman" w:eastAsia="Times New Roman" w:hAnsi="Times New Roman"/>
          <w:sz w:val="16"/>
          <w:szCs w:val="16"/>
          <w:b w:val="1"/>
          <w:bCs w:val="1"/>
          <w:color w:val="FF0000"/>
        </w:rPr>
        <w:t xml:space="preserve"> </w:t>
      </w:r>
      <w:r>
        <w:rPr>
          <w:rFonts w:ascii="Times New Roman" w:cs="Times New Roman" w:eastAsia="Times New Roman" w:hAnsi="Times New Roman"/>
          <w:sz w:val="17"/>
          <w:szCs w:val="17"/>
          <w:color w:val="000000"/>
        </w:rPr>
        <w:t>NTD: Language to be included if Matador is unable to make a representation or warranty on the date it is required to deliver a compliance certificate.</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1</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attached.</w:t>
      </w:r>
    </w:p>
    <w:p>
      <w:pPr>
        <w:sectPr>
          <w:pgSz w:w="11900" w:h="16838" w:orient="portrait"/>
          <w:cols w:equalWidth="0" w:num="1">
            <w:col w:w="9019"/>
          </w:cols>
          <w:pgMar w:left="1440" w:top="1440" w:right="1440" w:bottom="1440" w:gutter="0" w:footer="0" w:header="0"/>
          <w:type w:val="continuous"/>
        </w:sectPr>
      </w:pPr>
    </w:p>
    <w:bookmarkStart w:id="227" w:name="page228"/>
    <w:bookmarkEnd w:id="227"/>
    <w:p>
      <w:pPr>
        <w:spacing w:after="0" w:line="1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attached financial statements are in accordance with GAAP, except: [_________]</w:t>
      </w:r>
    </w:p>
    <w:p>
      <w:pPr>
        <w:sectPr>
          <w:pgSz w:w="11900" w:h="16838" w:orient="portrait"/>
          <w:cols w:equalWidth="0" w:num="1">
            <w:col w:w="10139"/>
          </w:cols>
          <w:pgMar w:left="320" w:top="1440" w:right="1440" w:bottom="1440" w:gutter="0" w:footer="0" w:header="0"/>
        </w:sectPr>
      </w:pPr>
    </w:p>
    <w:bookmarkStart w:id="228" w:name="page229"/>
    <w:bookmarkEnd w:id="22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Quarter/Year ended _________________ (“</w:t>
      </w:r>
      <w:r>
        <w:rPr>
          <w:rFonts w:ascii="Times New Roman" w:cs="Times New Roman" w:eastAsia="Times New Roman" w:hAnsi="Times New Roman"/>
          <w:sz w:val="22"/>
          <w:szCs w:val="22"/>
          <w:u w:val="single" w:color="auto"/>
          <w:color w:val="auto"/>
        </w:rPr>
        <w:t>Statement Date</w:t>
      </w:r>
      <w:r>
        <w:rPr>
          <w:rFonts w:ascii="Times New Roman" w:cs="Times New Roman" w:eastAsia="Times New Roman" w:hAnsi="Times New Roman"/>
          <w:sz w:val="22"/>
          <w:szCs w:val="22"/>
          <w:color w:val="auto"/>
        </w:rPr>
        <w:t>”)</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480" w:type="dxa"/>
            <w:vAlign w:val="bottom"/>
          </w:tcPr>
          <w:p>
            <w:pPr>
              <w:jc w:val="center"/>
              <w:ind w:right="1852"/>
              <w:spacing w:after="0"/>
              <w:rPr>
                <w:sz w:val="20"/>
                <w:szCs w:val="20"/>
                <w:color w:val="auto"/>
              </w:rPr>
            </w:pPr>
            <w:r>
              <w:rPr>
                <w:rFonts w:ascii="Times New Roman" w:cs="Times New Roman" w:eastAsia="Times New Roman" w:hAnsi="Times New Roman"/>
                <w:sz w:val="22"/>
                <w:szCs w:val="22"/>
                <w:color w:val="auto"/>
                <w:w w:val="97"/>
              </w:rPr>
              <w:t>SCHEDULE 2</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gridSpan w:val="2"/>
          </w:tcPr>
          <w:p>
            <w:pPr>
              <w:jc w:val="center"/>
              <w:ind w:right="172"/>
              <w:spacing w:after="0" w:line="216" w:lineRule="exact"/>
              <w:rPr>
                <w:sz w:val="20"/>
                <w:szCs w:val="20"/>
                <w:color w:val="auto"/>
              </w:rPr>
            </w:pPr>
            <w:r>
              <w:rPr>
                <w:rFonts w:ascii="Times New Roman" w:cs="Times New Roman" w:eastAsia="Times New Roman" w:hAnsi="Times New Roman"/>
                <w:sz w:val="22"/>
                <w:szCs w:val="22"/>
                <w:color w:val="auto"/>
                <w:w w:val="97"/>
              </w:rPr>
              <w:t>TO THE COMPLIANCE CERTIFICATE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80" w:type="dxa"/>
            <w:vAlign w:val="bottom"/>
          </w:tcPr>
          <w:p>
            <w:pPr>
              <w:jc w:val="center"/>
              <w:ind w:right="1832"/>
              <w:spacing w:after="0"/>
              <w:rPr>
                <w:sz w:val="20"/>
                <w:szCs w:val="20"/>
                <w:color w:val="auto"/>
              </w:rPr>
            </w:pPr>
            <w:r>
              <w:rPr>
                <w:rFonts w:ascii="Times New Roman" w:cs="Times New Roman" w:eastAsia="Times New Roman" w:hAnsi="Times New Roman"/>
                <w:sz w:val="22"/>
                <w:szCs w:val="22"/>
                <w:color w:val="auto"/>
                <w:w w:val="97"/>
              </w:rPr>
              <w:t>($ IN 000’S)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920" w:type="dxa"/>
            <w:vAlign w:val="bottom"/>
            <w:tcBorders>
              <w:bottom w:val="single" w:sz="8" w:color="auto"/>
            </w:tcBorders>
            <w:gridSpan w:val="6"/>
          </w:tcPr>
          <w:p>
            <w:pPr>
              <w:spacing w:after="0" w:line="237" w:lineRule="exact"/>
              <w:rPr>
                <w:sz w:val="20"/>
                <w:szCs w:val="20"/>
                <w:color w:val="auto"/>
              </w:rPr>
            </w:pPr>
            <w:r>
              <w:rPr>
                <w:rFonts w:ascii="Times New Roman" w:cs="Times New Roman" w:eastAsia="Times New Roman" w:hAnsi="Times New Roman"/>
                <w:sz w:val="22"/>
                <w:szCs w:val="22"/>
                <w:b w:val="1"/>
                <w:bCs w:val="1"/>
                <w:color w:val="auto"/>
                <w:w w:val="97"/>
              </w:rPr>
              <w:t>Total Debt to Consolidated EBITDA Ratio</w:t>
            </w:r>
          </w:p>
        </w:tc>
        <w:tc>
          <w:tcPr>
            <w:tcW w:w="34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80" w:type="dxa"/>
            <w:vAlign w:val="bottom"/>
            <w:tcBorders>
              <w:left w:val="single" w:sz="8" w:color="auto"/>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400" w:type="dxa"/>
            <w:vAlign w:val="bottom"/>
            <w:tcBorders>
              <w:right w:val="single" w:sz="8" w:color="auto"/>
            </w:tcBorders>
            <w:gridSpan w:val="7"/>
          </w:tcPr>
          <w:p>
            <w:pPr>
              <w:spacing w:after="0" w:line="250" w:lineRule="exact"/>
              <w:rPr>
                <w:sz w:val="20"/>
                <w:szCs w:val="20"/>
                <w:color w:val="auto"/>
              </w:rPr>
            </w:pPr>
            <w:r>
              <w:rPr>
                <w:rFonts w:ascii="Times New Roman" w:cs="Times New Roman" w:eastAsia="Times New Roman" w:hAnsi="Times New Roman"/>
                <w:sz w:val="22"/>
                <w:szCs w:val="22"/>
                <w:b w:val="1"/>
                <w:bCs w:val="1"/>
                <w:color w:val="auto"/>
              </w:rPr>
              <w:t>(Section 7.9(a))</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6840" w:type="dxa"/>
            <w:vAlign w:val="bottom"/>
            <w:tcBorders>
              <w:right w:val="single" w:sz="8" w:color="auto"/>
            </w:tcBorders>
            <w:gridSpan w:val="6"/>
          </w:tcPr>
          <w:p>
            <w:pPr>
              <w:ind w:left="60"/>
              <w:spacing w:after="0" w:line="196" w:lineRule="exact"/>
              <w:rPr>
                <w:sz w:val="20"/>
                <w:szCs w:val="20"/>
                <w:color w:val="auto"/>
              </w:rPr>
            </w:pPr>
            <w:r>
              <w:rPr>
                <w:rFonts w:ascii="Times New Roman" w:cs="Times New Roman" w:eastAsia="Times New Roman" w:hAnsi="Times New Roman"/>
                <w:sz w:val="22"/>
                <w:szCs w:val="22"/>
                <w:color w:val="auto"/>
              </w:rPr>
              <w:t>The amount equal to (i) total Debt of Parent and its Subsidiaries (other than</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40" w:type="dxa"/>
            <w:vAlign w:val="bottom"/>
            <w:tcBorders>
              <w:right w:val="single" w:sz="8" w:color="auto"/>
            </w:tcBorders>
            <w:gridSpan w:val="6"/>
          </w:tcPr>
          <w:p>
            <w:pPr>
              <w:ind w:left="60"/>
              <w:spacing w:after="0" w:line="216" w:lineRule="exact"/>
              <w:rPr>
                <w:sz w:val="20"/>
                <w:szCs w:val="20"/>
                <w:color w:val="auto"/>
              </w:rPr>
            </w:pPr>
            <w:r>
              <w:rPr>
                <w:rFonts w:ascii="Times New Roman" w:cs="Times New Roman" w:eastAsia="Times New Roman" w:hAnsi="Times New Roman"/>
                <w:sz w:val="22"/>
                <w:szCs w:val="22"/>
                <w:color w:val="auto"/>
              </w:rPr>
              <w:t>Unrestricted Subsidiaries) determined on a consolidated basis in accordance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6840" w:type="dxa"/>
            <w:vAlign w:val="bottom"/>
            <w:tcBorders>
              <w:right w:val="single" w:sz="8" w:color="auto"/>
            </w:tcBorders>
            <w:gridSpan w:val="6"/>
          </w:tcPr>
          <w:p>
            <w:pPr>
              <w:ind w:left="60"/>
              <w:spacing w:after="0" w:line="229" w:lineRule="exact"/>
              <w:rPr>
                <w:sz w:val="20"/>
                <w:szCs w:val="20"/>
                <w:color w:val="auto"/>
              </w:rPr>
            </w:pPr>
            <w:r>
              <w:rPr>
                <w:rFonts w:ascii="Times New Roman" w:cs="Times New Roman" w:eastAsia="Times New Roman" w:hAnsi="Times New Roman"/>
                <w:sz w:val="22"/>
                <w:szCs w:val="22"/>
                <w:color w:val="auto"/>
              </w:rPr>
              <w:t>with GAAP minus (ii) unrestricted cash and cash equivalents of the Parent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40" w:type="dxa"/>
            <w:vAlign w:val="bottom"/>
            <w:tcBorders>
              <w:right w:val="single" w:sz="8" w:color="auto"/>
            </w:tcBorders>
            <w:gridSpan w:val="2"/>
            <w:vMerge w:val="restart"/>
          </w:tcPr>
          <w:p>
            <w:pPr>
              <w:ind w:left="140"/>
              <w:spacing w:after="0" w:line="203" w:lineRule="exact"/>
              <w:rPr>
                <w:sz w:val="20"/>
                <w:szCs w:val="20"/>
                <w:color w:val="auto"/>
              </w:rPr>
            </w:pPr>
            <w:r>
              <w:rPr>
                <w:rFonts w:ascii="Times New Roman" w:cs="Times New Roman" w:eastAsia="Times New Roman" w:hAnsi="Times New Roman"/>
                <w:sz w:val="22"/>
                <w:szCs w:val="22"/>
                <w:color w:val="auto"/>
              </w:rPr>
              <w:t>(other than Unrestricted Subsidiaries) as of the last day</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700" w:type="dxa"/>
            <w:vAlign w:val="bottom"/>
            <w:gridSpan w:val="4"/>
          </w:tcPr>
          <w:p>
            <w:pPr>
              <w:ind w:left="60"/>
              <w:spacing w:after="0" w:line="183" w:lineRule="exact"/>
              <w:rPr>
                <w:sz w:val="20"/>
                <w:szCs w:val="20"/>
                <w:color w:val="auto"/>
              </w:rPr>
            </w:pPr>
            <w:r>
              <w:rPr>
                <w:rFonts w:ascii="Times New Roman" w:cs="Times New Roman" w:eastAsia="Times New Roman" w:hAnsi="Times New Roman"/>
                <w:sz w:val="21"/>
                <w:szCs w:val="21"/>
                <w:color w:val="auto"/>
                <w:w w:val="99"/>
              </w:rPr>
              <w:t>and its Subsidiaries</w:t>
            </w:r>
          </w:p>
        </w:tc>
        <w:tc>
          <w:tcPr>
            <w:tcW w:w="5140" w:type="dxa"/>
            <w:vAlign w:val="bottom"/>
            <w:tcBorders>
              <w:right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840" w:type="dxa"/>
            <w:vAlign w:val="bottom"/>
            <w:tcBorders>
              <w:right w:val="single" w:sz="8" w:color="auto"/>
            </w:tcBorders>
            <w:gridSpan w:val="6"/>
          </w:tcPr>
          <w:p>
            <w:pPr>
              <w:ind w:left="60"/>
              <w:spacing w:after="0" w:line="216" w:lineRule="exact"/>
              <w:rPr>
                <w:sz w:val="20"/>
                <w:szCs w:val="20"/>
                <w:color w:val="auto"/>
              </w:rPr>
            </w:pPr>
            <w:r>
              <w:rPr>
                <w:rFonts w:ascii="Times New Roman" w:cs="Times New Roman" w:eastAsia="Times New Roman" w:hAnsi="Times New Roman"/>
                <w:sz w:val="22"/>
                <w:szCs w:val="22"/>
                <w:color w:val="auto"/>
              </w:rPr>
              <w:t>of such Test Period; provided that the aggregate amount of cash and cash</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22"/>
                <w:szCs w:val="22"/>
                <w:color w:val="auto"/>
              </w:rPr>
              <w:t>equivalents shall not exceed $75,000,000 for purposes of this clause (ii):</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All obligations of such Person for borrowed money or evidenced by</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bonds, debentures, notes or other similar instruments (including</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120" w:type="dxa"/>
            <w:vAlign w:val="bottom"/>
            <w:tcBorders>
              <w:right w:val="single" w:sz="8" w:color="auto"/>
            </w:tcBorders>
            <w:gridSpan w:val="5"/>
            <w:vMerge w:val="restart"/>
          </w:tcPr>
          <w:p>
            <w:pPr>
              <w:ind w:left="20"/>
              <w:spacing w:after="0"/>
              <w:rPr>
                <w:sz w:val="20"/>
                <w:szCs w:val="20"/>
                <w:color w:val="auto"/>
              </w:rPr>
            </w:pPr>
            <w:r>
              <w:rPr>
                <w:rFonts w:ascii="Times New Roman" w:cs="Times New Roman" w:eastAsia="Times New Roman" w:hAnsi="Times New Roman"/>
                <w:sz w:val="22"/>
                <w:szCs w:val="22"/>
                <w:color w:val="auto"/>
              </w:rPr>
              <w:t>principal, but excluding interest, fees and charges):</w:t>
            </w:r>
          </w:p>
        </w:tc>
        <w:tc>
          <w:tcPr>
            <w:tcW w:w="1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120" w:type="dxa"/>
            <w:vAlign w:val="bottom"/>
            <w:tcBorders>
              <w:bottom w:val="single" w:sz="8" w:color="auto"/>
              <w:right w:val="single" w:sz="8" w:color="auto"/>
            </w:tcBorders>
            <w:gridSpan w:val="5"/>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All obligations of such Person (whether contingent or otherwise) in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respect of bankers’ acceptances, letters of credit, surety or other</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120" w:type="dxa"/>
            <w:vAlign w:val="bottom"/>
            <w:tcBorders>
              <w:right w:val="single" w:sz="8" w:color="auto"/>
            </w:tcBorders>
            <w:gridSpan w:val="5"/>
            <w:vMerge w:val="restart"/>
          </w:tcPr>
          <w:p>
            <w:pPr>
              <w:ind w:left="20"/>
              <w:spacing w:after="0"/>
              <w:rPr>
                <w:sz w:val="20"/>
                <w:szCs w:val="20"/>
                <w:color w:val="auto"/>
              </w:rPr>
            </w:pPr>
            <w:r>
              <w:rPr>
                <w:rFonts w:ascii="Times New Roman" w:cs="Times New Roman" w:eastAsia="Times New Roman" w:hAnsi="Times New Roman"/>
                <w:sz w:val="22"/>
                <w:szCs w:val="22"/>
                <w:color w:val="auto"/>
              </w:rPr>
              <w:t>bonds and similar instruments:</w:t>
            </w:r>
          </w:p>
        </w:tc>
        <w:tc>
          <w:tcPr>
            <w:tcW w:w="1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120" w:type="dxa"/>
            <w:vAlign w:val="bottom"/>
            <w:tcBorders>
              <w:bottom w:val="single" w:sz="8" w:color="auto"/>
              <w:right w:val="single" w:sz="8" w:color="auto"/>
            </w:tcBorders>
            <w:gridSpan w:val="5"/>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All obligations of such Person to pay the deferred purchase price of</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property or services (other than for borrowed money and other than</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accounts payable (for the deferred purchase price of property or</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services) from time to time incurred in the ordinary course of</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business which, if greater than ninety (90) days past the invoice or</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billing  date,  are  being  contested  in  good  faith  by  appropriate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w w:val="99"/>
              </w:rPr>
              <w:t>proceedings and for which reserves adequate under GAAP shall have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8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6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been established therefor):</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29" w:name="page230"/>
    <w:bookmarkEnd w:id="229"/>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880" w:type="dxa"/>
            <w:vAlign w:val="bottom"/>
            <w:tcBorders>
              <w:top w:val="single" w:sz="8" w:color="auto"/>
              <w:left w:val="single" w:sz="8" w:color="auto"/>
              <w:right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612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All obligations under leases which shall have been, or should have</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w w:val="99"/>
              </w:rPr>
              <w:t>been, in accordance with GAAP, recorded as capital leases in respect</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of which such Person is liable (whether contingent or otherwise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including principal but excluding interest, fees and charges):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80" w:type="dxa"/>
            <w:vAlign w:val="bottom"/>
            <w:tcBorders>
              <w:left w:val="single" w:sz="8" w:color="auto"/>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160" w:type="dxa"/>
            <w:vAlign w:val="bottom"/>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All obligations under operating leases which require such Person or</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its Affiliate to make payments over the term of such lease, including</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payments at termination, based on the purchase price or appraisal</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value of the Property subject to such lease plus a marginal interest</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rate, and used primarily as a financing vehicle for, or to monetize,</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80" w:type="dxa"/>
            <w:vAlign w:val="bottom"/>
            <w:tcBorders>
              <w:left w:val="single" w:sz="8" w:color="auto"/>
              <w:right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61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2"/>
                <w:szCs w:val="22"/>
                <w:color w:val="auto"/>
              </w:rPr>
              <w:t>such Property:</w:t>
            </w:r>
          </w:p>
        </w:tc>
        <w:tc>
          <w:tcPr>
            <w:tcW w:w="1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All Debt (as described in the other clauses of this certificate) of</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others secured by a Lien on any asset of such Person, whether or not</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such Debt is assumed by such Person, but valued at the lesser of (x)</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w w:val="99"/>
              </w:rPr>
              <w:t>the amount of such Debt and (y) the fair market value of the property</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88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61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2"/>
                <w:szCs w:val="22"/>
                <w:color w:val="auto"/>
              </w:rPr>
              <w:t>securing such Debt:</w:t>
            </w:r>
          </w:p>
        </w:tc>
        <w:tc>
          <w:tcPr>
            <w:tcW w:w="16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All Debt (as described in the other clauses of this certificate) and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other obligations of others guaranteed by such Person or in which</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such Person otherwise assures a creditor against loss of the debtor or</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80" w:type="dxa"/>
            <w:vAlign w:val="bottom"/>
            <w:tcBorders>
              <w:left w:val="single" w:sz="8" w:color="auto"/>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61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2"/>
                <w:szCs w:val="22"/>
                <w:color w:val="auto"/>
              </w:rPr>
              <w:t>obligations of others:</w:t>
            </w: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88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right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w w:val="98"/>
              </w:rPr>
              <w:t>All obligations or undertakings of such Person to maintain or cause to</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be maintained the financial position or covenants of others or to</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80" w:type="dxa"/>
            <w:vAlign w:val="bottom"/>
            <w:tcBorders>
              <w:left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1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2"/>
                <w:szCs w:val="22"/>
                <w:color w:val="auto"/>
              </w:rPr>
              <w:t>purchase the Debt of others:</w:t>
            </w:r>
          </w:p>
        </w:tc>
        <w:tc>
          <w:tcPr>
            <w:tcW w:w="1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120" w:type="dxa"/>
            <w:vAlign w:val="bottom"/>
            <w:tcBorders>
              <w:bottom w:val="single" w:sz="8" w:color="auto"/>
              <w:right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3"/>
          </w:tcPr>
          <w:p>
            <w:pPr>
              <w:ind w:left="60"/>
              <w:spacing w:after="0" w:line="199" w:lineRule="exact"/>
              <w:rPr>
                <w:sz w:val="20"/>
                <w:szCs w:val="20"/>
                <w:color w:val="auto"/>
              </w:rPr>
            </w:pPr>
            <w:r>
              <w:rPr>
                <w:rFonts w:ascii="Times New Roman" w:cs="Times New Roman" w:eastAsia="Times New Roman" w:hAnsi="Times New Roman"/>
                <w:sz w:val="22"/>
                <w:szCs w:val="22"/>
                <w:color w:val="auto"/>
              </w:rPr>
              <w:t>Obligations to deliver or sell Hydrocarbons in consideration of</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3360" w:type="dxa"/>
            <w:vAlign w:val="bottom"/>
          </w:tcPr>
          <w:p>
            <w:pPr>
              <w:ind w:left="60"/>
              <w:spacing w:after="0" w:line="229" w:lineRule="exact"/>
              <w:rPr>
                <w:sz w:val="20"/>
                <w:szCs w:val="20"/>
                <w:color w:val="auto"/>
              </w:rPr>
            </w:pPr>
            <w:r>
              <w:rPr>
                <w:rFonts w:ascii="Times New Roman" w:cs="Times New Roman" w:eastAsia="Times New Roman" w:hAnsi="Times New Roman"/>
                <w:sz w:val="22"/>
                <w:szCs w:val="22"/>
                <w:color w:val="auto"/>
              </w:rPr>
              <w:t>advance payments, as disclosed by</w:t>
            </w:r>
          </w:p>
        </w:tc>
        <w:tc>
          <w:tcPr>
            <w:tcW w:w="112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w w:val="99"/>
              </w:rPr>
              <w:t>Section 7.15</w:t>
            </w:r>
          </w:p>
        </w:tc>
        <w:tc>
          <w:tcPr>
            <w:tcW w:w="1640" w:type="dxa"/>
            <w:vAlign w:val="bottom"/>
            <w:tcBorders>
              <w:right w:val="single" w:sz="8" w:color="auto"/>
            </w:tcBorders>
          </w:tcPr>
          <w:p>
            <w:pPr>
              <w:spacing w:after="0" w:line="229" w:lineRule="exact"/>
              <w:rPr>
                <w:sz w:val="20"/>
                <w:szCs w:val="20"/>
                <w:color w:val="auto"/>
              </w:rPr>
            </w:pPr>
            <w:r>
              <w:rPr>
                <w:rFonts w:ascii="Times New Roman" w:cs="Times New Roman" w:eastAsia="Times New Roman" w:hAnsi="Times New Roman"/>
                <w:sz w:val="22"/>
                <w:szCs w:val="22"/>
                <w:color w:val="auto"/>
              </w:rPr>
              <w:t>(c) of the Credit</w:t>
            </w:r>
          </w:p>
        </w:tc>
        <w:tc>
          <w:tcPr>
            <w:tcW w:w="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auto"/>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3360" w:type="dxa"/>
            <w:vAlign w:val="bottom"/>
            <w:vMerge w:val="restart"/>
          </w:tcPr>
          <w:p>
            <w:pPr>
              <w:ind w:left="60"/>
              <w:spacing w:after="0" w:line="250" w:lineRule="exact"/>
              <w:rPr>
                <w:sz w:val="20"/>
                <w:szCs w:val="20"/>
                <w:color w:val="auto"/>
              </w:rPr>
            </w:pPr>
            <w:r>
              <w:rPr>
                <w:rFonts w:ascii="Times New Roman" w:cs="Times New Roman" w:eastAsia="Times New Roman" w:hAnsi="Times New Roman"/>
                <w:sz w:val="22"/>
                <w:szCs w:val="22"/>
                <w:color w:val="auto"/>
              </w:rPr>
              <w:t>Agreement:</w:t>
            </w:r>
          </w:p>
        </w:tc>
        <w:tc>
          <w:tcPr>
            <w:tcW w:w="112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Any Disqualified Equity Interests: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80" w:type="dxa"/>
            <w:vAlign w:val="bottom"/>
            <w:tcBorders>
              <w:left w:val="single" w:sz="8" w:color="auto"/>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3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w w:val="98"/>
              </w:rPr>
              <w:t>The undischarged balance of any production payment created by such</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Person or for the creation of which such Person directly or indirectly</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80" w:type="dxa"/>
            <w:vAlign w:val="bottom"/>
            <w:tcBorders>
              <w:left w:val="single" w:sz="8" w:color="auto"/>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1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2"/>
                <w:szCs w:val="22"/>
                <w:color w:val="auto"/>
              </w:rPr>
              <w:t>received payment:</w:t>
            </w:r>
          </w:p>
        </w:tc>
        <w:tc>
          <w:tcPr>
            <w:tcW w:w="1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120" w:type="dxa"/>
            <w:vAlign w:val="bottom"/>
            <w:tcBorders>
              <w:bottom w:val="single" w:sz="8" w:color="auto"/>
              <w:right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30" w:name="page231"/>
    <w:bookmarkEnd w:id="230"/>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880" w:type="dxa"/>
            <w:vAlign w:val="bottom"/>
            <w:tcBorders>
              <w:top w:val="single" w:sz="8" w:color="auto"/>
              <w:left w:val="single" w:sz="8" w:color="auto"/>
              <w:right w:val="single" w:sz="8" w:color="auto"/>
            </w:tcBorders>
          </w:tcPr>
          <w:p>
            <w:pPr>
              <w:spacing w:after="0"/>
              <w:rPr>
                <w:sz w:val="18"/>
                <w:szCs w:val="18"/>
                <w:color w:val="auto"/>
              </w:rPr>
            </w:pPr>
          </w:p>
        </w:tc>
        <w:tc>
          <w:tcPr>
            <w:tcW w:w="62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6120" w:type="dxa"/>
            <w:vAlign w:val="bottom"/>
            <w:tcBorders>
              <w:top w:val="single" w:sz="8" w:color="auto"/>
              <w:right w:val="single" w:sz="8" w:color="auto"/>
            </w:tcBorders>
            <w:gridSpan w:val="9"/>
          </w:tcPr>
          <w:p>
            <w:pPr>
              <w:ind w:left="60"/>
              <w:spacing w:after="0" w:line="216" w:lineRule="exact"/>
              <w:rPr>
                <w:sz w:val="20"/>
                <w:szCs w:val="20"/>
                <w:color w:val="auto"/>
              </w:rPr>
            </w:pPr>
            <w:r>
              <w:rPr>
                <w:rFonts w:ascii="Times New Roman" w:cs="Times New Roman" w:eastAsia="Times New Roman" w:hAnsi="Times New Roman"/>
                <w:sz w:val="22"/>
                <w:szCs w:val="22"/>
                <w:color w:val="auto"/>
              </w:rPr>
              <w:t>Total of Lines A.2 + A.3 + A.4 + A.5 + A.6 + A.7 + A.8 + A.9 +</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260" w:type="dxa"/>
            <w:vAlign w:val="bottom"/>
          </w:tcPr>
          <w:p>
            <w:pPr>
              <w:ind w:left="60"/>
              <w:spacing w:after="0" w:line="223" w:lineRule="exact"/>
              <w:rPr>
                <w:sz w:val="20"/>
                <w:szCs w:val="20"/>
                <w:color w:val="auto"/>
              </w:rPr>
            </w:pPr>
            <w:r>
              <w:rPr>
                <w:rFonts w:ascii="Times New Roman" w:cs="Times New Roman" w:eastAsia="Times New Roman" w:hAnsi="Times New Roman"/>
                <w:sz w:val="22"/>
                <w:szCs w:val="22"/>
                <w:color w:val="auto"/>
              </w:rPr>
              <w:t>A.10 + A.11,</w:t>
            </w:r>
          </w:p>
        </w:tc>
        <w:tc>
          <w:tcPr>
            <w:tcW w:w="520" w:type="dxa"/>
            <w:vAlign w:val="bottom"/>
            <w:tcBorders>
              <w:bottom w:val="single" w:sz="8" w:color="auto"/>
            </w:tcBorders>
            <w:gridSpan w:val="2"/>
          </w:tcPr>
          <w:p>
            <w:pPr>
              <w:spacing w:after="0" w:line="209" w:lineRule="exact"/>
              <w:rPr>
                <w:sz w:val="20"/>
                <w:szCs w:val="20"/>
                <w:color w:val="auto"/>
              </w:rPr>
            </w:pPr>
            <w:r>
              <w:rPr>
                <w:rFonts w:ascii="Times New Roman" w:cs="Times New Roman" w:eastAsia="Times New Roman" w:hAnsi="Times New Roman"/>
                <w:sz w:val="22"/>
                <w:szCs w:val="22"/>
                <w:color w:val="auto"/>
                <w:w w:val="92"/>
              </w:rPr>
              <w:t>minus</w:t>
            </w:r>
          </w:p>
        </w:tc>
        <w:tc>
          <w:tcPr>
            <w:tcW w:w="4340" w:type="dxa"/>
            <w:vAlign w:val="bottom"/>
            <w:tcBorders>
              <w:right w:val="single" w:sz="8" w:color="auto"/>
            </w:tcBorders>
            <w:gridSpan w:val="6"/>
          </w:tcPr>
          <w:p>
            <w:pPr>
              <w:jc w:val="right"/>
              <w:ind w:right="1212"/>
              <w:spacing w:after="0" w:line="223" w:lineRule="exact"/>
              <w:rPr>
                <w:sz w:val="20"/>
                <w:szCs w:val="20"/>
                <w:color w:val="auto"/>
              </w:rPr>
            </w:pPr>
            <w:r>
              <w:rPr>
                <w:rFonts w:ascii="Times New Roman" w:cs="Times New Roman" w:eastAsia="Times New Roman" w:hAnsi="Times New Roman"/>
                <w:sz w:val="22"/>
                <w:szCs w:val="22"/>
                <w:color w:val="auto"/>
                <w:w w:val="98"/>
              </w:rPr>
              <w:t>$1,000,000, but not less than zero:</w:t>
            </w:r>
          </w:p>
        </w:tc>
        <w:tc>
          <w:tcPr>
            <w:tcW w:w="1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Borders>
              <w:left w:val="single" w:sz="8" w:color="auto"/>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9"/>
          </w:tcPr>
          <w:p>
            <w:pPr>
              <w:ind w:left="20"/>
              <w:spacing w:after="0" w:line="209" w:lineRule="exact"/>
              <w:rPr>
                <w:sz w:val="20"/>
                <w:szCs w:val="20"/>
                <w:color w:val="auto"/>
              </w:rPr>
            </w:pPr>
            <w:r>
              <w:rPr>
                <w:rFonts w:ascii="Times New Roman" w:cs="Times New Roman" w:eastAsia="Times New Roman" w:hAnsi="Times New Roman"/>
                <w:sz w:val="22"/>
                <w:szCs w:val="22"/>
                <w:color w:val="auto"/>
              </w:rPr>
              <w:t>Total Debt of Parent and its Subsidiaries (other than Unrestricted</w:t>
            </w: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rPr>
              <w:t>Subsidiaries) (Lines A.1 + A.12):</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9"/>
          </w:tcPr>
          <w:p>
            <w:pPr>
              <w:ind w:left="60"/>
              <w:spacing w:after="0" w:line="209" w:lineRule="exact"/>
              <w:rPr>
                <w:sz w:val="20"/>
                <w:szCs w:val="20"/>
                <w:color w:val="auto"/>
              </w:rPr>
            </w:pPr>
            <w:r>
              <w:rPr>
                <w:rFonts w:ascii="Times New Roman" w:cs="Times New Roman" w:eastAsia="Times New Roman" w:hAnsi="Times New Roman"/>
                <w:sz w:val="22"/>
                <w:szCs w:val="22"/>
                <w:color w:val="auto"/>
              </w:rPr>
              <w:t>Unrestricted  cash  and  cash  equivalents  of  the  Parent  and  its</w:t>
            </w: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80" w:type="dxa"/>
            <w:vAlign w:val="bottom"/>
            <w:tcBorders>
              <w:left w:val="single" w:sz="8" w:color="auto"/>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gridSpan w:val="9"/>
          </w:tcPr>
          <w:p>
            <w:pPr>
              <w:ind w:left="60"/>
              <w:spacing w:after="0" w:line="183" w:lineRule="exact"/>
              <w:rPr>
                <w:sz w:val="20"/>
                <w:szCs w:val="20"/>
                <w:color w:val="auto"/>
              </w:rPr>
            </w:pPr>
            <w:r>
              <w:rPr>
                <w:rFonts w:ascii="Times New Roman" w:cs="Times New Roman" w:eastAsia="Times New Roman" w:hAnsi="Times New Roman"/>
                <w:sz w:val="21"/>
                <w:szCs w:val="21"/>
                <w:color w:val="auto"/>
              </w:rPr>
              <w:t>Subsidiaries (other than Unrestricted Subsidiaries) as of the last day</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80" w:type="dxa"/>
            <w:vAlign w:val="bottom"/>
            <w:tcBorders>
              <w:left w:val="single" w:sz="8" w:color="auto"/>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72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2"/>
                <w:szCs w:val="22"/>
                <w:color w:val="auto"/>
                <w:w w:val="96"/>
              </w:rPr>
              <w:t>of such Test Period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FF0000"/>
                <w:strike w:val="1"/>
                <w:w w:val="87"/>
              </w:rPr>
              <w:t>13</w:t>
            </w:r>
          </w:p>
        </w:tc>
        <w:tc>
          <w:tcPr>
            <w:tcW w:w="380" w:type="dxa"/>
            <w:vAlign w:val="bottom"/>
            <w:gridSpan w:val="3"/>
          </w:tcPr>
          <w:p>
            <w:pPr>
              <w:jc w:val="right"/>
              <w:ind w:right="10"/>
              <w:spacing w:after="0" w:line="230" w:lineRule="exact"/>
              <w:rPr>
                <w:sz w:val="20"/>
                <w:szCs w:val="20"/>
                <w:color w:val="auto"/>
              </w:rPr>
            </w:pPr>
            <w:r>
              <w:rPr>
                <w:rFonts w:ascii="Times New Roman" w:cs="Times New Roman" w:eastAsia="Times New Roman" w:hAnsi="Times New Roman"/>
                <w:sz w:val="15"/>
                <w:szCs w:val="15"/>
                <w:color w:val="0000FF"/>
                <w:w w:val="91"/>
              </w:rPr>
              <w:t>1</w:t>
            </w:r>
            <w:r>
              <w:rPr>
                <w:rFonts w:ascii="Times New Roman" w:cs="Times New Roman" w:eastAsia="Times New Roman" w:hAnsi="Times New Roman"/>
                <w:sz w:val="20"/>
                <w:szCs w:val="20"/>
                <w:color w:val="000000"/>
                <w:w w:val="91"/>
              </w:rPr>
              <w:t>:</w:t>
            </w:r>
            <w:r>
              <w:rPr>
                <w:rFonts w:ascii="Times New Roman" w:cs="Times New Roman" w:eastAsia="Times New Roman" w:hAnsi="Times New Roman"/>
                <w:sz w:val="26"/>
                <w:szCs w:val="26"/>
                <w:color w:val="000000"/>
                <w:w w:val="91"/>
                <w:vertAlign w:val="superscript"/>
              </w:rPr>
              <w:t>14</w:t>
            </w:r>
          </w:p>
        </w:tc>
        <w:tc>
          <w:tcPr>
            <w:tcW w:w="80" w:type="dxa"/>
            <w:vAlign w:val="bottom"/>
          </w:tcPr>
          <w:p>
            <w:pPr>
              <w:spacing w:after="0"/>
              <w:rPr>
                <w:sz w:val="19"/>
                <w:szCs w:val="19"/>
                <w:color w:val="auto"/>
              </w:rPr>
            </w:pPr>
          </w:p>
        </w:tc>
        <w:tc>
          <w:tcPr>
            <w:tcW w:w="37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9"/>
          </w:tcPr>
          <w:p>
            <w:pPr>
              <w:ind w:left="20"/>
              <w:spacing w:after="0" w:line="209" w:lineRule="exact"/>
              <w:rPr>
                <w:sz w:val="20"/>
                <w:szCs w:val="20"/>
                <w:color w:val="auto"/>
              </w:rPr>
            </w:pPr>
            <w:r>
              <w:rPr>
                <w:rFonts w:ascii="Times New Roman" w:cs="Times New Roman" w:eastAsia="Times New Roman" w:hAnsi="Times New Roman"/>
                <w:sz w:val="22"/>
                <w:szCs w:val="22"/>
                <w:color w:val="auto"/>
              </w:rPr>
              <w:t>The net amount of Total Debt of Parent and its Subsidiaries (other</w:t>
            </w: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rPr>
              <w:t>than Unrestricted Subsidiaries) (Lines A.13 - A.14):</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22"/>
                <w:szCs w:val="22"/>
                <w:color w:val="auto"/>
              </w:rPr>
              <w:t>Consolidated  EBITDA  of  the  Parent  and  its  Subsidiaries  (other  than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10"/>
          </w:tcPr>
          <w:p>
            <w:pPr>
              <w:ind w:left="20"/>
              <w:spacing w:after="0"/>
              <w:rPr>
                <w:sz w:val="20"/>
                <w:szCs w:val="20"/>
                <w:color w:val="auto"/>
              </w:rPr>
            </w:pPr>
            <w:r>
              <w:rPr>
                <w:rFonts w:ascii="Times New Roman" w:cs="Times New Roman" w:eastAsia="Times New Roman" w:hAnsi="Times New Roman"/>
                <w:sz w:val="22"/>
                <w:szCs w:val="22"/>
                <w:color w:val="auto"/>
              </w:rPr>
              <w:t>Unrestricted Subsidiaries) for such Test Period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9"/>
          </w:tcPr>
          <w:p>
            <w:pPr>
              <w:ind w:left="60"/>
              <w:spacing w:after="0" w:line="196" w:lineRule="exact"/>
              <w:rPr>
                <w:sz w:val="20"/>
                <w:szCs w:val="20"/>
                <w:color w:val="auto"/>
              </w:rPr>
            </w:pPr>
            <w:r>
              <w:rPr>
                <w:rFonts w:ascii="Times New Roman" w:cs="Times New Roman" w:eastAsia="Times New Roman" w:hAnsi="Times New Roman"/>
                <w:sz w:val="22"/>
                <w:szCs w:val="22"/>
                <w:color w:val="auto"/>
              </w:rPr>
              <w:t>Consolidated Net Income (the consolidated net income (or loss) of</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9"/>
          </w:tcPr>
          <w:p>
            <w:pPr>
              <w:ind w:left="60"/>
              <w:spacing w:after="0" w:line="216" w:lineRule="exact"/>
              <w:rPr>
                <w:sz w:val="20"/>
                <w:szCs w:val="20"/>
                <w:color w:val="auto"/>
              </w:rPr>
            </w:pPr>
            <w:r>
              <w:rPr>
                <w:rFonts w:ascii="Times New Roman" w:cs="Times New Roman" w:eastAsia="Times New Roman" w:hAnsi="Times New Roman"/>
                <w:sz w:val="22"/>
                <w:szCs w:val="22"/>
                <w:color w:val="auto"/>
              </w:rPr>
              <w:t>Parent and its Subsidiaries, determined on a consolidated basis in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0" w:type="dxa"/>
            <w:vAlign w:val="bottom"/>
            <w:tcBorders>
              <w:left w:val="single" w:sz="8" w:color="auto"/>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2120" w:type="dxa"/>
            <w:vAlign w:val="bottom"/>
            <w:gridSpan w:val="6"/>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accordance with GAAP</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FF0000"/>
                <w:strike w:val="1"/>
                <w:w w:val="85"/>
              </w:rPr>
              <w:t>14</w:t>
            </w:r>
          </w:p>
        </w:tc>
        <w:tc>
          <w:tcPr>
            <w:tcW w:w="8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4"/>
                <w:szCs w:val="14"/>
                <w:color w:val="0000FF"/>
                <w:w w:val="85"/>
              </w:rPr>
              <w:t>1</w:t>
            </w:r>
          </w:p>
        </w:tc>
        <w:tc>
          <w:tcPr>
            <w:tcW w:w="3780" w:type="dxa"/>
            <w:vAlign w:val="bottom"/>
            <w:tcBorders>
              <w:right w:val="single" w:sz="8" w:color="auto"/>
            </w:tcBorders>
            <w:vMerge w:val="restart"/>
          </w:tcPr>
          <w:p>
            <w:pPr>
              <w:jc w:val="right"/>
              <w:ind w:right="3412"/>
              <w:spacing w:after="0" w:line="284" w:lineRule="exact"/>
              <w:rPr>
                <w:sz w:val="20"/>
                <w:szCs w:val="20"/>
                <w:color w:val="auto"/>
              </w:rPr>
            </w:pPr>
            <w:r>
              <w:rPr>
                <w:rFonts w:ascii="Times New Roman" w:cs="Times New Roman" w:eastAsia="Times New Roman" w:hAnsi="Times New Roman"/>
                <w:sz w:val="22"/>
                <w:szCs w:val="22"/>
                <w:color w:val="auto"/>
                <w:w w:val="74"/>
              </w:rPr>
              <w:t>):</w:t>
            </w:r>
            <w:r>
              <w:rPr>
                <w:rFonts w:ascii="Times New Roman" w:cs="Times New Roman" w:eastAsia="Times New Roman" w:hAnsi="Times New Roman"/>
                <w:sz w:val="28"/>
                <w:szCs w:val="28"/>
                <w:color w:val="auto"/>
                <w:w w:val="74"/>
                <w:vertAlign w:val="superscript"/>
              </w:rPr>
              <w:t>15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880" w:type="dxa"/>
            <w:vAlign w:val="bottom"/>
            <w:tcBorders>
              <w:left w:val="single" w:sz="8" w:color="auto"/>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2120" w:type="dxa"/>
            <w:vAlign w:val="bottom"/>
            <w:gridSpan w:val="6"/>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780" w:type="dxa"/>
            <w:vAlign w:val="bottom"/>
            <w:tcBorders>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w w:val="99"/>
              </w:rPr>
              <w:t>Interest, taxes, depreciation, depletion, amortization, and accretion of</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rPr>
              <w:t>asset retirement obligations (to the extent such expenses or charges</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w w:val="99"/>
              </w:rPr>
              <w:t>have been deducted from Consolidated Net Income for the applicable</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80" w:type="dxa"/>
            <w:vAlign w:val="bottom"/>
            <w:tcBorders>
              <w:left w:val="single" w:sz="8" w:color="auto"/>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6120" w:type="dxa"/>
            <w:vAlign w:val="bottom"/>
            <w:tcBorders>
              <w:right w:val="single" w:sz="8" w:color="auto"/>
            </w:tcBorders>
            <w:gridSpan w:val="9"/>
            <w:vMerge w:val="restart"/>
          </w:tcPr>
          <w:p>
            <w:pPr>
              <w:ind w:left="20"/>
              <w:spacing w:after="0"/>
              <w:rPr>
                <w:sz w:val="20"/>
                <w:szCs w:val="20"/>
                <w:color w:val="auto"/>
              </w:rPr>
            </w:pPr>
            <w:r>
              <w:rPr>
                <w:rFonts w:ascii="Times New Roman" w:cs="Times New Roman" w:eastAsia="Times New Roman" w:hAnsi="Times New Roman"/>
                <w:sz w:val="22"/>
                <w:szCs w:val="22"/>
                <w:color w:val="auto"/>
              </w:rPr>
              <w:t>period):</w:t>
            </w: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88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right w:val="single" w:sz="8" w:color="auto"/>
            </w:tcBorders>
            <w:gridSpan w:val="9"/>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rPr>
              <w:t>Any non-cash revenue or expense associated with hedging contracts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w w:val="98"/>
              </w:rPr>
              <w:t>resulting from ASC Topic 815 and any non-cash income, gain, loss or</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w w:val="99"/>
              </w:rPr>
              <w:t>expense arising from the issuance of stock options or restricted stock,</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22"/>
                <w:szCs w:val="22"/>
                <w:color w:val="auto"/>
              </w:rPr>
              <w:t>to the extent such items are included in Consolidated Net Income: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80" w:type="dxa"/>
            <w:vAlign w:val="bottom"/>
            <w:tcBorders>
              <w:left w:val="single" w:sz="8" w:color="auto"/>
              <w:righ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80" w:type="dxa"/>
            <w:vAlign w:val="bottom"/>
            <w:tcBorders>
              <w:right w:val="single" w:sz="8" w:color="auto"/>
            </w:tcBorders>
          </w:tcPr>
          <w:p>
            <w:pPr>
              <w:spacing w:after="0"/>
              <w:rPr>
                <w:sz w:val="7"/>
                <w:szCs w:val="7"/>
                <w:color w:val="auto"/>
              </w:rPr>
            </w:pPr>
          </w:p>
        </w:tc>
        <w:tc>
          <w:tcPr>
            <w:tcW w:w="160" w:type="dxa"/>
            <w:vAlign w:val="bottom"/>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714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FF0000"/>
          <w:strike w:val="1"/>
        </w:rPr>
        <w:t>13</w:t>
      </w:r>
      <w:r>
        <w:rPr>
          <w:rFonts w:ascii="Times New Roman" w:cs="Times New Roman" w:eastAsia="Times New Roman" w:hAnsi="Times New Roman"/>
          <w:sz w:val="16"/>
          <w:szCs w:val="16"/>
          <w:u w:val="single" w:color="auto"/>
          <w:color w:val="0000FF"/>
        </w:rPr>
        <w:t>14</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7"/>
          <w:szCs w:val="17"/>
          <w:color w:val="000000"/>
        </w:rPr>
        <w:t>Provided that the aggregate amount of cash and cash equivalents shall not exceed $75,000,000</w:t>
      </w:r>
    </w:p>
    <w:p>
      <w:pPr>
        <w:ind w:right="220"/>
        <w:spacing w:after="0" w:line="185" w:lineRule="auto"/>
        <w:rPr>
          <w:sz w:val="20"/>
          <w:szCs w:val="20"/>
          <w:color w:val="auto"/>
        </w:rPr>
      </w:pPr>
      <w:r>
        <w:rPr>
          <w:rFonts w:ascii="Times New Roman" w:cs="Times New Roman" w:eastAsia="Times New Roman" w:hAnsi="Times New Roman"/>
          <w:sz w:val="28"/>
          <w:szCs w:val="28"/>
          <w:color w:val="FF0000"/>
          <w:vertAlign w:val="superscript"/>
        </w:rPr>
        <w:t>14</w:t>
      </w:r>
      <w:r>
        <w:rPr>
          <w:rFonts w:ascii="Times New Roman" w:cs="Times New Roman" w:eastAsia="Times New Roman" w:hAnsi="Times New Roman"/>
          <w:sz w:val="28"/>
          <w:szCs w:val="28"/>
          <w:u w:val="single" w:color="auto"/>
          <w:color w:val="0000FF"/>
          <w:vertAlign w:val="superscript"/>
        </w:rPr>
        <w:t>15</w:t>
      </w:r>
      <w:r>
        <w:rPr>
          <w:rFonts w:ascii="Times New Roman" w:cs="Times New Roman" w:eastAsia="Times New Roman" w:hAnsi="Times New Roman"/>
          <w:sz w:val="18"/>
          <w:szCs w:val="18"/>
          <w:color w:val="auto"/>
        </w:rPr>
        <w:t>Provided that there shall be excluded from such net income (to the extent otherwise included therein) the following: (a) the net income of (i) any Unrestricted Subsidiary and (ii) any Person in which Parent or any of its Subsidiaries has an interest which interest does not cause the net income of such other Person to be consolidated with the net income of Parent and its Subsidiaries in accordance with GAAP, in each case, except to the extent of the</w:t>
      </w:r>
    </w:p>
    <w:p>
      <w:pPr>
        <w:spacing w:after="0" w:line="1"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amount of dividends or distributions actually paid in cash in such period by such Unrestricted Subsidiary or such other Person to Parent or to any of its Subsidiaries (other than an Unrestricted Subsidiary), as the case may be; (b) any extraordinary gains or losses, including gains or losses attributable to property sales not in the ordinary course of business; and (c) the cumulative effect of a change in accounting principles and any gains or losses attributable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writeups or write downs of assets or any full cost ceiling impairment.</w:t>
      </w:r>
    </w:p>
    <w:p>
      <w:pPr>
        <w:sectPr>
          <w:pgSz w:w="11900" w:h="16838" w:orient="portrait"/>
          <w:cols w:equalWidth="0" w:num="1">
            <w:col w:w="11260"/>
          </w:cols>
          <w:pgMar w:left="320" w:top="1440" w:right="319" w:bottom="1440" w:gutter="0" w:footer="0" w:header="0"/>
        </w:sectPr>
      </w:pPr>
    </w:p>
    <w:bookmarkStart w:id="231" w:name="page232"/>
    <w:bookmarkEnd w:id="231"/>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880" w:type="dxa"/>
            <w:vAlign w:val="bottom"/>
            <w:tcBorders>
              <w:top w:val="single" w:sz="8" w:color="auto"/>
              <w:left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612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Any other non-cash charges (excluding accruals for cash expenses</w:t>
            </w:r>
          </w:p>
        </w:tc>
        <w:tc>
          <w:tcPr>
            <w:tcW w:w="1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w w:val="72"/>
              </w:rPr>
              <w:t>$</w:t>
            </w:r>
          </w:p>
        </w:tc>
        <w:tc>
          <w:tcPr>
            <w:tcW w:w="640" w:type="dxa"/>
            <w:vAlign w:val="bottom"/>
            <w:tcBorders>
              <w:top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8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22"/>
                <w:szCs w:val="22"/>
                <w:color w:val="auto"/>
              </w:rPr>
              <w:t>made in the ordinary course of business) or non-cash gains:</w:t>
            </w:r>
          </w:p>
        </w:tc>
        <w:tc>
          <w:tcPr>
            <w:tcW w:w="16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880" w:type="dxa"/>
            <w:vAlign w:val="bottom"/>
            <w:tcBorders>
              <w:left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6120" w:type="dxa"/>
            <w:vAlign w:val="bottom"/>
            <w:tcBorders>
              <w:right w:val="single" w:sz="8" w:color="auto"/>
            </w:tcBorders>
            <w:gridSpan w:val="4"/>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4"/>
          </w:tcPr>
          <w:p>
            <w:pPr>
              <w:ind w:left="20"/>
              <w:spacing w:after="0" w:line="209" w:lineRule="exact"/>
              <w:rPr>
                <w:sz w:val="20"/>
                <w:szCs w:val="20"/>
                <w:color w:val="auto"/>
              </w:rPr>
            </w:pPr>
            <w:r>
              <w:rPr>
                <w:rFonts w:ascii="Times New Roman" w:cs="Times New Roman" w:eastAsia="Times New Roman" w:hAnsi="Times New Roman"/>
                <w:sz w:val="22"/>
                <w:szCs w:val="22"/>
                <w:color w:val="auto"/>
              </w:rPr>
              <w:t>Consolidated EBITDA (Line B.1 + Line B.2 and + or - Line B.3 (as</w:t>
            </w:r>
          </w:p>
        </w:tc>
        <w:tc>
          <w:tcPr>
            <w:tcW w:w="1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w w:val="72"/>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appropriate) and + or - Line B.4 (as appropriate)):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Total Debt to Consolidated EBITDA Ratio (Line A.15 / Line B.5)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Required ratio for compliance:</w:t>
            </w:r>
          </w:p>
        </w:tc>
        <w:tc>
          <w:tcPr>
            <w:tcW w:w="29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Less than or equal to 3.50 to</w:t>
            </w:r>
          </w:p>
        </w:tc>
        <w:tc>
          <w:tcPr>
            <w:tcW w:w="0" w:type="dxa"/>
            <w:vAlign w:val="bottom"/>
          </w:tcPr>
          <w:p>
            <w:pPr>
              <w:spacing w:after="0"/>
              <w:rPr>
                <w:sz w:val="1"/>
                <w:szCs w:val="1"/>
                <w:color w:val="auto"/>
              </w:rPr>
            </w:pP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1.00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Compliance:</w:t>
            </w:r>
          </w:p>
        </w:tc>
        <w:tc>
          <w:tcPr>
            <w:tcW w:w="29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Yes/No</w:t>
            </w:r>
          </w:p>
        </w:tc>
        <w:tc>
          <w:tcPr>
            <w:tcW w:w="0" w:type="dxa"/>
            <w:vAlign w:val="bottom"/>
          </w:tcPr>
          <w:p>
            <w:pPr>
              <w:spacing w:after="0"/>
              <w:rPr>
                <w:sz w:val="1"/>
                <w:szCs w:val="1"/>
                <w:color w:val="auto"/>
              </w:rPr>
            </w:pPr>
          </w:p>
        </w:tc>
      </w:tr>
      <w:tr>
        <w:trPr>
          <w:trHeight w:val="28"/>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7460" w:type="dxa"/>
            <w:vAlign w:val="bottom"/>
            <w:tcBorders>
              <w:right w:val="single" w:sz="8" w:color="auto"/>
            </w:tcBorders>
            <w:gridSpan w:val="7"/>
          </w:tcPr>
          <w:p>
            <w:pPr>
              <w:ind w:left="60"/>
              <w:spacing w:after="0" w:line="209" w:lineRule="exact"/>
              <w:rPr>
                <w:sz w:val="20"/>
                <w:szCs w:val="20"/>
                <w:color w:val="auto"/>
              </w:rPr>
            </w:pPr>
            <w:r>
              <w:rPr>
                <w:rFonts w:ascii="Times New Roman" w:cs="Times New Roman" w:eastAsia="Times New Roman" w:hAnsi="Times New Roman"/>
                <w:sz w:val="22"/>
                <w:szCs w:val="22"/>
                <w:b w:val="1"/>
                <w:bCs w:val="1"/>
                <w:color w:val="auto"/>
              </w:rPr>
              <w:t>Current Ratio (Section 7.9(b))</w:t>
            </w:r>
            <w:r>
              <w:rPr>
                <w:rFonts w:ascii="Times New Roman" w:cs="Times New Roman" w:eastAsia="Times New Roman" w:hAnsi="Times New Roman"/>
                <w:sz w:val="22"/>
                <w:szCs w:val="22"/>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Consolidated Current Assets of Parent and its Subsidiaries determined in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accordance with GAAP:</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4"/>
          </w:tcPr>
          <w:p>
            <w:pPr>
              <w:ind w:left="20"/>
              <w:spacing w:after="0" w:line="209" w:lineRule="exact"/>
              <w:rPr>
                <w:sz w:val="20"/>
                <w:szCs w:val="20"/>
                <w:color w:val="auto"/>
              </w:rPr>
            </w:pPr>
            <w:r>
              <w:rPr>
                <w:rFonts w:ascii="Times New Roman" w:cs="Times New Roman" w:eastAsia="Times New Roman" w:hAnsi="Times New Roman"/>
                <w:sz w:val="22"/>
                <w:szCs w:val="22"/>
                <w:color w:val="auto"/>
              </w:rPr>
              <w:t>The total consolidated current assets of Parent and its Subsidiaries,</w:t>
            </w:r>
          </w:p>
        </w:tc>
        <w:tc>
          <w:tcPr>
            <w:tcW w:w="1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w w:val="72"/>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determined in accordance with GAAP (except as provided with</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respect to ASC Topic 815), at the time of any determination thereof,</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which shall not include any non-cash items resulting from the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application of ASC Topic 815 or the fair value of any Commodity</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Hedging Agreement or any non-hedge derivative contract (whether</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deemed effective or non-effective):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4"/>
          </w:tcPr>
          <w:p>
            <w:pPr>
              <w:ind w:left="60"/>
              <w:spacing w:after="0" w:line="209" w:lineRule="exact"/>
              <w:rPr>
                <w:sz w:val="20"/>
                <w:szCs w:val="20"/>
                <w:color w:val="auto"/>
              </w:rPr>
            </w:pPr>
            <w:r>
              <w:rPr>
                <w:rFonts w:ascii="Times New Roman" w:cs="Times New Roman" w:eastAsia="Times New Roman" w:hAnsi="Times New Roman"/>
                <w:sz w:val="22"/>
                <w:szCs w:val="22"/>
                <w:color w:val="auto"/>
              </w:rPr>
              <w:t>The excess, if any, of (a) the lesser of (i) the Maximum Facility</w:t>
            </w:r>
          </w:p>
        </w:tc>
        <w:tc>
          <w:tcPr>
            <w:tcW w:w="1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w w:val="72"/>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gridSpan w:val="4"/>
          </w:tcPr>
          <w:p>
            <w:pPr>
              <w:ind w:left="60"/>
              <w:spacing w:after="0" w:line="196" w:lineRule="exact"/>
              <w:rPr>
                <w:sz w:val="20"/>
                <w:szCs w:val="20"/>
                <w:color w:val="auto"/>
              </w:rPr>
            </w:pPr>
            <w:r>
              <w:rPr>
                <w:rFonts w:ascii="Times New Roman" w:cs="Times New Roman" w:eastAsia="Times New Roman" w:hAnsi="Times New Roman"/>
                <w:sz w:val="22"/>
                <w:szCs w:val="22"/>
                <w:color w:val="auto"/>
              </w:rPr>
              <w:t>Amount or (ii) the Borrowing Base minus (b) the Aggregate Credit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3260" w:type="dxa"/>
            <w:vAlign w:val="bottom"/>
            <w:tcBorders>
              <w:bottom w:val="single" w:sz="8" w:color="auto"/>
            </w:tcBorders>
            <w:gridSpan w:val="2"/>
          </w:tcPr>
          <w:p>
            <w:pPr>
              <w:ind w:left="60"/>
              <w:spacing w:after="0" w:line="250" w:lineRule="exact"/>
              <w:rPr>
                <w:sz w:val="20"/>
                <w:szCs w:val="20"/>
                <w:color w:val="auto"/>
              </w:rPr>
            </w:pPr>
            <w:r>
              <w:rPr>
                <w:rFonts w:ascii="Times New Roman" w:cs="Times New Roman" w:eastAsia="Times New Roman" w:hAnsi="Times New Roman"/>
                <w:sz w:val="22"/>
                <w:szCs w:val="22"/>
                <w:color w:val="auto"/>
              </w:rPr>
              <w:t>Exposure then outstanding:</w:t>
            </w:r>
          </w:p>
        </w:tc>
        <w:tc>
          <w:tcPr>
            <w:tcW w:w="520" w:type="dxa"/>
            <w:vAlign w:val="bottom"/>
            <w:tcBorders>
              <w:top w:val="single" w:sz="8" w:color="auto"/>
              <w:bottom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4"/>
          </w:tcPr>
          <w:p>
            <w:pPr>
              <w:ind w:left="20"/>
              <w:spacing w:after="0" w:line="209" w:lineRule="exact"/>
              <w:rPr>
                <w:sz w:val="20"/>
                <w:szCs w:val="20"/>
                <w:color w:val="auto"/>
              </w:rPr>
            </w:pPr>
            <w:r>
              <w:rPr>
                <w:rFonts w:ascii="Times New Roman" w:cs="Times New Roman" w:eastAsia="Times New Roman" w:hAnsi="Times New Roman"/>
                <w:sz w:val="22"/>
                <w:szCs w:val="22"/>
                <w:color w:val="auto"/>
              </w:rPr>
              <w:t>Consolidated Current Assets (Line A.1 + Line A.2):</w:t>
            </w:r>
          </w:p>
        </w:tc>
        <w:tc>
          <w:tcPr>
            <w:tcW w:w="1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w w:val="72"/>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80" w:type="dxa"/>
            <w:vAlign w:val="bottom"/>
            <w:tcBorders>
              <w:left w:val="single" w:sz="8" w:color="auto"/>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Consolidated Current Liabilities of Parent and its Subsidiaries determined in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22"/>
                <w:szCs w:val="22"/>
                <w:color w:val="auto"/>
              </w:rPr>
              <w:t>accordance with GAAP:</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4"/>
          </w:tcPr>
          <w:p>
            <w:pPr>
              <w:ind w:left="20"/>
              <w:spacing w:after="0" w:line="209" w:lineRule="exact"/>
              <w:rPr>
                <w:sz w:val="20"/>
                <w:szCs w:val="20"/>
                <w:color w:val="auto"/>
              </w:rPr>
            </w:pPr>
            <w:r>
              <w:rPr>
                <w:rFonts w:ascii="Times New Roman" w:cs="Times New Roman" w:eastAsia="Times New Roman" w:hAnsi="Times New Roman"/>
                <w:sz w:val="22"/>
                <w:szCs w:val="22"/>
                <w:color w:val="auto"/>
              </w:rPr>
              <w:t>The  total  consolidated  current  liabilities  of  Parent  and  its</w:t>
            </w:r>
          </w:p>
        </w:tc>
        <w:tc>
          <w:tcPr>
            <w:tcW w:w="1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w w:val="72"/>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Subsidiaries,  determined  in  accordance  with  GAAP  (except  as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provided herein with respect to ASC Topic 815), at the time of any</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determination  thereof,  less  current  maturities  under  the  Credit</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Agreement at such time, which shall not include any non-cash items</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w w:val="98"/>
              </w:rPr>
              <w:t>resulting from the requirements of ASC Topic 815 or the fair value of</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any Commodity Hedging Agreement or any non-hedge derivative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8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contract (whether deemed effective or non-effective), or any liability</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22"/>
                <w:szCs w:val="22"/>
                <w:color w:val="auto"/>
              </w:rPr>
              <w:t>resulting from the accounting for stock option expense: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120" w:type="dxa"/>
            <w:vAlign w:val="bottom"/>
            <w:tcBorders>
              <w:right w:val="single" w:sz="8" w:color="auto"/>
            </w:tcBorders>
            <w:gridSpan w:val="4"/>
          </w:tcPr>
          <w:p>
            <w:pPr>
              <w:ind w:left="20"/>
              <w:spacing w:after="0" w:line="209" w:lineRule="exact"/>
              <w:rPr>
                <w:sz w:val="20"/>
                <w:szCs w:val="20"/>
                <w:color w:val="auto"/>
              </w:rPr>
            </w:pPr>
            <w:r>
              <w:rPr>
                <w:rFonts w:ascii="Times New Roman" w:cs="Times New Roman" w:eastAsia="Times New Roman" w:hAnsi="Times New Roman"/>
                <w:sz w:val="22"/>
                <w:szCs w:val="22"/>
                <w:color w:val="auto"/>
              </w:rPr>
              <w:t>Total Consolidated Current Liabilities (Line B.1):</w:t>
            </w:r>
          </w:p>
        </w:tc>
        <w:tc>
          <w:tcPr>
            <w:tcW w:w="160" w:type="dxa"/>
            <w:vAlign w:val="bottom"/>
          </w:tcPr>
          <w:p>
            <w:pPr>
              <w:ind w:left="60"/>
              <w:spacing w:after="0" w:line="209" w:lineRule="exact"/>
              <w:rPr>
                <w:sz w:val="20"/>
                <w:szCs w:val="20"/>
                <w:color w:val="auto"/>
              </w:rPr>
            </w:pPr>
            <w:r>
              <w:rPr>
                <w:rFonts w:ascii="Times New Roman" w:cs="Times New Roman" w:eastAsia="Times New Roman" w:hAnsi="Times New Roman"/>
                <w:sz w:val="22"/>
                <w:szCs w:val="22"/>
                <w:color w:val="auto"/>
                <w:w w:val="72"/>
              </w:rPr>
              <w:t>$</w:t>
            </w:r>
          </w:p>
        </w:tc>
        <w:tc>
          <w:tcPr>
            <w:tcW w:w="640" w:type="dxa"/>
            <w:vAlign w:val="bottom"/>
            <w:tcBorders>
              <w:bottom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80" w:type="dxa"/>
            <w:vAlign w:val="bottom"/>
            <w:tcBorders>
              <w:left w:val="single" w:sz="8" w:color="auto"/>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232" w:name="page233"/>
    <w:bookmarkEnd w:id="232"/>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880" w:type="dxa"/>
            <w:vAlign w:val="bottom"/>
            <w:tcBorders>
              <w:top w:val="single" w:sz="8" w:color="auto"/>
              <w:left w:val="single" w:sz="8" w:color="auto"/>
              <w:right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68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Current Ratio (Line A.3 / Line B.2):</w:t>
            </w:r>
          </w:p>
        </w:tc>
        <w:tc>
          <w:tcPr>
            <w:tcW w:w="29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_____: 1.00</w:t>
            </w: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Required ratio for compliance:</w:t>
            </w: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Greater than or equal to 1.00 to</w:t>
            </w:r>
          </w:p>
        </w:tc>
      </w:tr>
      <w:tr>
        <w:trPr>
          <w:trHeight w:val="282"/>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1.00</w:t>
            </w: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89"/>
        </w:trPr>
        <w:tc>
          <w:tcPr>
            <w:tcW w:w="880" w:type="dxa"/>
            <w:vAlign w:val="bottom"/>
            <w:tcBorders>
              <w:left w:val="single" w:sz="8" w:color="auto"/>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Compliance:</w:t>
            </w:r>
          </w:p>
        </w:tc>
        <w:tc>
          <w:tcPr>
            <w:tcW w:w="2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Yes/No</w:t>
            </w:r>
          </w:p>
        </w:tc>
      </w:tr>
      <w:tr>
        <w:trPr>
          <w:trHeight w:val="29"/>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233" w:name="page234"/>
    <w:bookmarkEnd w:id="233"/>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NOTICE OF REQUEST FOR LETTER OF CREDIT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Dated: ________, 20__</w:t>
      </w:r>
    </w:p>
    <w:p>
      <w:pPr>
        <w:spacing w:after="0" w:line="20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TO:</w:t>
        <w:tab/>
        <w:t>Royal Bank of Canada, as Administrative Agent</w:t>
      </w:r>
    </w:p>
    <w:p>
      <w:pPr>
        <w:spacing w:after="0" w:line="206" w:lineRule="exact"/>
        <w:rPr>
          <w:sz w:val="20"/>
          <w:szCs w:val="20"/>
          <w:color w:val="auto"/>
        </w:rPr>
      </w:pPr>
    </w:p>
    <w:p>
      <w:pPr>
        <w:jc w:val="both"/>
        <w:ind w:left="580" w:hanging="647"/>
        <w:spacing w:after="0" w:line="220" w:lineRule="auto"/>
        <w:tabs>
          <w:tab w:leader="none" w:pos="560" w:val="left"/>
        </w:tabs>
        <w:rPr>
          <w:sz w:val="20"/>
          <w:szCs w:val="20"/>
          <w:color w:val="auto"/>
        </w:rPr>
      </w:pPr>
      <w:r>
        <w:rPr>
          <w:rFonts w:ascii="Times New Roman" w:cs="Times New Roman" w:eastAsia="Times New Roman" w:hAnsi="Times New Roman"/>
          <w:sz w:val="22"/>
          <w:szCs w:val="22"/>
          <w:color w:val="auto"/>
        </w:rPr>
        <w:t>RE:</w:t>
        <w:tab/>
        <w:t>Fourth Amended and Restated Credit Agreement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dated as of November 18, 2021, among the Lenders from time to time party thereto, Royal Bank of Canada, as administrative agent for the Lenders, and MRC Energy Company, a Texas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the Credit Agreement, the Borrower has requested a Letter of Credit from an Issuing Lender, as described</w:t>
      </w: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155" w:lineRule="exact"/>
        <w:rPr>
          <w:sz w:val="20"/>
          <w:szCs w:val="20"/>
          <w:color w:val="auto"/>
        </w:rPr>
      </w:pPr>
    </w:p>
    <w:p>
      <w:pPr>
        <w:ind w:left="440" w:hanging="432"/>
        <w:spacing w:after="0"/>
        <w:tabs>
          <w:tab w:leader="none" w:pos="44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Date of Issuance: </w:t>
      </w:r>
      <w:r>
        <w:rPr>
          <w:rFonts w:ascii="Times New Roman" w:cs="Times New Roman" w:eastAsia="Times New Roman" w:hAnsi="Times New Roman"/>
          <w:sz w:val="22"/>
          <w:szCs w:val="22"/>
          <w:u w:val="single" w:color="auto"/>
          <w:color w:val="auto"/>
        </w:rPr>
        <w:t>____________________</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Stated Amount: _____________________</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Name and Address of Beneficiary: ___________________</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Expiration Date: _______________________</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9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Borrower hereby represents and warrants that the conditions specified in Section 5.2 of the Credit Agreement will be satisfied on and as of the date of issuance of the Letter of Credit described herein.</w:t>
      </w:r>
    </w:p>
    <w:p>
      <w:pPr>
        <w:spacing w:after="0" w:line="1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MRC ENERGY COMPANY</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___________________________________</w:t>
      </w:r>
    </w:p>
    <w:p>
      <w:pPr>
        <w:spacing w:after="0" w:line="1"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___________________________________</w:t>
      </w:r>
    </w:p>
    <w:p>
      <w:pPr>
        <w:sectPr>
          <w:pgSz w:w="11900" w:h="16838" w:orient="portrait"/>
          <w:cols w:equalWidth="0" w:num="1">
            <w:col w:w="11220"/>
          </w:cols>
          <w:pgMar w:left="320" w:top="1440" w:right="35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NOTICE OF PREPAYMENT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Dated: ________, 20__</w:t>
      </w:r>
    </w:p>
    <w:p>
      <w:pPr>
        <w:spacing w:after="0" w:line="20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TO:</w:t>
        <w:tab/>
        <w:t>Royal Bank of Canada, as Administrative Agent</w:t>
      </w:r>
    </w:p>
    <w:p>
      <w:pPr>
        <w:spacing w:after="0" w:line="206" w:lineRule="exact"/>
        <w:rPr>
          <w:sz w:val="20"/>
          <w:szCs w:val="20"/>
          <w:color w:val="auto"/>
        </w:rPr>
      </w:pPr>
    </w:p>
    <w:p>
      <w:pPr>
        <w:jc w:val="both"/>
        <w:ind w:left="580" w:hanging="647"/>
        <w:spacing w:after="0" w:line="220" w:lineRule="auto"/>
        <w:tabs>
          <w:tab w:leader="none" w:pos="560" w:val="left"/>
        </w:tabs>
        <w:rPr>
          <w:sz w:val="20"/>
          <w:szCs w:val="20"/>
          <w:color w:val="auto"/>
        </w:rPr>
      </w:pPr>
      <w:r>
        <w:rPr>
          <w:rFonts w:ascii="Times New Roman" w:cs="Times New Roman" w:eastAsia="Times New Roman" w:hAnsi="Times New Roman"/>
          <w:sz w:val="22"/>
          <w:szCs w:val="22"/>
          <w:color w:val="auto"/>
        </w:rPr>
        <w:t>RE:</w:t>
        <w:tab/>
        <w:t>Fourth Amended and Restated Credit Agreement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dated as of November 18, 2021, among the Lenders from time to time party thereto, Royal Bank of Canada, as administrative agent for the Lenders, and MRC Energy Company, a Texas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239"/>
        <w:spacing w:after="0" w:line="236" w:lineRule="auto"/>
        <w:rPr>
          <w:sz w:val="20"/>
          <w:szCs w:val="20"/>
          <w:color w:val="auto"/>
        </w:rPr>
      </w:pPr>
      <w:r>
        <w:rPr>
          <w:rFonts w:ascii="Times New Roman" w:cs="Times New Roman" w:eastAsia="Times New Roman" w:hAnsi="Times New Roman"/>
          <w:sz w:val="22"/>
          <w:szCs w:val="22"/>
          <w:color w:val="auto"/>
        </w:rPr>
        <w:t xml:space="preserve">This Notice of Prepayment is delivered to you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of the Credit Agreement. Capitalized terms used herein and not defined herein shall have the meanings assigned thereto in the Credit Agreement.</w:t>
      </w:r>
    </w:p>
    <w:p>
      <w:pPr>
        <w:spacing w:after="0" w:line="146" w:lineRule="exact"/>
        <w:rPr>
          <w:sz w:val="20"/>
          <w:szCs w:val="20"/>
          <w:color w:val="auto"/>
        </w:rPr>
      </w:pPr>
    </w:p>
    <w:p>
      <w:pPr>
        <w:jc w:val="both"/>
        <w:ind w:firstLine="656"/>
        <w:spacing w:after="0" w:line="220" w:lineRule="auto"/>
        <w:tabs>
          <w:tab w:leader="none" w:pos="1082"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hereby provides notice to the Administrative Agent that it shall repay the following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FF0000"/>
          <w:strike w:val="1"/>
        </w:rPr>
        <w:t>Base Rate</w:t>
      </w:r>
      <w:r>
        <w:rPr>
          <w:rFonts w:ascii="Times New Roman" w:cs="Times New Roman" w:eastAsia="Times New Roman" w:hAnsi="Times New Roman"/>
          <w:sz w:val="22"/>
          <w:szCs w:val="22"/>
          <w:u w:val="single" w:color="auto"/>
          <w:color w:val="0000FF"/>
        </w:rPr>
        <w:t>ABR</w:t>
      </w:r>
      <w:r>
        <w:rPr>
          <w:rFonts w:ascii="Times New Roman" w:cs="Times New Roman" w:eastAsia="Times New Roman" w:hAnsi="Times New Roman"/>
          <w:sz w:val="22"/>
          <w:szCs w:val="22"/>
          <w:color w:val="auto"/>
        </w:rPr>
        <w:t xml:space="preserve"> Advances</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FF0000"/>
          <w:strike w:val="1"/>
        </w:rPr>
        <w:t>Eurodollar-based</w:t>
      </w:r>
      <w:r>
        <w:rPr>
          <w:rFonts w:ascii="Times New Roman" w:cs="Times New Roman" w:eastAsia="Times New Roman" w:hAnsi="Times New Roman"/>
          <w:sz w:val="22"/>
          <w:szCs w:val="22"/>
          <w:u w:val="single" w:color="auto"/>
          <w:color w:val="0000FF"/>
        </w:rPr>
        <w:t>SOFR</w:t>
      </w:r>
      <w:r>
        <w:rPr>
          <w:rFonts w:ascii="Times New Roman" w:cs="Times New Roman" w:eastAsia="Times New Roman" w:hAnsi="Times New Roman"/>
          <w:sz w:val="22"/>
          <w:szCs w:val="22"/>
          <w:color w:val="auto"/>
        </w:rPr>
        <w:t xml:space="preserve"> Advances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_______________. </w:t>
      </w:r>
      <w:r>
        <w:rPr>
          <w:rFonts w:ascii="Times New Roman" w:cs="Times New Roman" w:eastAsia="Times New Roman" w:hAnsi="Times New Roman"/>
          <w:sz w:val="17"/>
          <w:szCs w:val="17"/>
          <w:color w:val="auto"/>
        </w:rPr>
        <w:t>(Complete with an amount in accordance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u w:val="single" w:color="auto"/>
          <w:color w:val="auto"/>
        </w:rPr>
        <w:t>Section 2.7(b)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160" w:lineRule="exact"/>
        <w:rPr>
          <w:sz w:val="20"/>
          <w:szCs w:val="20"/>
          <w:color w:val="auto"/>
        </w:rPr>
      </w:pPr>
    </w:p>
    <w:p>
      <w:pPr>
        <w:jc w:val="both"/>
        <w:ind w:firstLine="656"/>
        <w:spacing w:after="0" w:line="225" w:lineRule="auto"/>
        <w:tabs>
          <w:tab w:leader="none" w:pos="1042"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repay the above-referenced Advances on the following Business Day: _______________. </w:t>
      </w:r>
      <w:r>
        <w:rPr>
          <w:rFonts w:ascii="Times New Roman" w:cs="Times New Roman" w:eastAsia="Times New Roman" w:hAnsi="Times New Roman"/>
          <w:sz w:val="17"/>
          <w:szCs w:val="17"/>
          <w:color w:val="auto"/>
        </w:rPr>
        <w:t>(Complete with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date no earlier than (i) one Business Day subsequent to the date of this Notice of Prepayment with respect to any </w:t>
      </w:r>
      <w:r>
        <w:rPr>
          <w:rFonts w:ascii="Times New Roman" w:cs="Times New Roman" w:eastAsia="Times New Roman" w:hAnsi="Times New Roman"/>
          <w:sz w:val="17"/>
          <w:szCs w:val="17"/>
          <w:color w:val="FF0000"/>
          <w:strike w:val="1"/>
        </w:rPr>
        <w:t>Base Rate</w:t>
      </w:r>
      <w:r>
        <w:rPr>
          <w:rFonts w:ascii="Times New Roman" w:cs="Times New Roman" w:eastAsia="Times New Roman" w:hAnsi="Times New Roman"/>
          <w:sz w:val="17"/>
          <w:szCs w:val="17"/>
          <w:u w:val="single" w:color="auto"/>
          <w:color w:val="0000FF"/>
        </w:rPr>
        <w:t>ABR</w:t>
      </w:r>
      <w:r>
        <w:rPr>
          <w:rFonts w:ascii="Times New Roman" w:cs="Times New Roman" w:eastAsia="Times New Roman" w:hAnsi="Times New Roman"/>
          <w:sz w:val="17"/>
          <w:szCs w:val="17"/>
          <w:color w:val="auto"/>
        </w:rPr>
        <w:t xml:space="preserve"> Advance and (ii) three (3) Business Days subsequent to date of this Notice of Prepayment with respect to any </w:t>
      </w:r>
      <w:r>
        <w:rPr>
          <w:rFonts w:ascii="Times New Roman" w:cs="Times New Roman" w:eastAsia="Times New Roman" w:hAnsi="Times New Roman"/>
          <w:sz w:val="17"/>
          <w:szCs w:val="17"/>
          <w:color w:val="FF0000"/>
          <w:strike w:val="1"/>
        </w:rPr>
        <w:t>Eurodollar-based</w:t>
      </w:r>
      <w:r>
        <w:rPr>
          <w:rFonts w:ascii="Times New Roman" w:cs="Times New Roman" w:eastAsia="Times New Roman" w:hAnsi="Times New Roman"/>
          <w:sz w:val="17"/>
          <w:szCs w:val="17"/>
          <w:u w:val="single" w:color="auto"/>
          <w:color w:val="0000FF"/>
        </w:rPr>
        <w:t>SOFR</w:t>
      </w:r>
      <w:r>
        <w:rPr>
          <w:rFonts w:ascii="Times New Roman" w:cs="Times New Roman" w:eastAsia="Times New Roman" w:hAnsi="Times New Roman"/>
          <w:sz w:val="17"/>
          <w:szCs w:val="17"/>
          <w:color w:val="auto"/>
        </w:rPr>
        <w:t xml:space="preserve"> Advances.)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391" w:right="339" w:bottom="1440" w:gutter="0" w:footer="0" w:header="0"/>
        </w:sectPr>
      </w:pPr>
    </w:p>
    <w:bookmarkStart w:id="236" w:name="page237"/>
    <w:bookmarkEnd w:id="236"/>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Notice of Prepayment as of the day and year first written above.</w:t>
      </w:r>
    </w:p>
    <w:p>
      <w:pPr>
        <w:sectPr>
          <w:pgSz w:w="11900" w:h="16838" w:orient="portrait"/>
          <w:cols w:equalWidth="0" w:num="1">
            <w:col w:w="9980"/>
          </w:cols>
          <w:pgMar w:left="980" w:top="144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MRC ENERGY COMPANY</w:t>
      </w:r>
      <w:r>
        <w:rPr>
          <w:rFonts w:ascii="Times New Roman" w:cs="Times New Roman" w:eastAsia="Times New Roman" w:hAnsi="Times New Roman"/>
          <w:sz w:val="22"/>
          <w:szCs w:val="22"/>
          <w:color w:val="auto"/>
        </w:rPr>
        <w:t>,</w:t>
      </w:r>
    </w:p>
    <w:p>
      <w:pPr>
        <w:ind w:left="324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___________________________________</w:t>
      </w:r>
    </w:p>
    <w:p>
      <w:pPr>
        <w:ind w:left="3240"/>
        <w:spacing w:after="0" w:line="214" w:lineRule="auto"/>
        <w:tabs>
          <w:tab w:leader="none" w:pos="4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___________________________________</w:t>
      </w:r>
    </w:p>
    <w:p>
      <w:pPr>
        <w:spacing w:after="0" w:line="1" w:lineRule="exact"/>
        <w:rPr>
          <w:sz w:val="20"/>
          <w:szCs w:val="20"/>
          <w:color w:val="auto"/>
        </w:rPr>
      </w:pPr>
    </w:p>
    <w:p>
      <w:pPr>
        <w:ind w:left="3240"/>
        <w:spacing w:after="0"/>
        <w:tabs>
          <w:tab w:leader="none" w:pos="3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___________________________________</w:t>
      </w:r>
    </w:p>
    <w:p>
      <w:pPr>
        <w:sectPr>
          <w:pgSz w:w="11900" w:h="16838" w:orient="portrait"/>
          <w:cols w:equalWidth="0" w:num="1">
            <w:col w:w="9980"/>
          </w:cols>
          <w:pgMar w:left="980" w:top="1440" w:right="939" w:bottom="1440" w:gutter="0" w:footer="0" w:header="0"/>
          <w:type w:val="continuous"/>
        </w:sectPr>
      </w:pPr>
    </w:p>
    <w:bookmarkStart w:id="237" w:name="page238"/>
    <w:bookmarkEnd w:id="237"/>
    <w:p>
      <w:pPr>
        <w:jc w:val="center"/>
        <w:spacing w:after="0"/>
        <w:rPr>
          <w:sz w:val="20"/>
          <w:szCs w:val="20"/>
          <w:color w:val="auto"/>
        </w:rPr>
      </w:pPr>
      <w:r>
        <w:rPr>
          <w:rFonts w:ascii="Times New Roman" w:cs="Times New Roman" w:eastAsia="Times New Roman" w:hAnsi="Times New Roman"/>
          <w:sz w:val="22"/>
          <w:szCs w:val="22"/>
          <w:b w:val="1"/>
          <w:bCs w:val="1"/>
          <w:color w:val="auto"/>
        </w:rPr>
        <w:t>EXHIBIT H-1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U.S. TAX COMPLIANCE CERTIFICATE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Foreign Lenders That Are Not Partnerships For U.S. Federal Income Tax Purposes)</w:t>
      </w:r>
    </w:p>
    <w:p>
      <w:pPr>
        <w:spacing w:after="0" w:line="58" w:lineRule="exact"/>
        <w:rPr>
          <w:sz w:val="20"/>
          <w:szCs w:val="20"/>
          <w:color w:val="auto"/>
        </w:rPr>
      </w:pPr>
    </w:p>
    <w:p>
      <w:pPr>
        <w:jc w:val="both"/>
        <w:ind w:firstLine="674"/>
        <w:spacing w:after="0" w:line="217" w:lineRule="auto"/>
        <w:rPr>
          <w:sz w:val="20"/>
          <w:szCs w:val="20"/>
          <w:color w:val="auto"/>
        </w:rPr>
      </w:pPr>
      <w:r>
        <w:rPr>
          <w:rFonts w:ascii="Times New Roman" w:cs="Times New Roman" w:eastAsia="Times New Roman" w:hAnsi="Times New Roman"/>
          <w:sz w:val="22"/>
          <w:szCs w:val="22"/>
          <w:color w:val="auto"/>
        </w:rPr>
        <w:t>Reference is hereby made to the Fourth Amended and Restated Credit Agreement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is dated as of November 18, 2021, by and among the Lenders from time to time party thereto, Royal Bank of Canada,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MRC Energy Company, a Texas corporation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Capitalized terms used herein and not defined herein shall have the meanings assigned thereto in the Credit Agreement.</w:t>
      </w:r>
    </w:p>
    <w:p>
      <w:pPr>
        <w:spacing w:after="0" w:line="17" w:lineRule="exact"/>
        <w:rPr>
          <w:sz w:val="20"/>
          <w:szCs w:val="20"/>
          <w:color w:val="auto"/>
        </w:rPr>
      </w:pPr>
    </w:p>
    <w:p>
      <w:pPr>
        <w:jc w:val="both"/>
        <w:ind w:firstLine="674"/>
        <w:spacing w:after="0" w:line="217" w:lineRule="auto"/>
        <w:rPr>
          <w:sz w:val="20"/>
          <w:szCs w:val="20"/>
          <w:color w:val="auto"/>
        </w:rPr>
      </w:pPr>
      <w:r>
        <w:rPr>
          <w:rFonts w:ascii="Times New Roman" w:cs="Times New Roman" w:eastAsia="Times New Roman" w:hAnsi="Times New Roman"/>
          <w:sz w:val="22"/>
          <w:szCs w:val="22"/>
          <w:color w:val="auto"/>
        </w:rPr>
        <w:t xml:space="preserve">Pursuant to the provisions of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of the Credit Agreement, the undersigned hereby certifies that (a) it is the sole record and beneficial owner of the Advance(s) (as well as any Note(s) evidencing such Advance(s)) in respect of which it is providing this certificate, (b) it is not a bank within the meaning of Section 881(c)(3)(A) of the Code, (c) it is not a ten percent (10%) shareholder of Borrower within the meaning of Section 871(h)(3)(B) of the Code and (d) it is not a controlled foreign corporation related to Borrower as described in Section 881(c)(3)(C) of the Code.</w:t>
      </w:r>
    </w:p>
    <w:p>
      <w:pPr>
        <w:spacing w:after="0" w:line="31" w:lineRule="exact"/>
        <w:rPr>
          <w:sz w:val="20"/>
          <w:szCs w:val="20"/>
          <w:color w:val="auto"/>
        </w:rPr>
      </w:pPr>
    </w:p>
    <w:p>
      <w:pPr>
        <w:jc w:val="both"/>
        <w:ind w:firstLine="674"/>
        <w:spacing w:after="0" w:line="215" w:lineRule="auto"/>
        <w:rPr>
          <w:sz w:val="20"/>
          <w:szCs w:val="20"/>
          <w:color w:val="auto"/>
        </w:rPr>
      </w:pPr>
      <w:r>
        <w:rPr>
          <w:rFonts w:ascii="Times New Roman" w:cs="Times New Roman" w:eastAsia="Times New Roman" w:hAnsi="Times New Roman"/>
          <w:sz w:val="22"/>
          <w:szCs w:val="22"/>
          <w:color w:val="auto"/>
        </w:rPr>
        <w:t>The undersigned has furnished the Administrative Agent and Borrower with a certificate of its non-U.S. Person status on IRS Form W-8BEN. By executing this certificate, the undersigned agrees that (a) if the information provided on this certificate changes, the undersigned shall promptly so inform Borrower and the Administrative Agent and (b) the undersigned shall have at all times furnished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LENDER]</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By:</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 __, 20__</w:t>
      </w:r>
    </w:p>
    <w:p>
      <w:pPr>
        <w:sectPr>
          <w:pgSz w:w="11900" w:h="16838" w:orient="portrait"/>
          <w:cols w:equalWidth="0" w:num="1">
            <w:col w:w="11240"/>
          </w:cols>
          <w:pgMar w:left="320" w:top="1391"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22"/>
          <w:szCs w:val="22"/>
          <w:b w:val="1"/>
          <w:bCs w:val="1"/>
          <w:color w:val="auto"/>
        </w:rPr>
        <w:t>EXHIBIT H-2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U.S. TAX COMPLIANCE CERTIFICATE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Foreign Participants That Are Not Partnerships For U.S. Federal Income Tax Purposes)</w:t>
      </w:r>
    </w:p>
    <w:p>
      <w:pPr>
        <w:spacing w:after="0" w:line="58" w:lineRule="exact"/>
        <w:rPr>
          <w:sz w:val="20"/>
          <w:szCs w:val="20"/>
          <w:color w:val="auto"/>
        </w:rPr>
      </w:pPr>
    </w:p>
    <w:p>
      <w:pPr>
        <w:jc w:val="both"/>
        <w:ind w:firstLine="673"/>
        <w:spacing w:after="0" w:line="217" w:lineRule="auto"/>
        <w:rPr>
          <w:sz w:val="20"/>
          <w:szCs w:val="20"/>
          <w:color w:val="auto"/>
        </w:rPr>
      </w:pPr>
      <w:r>
        <w:rPr>
          <w:rFonts w:ascii="Times New Roman" w:cs="Times New Roman" w:eastAsia="Times New Roman" w:hAnsi="Times New Roman"/>
          <w:sz w:val="22"/>
          <w:szCs w:val="22"/>
          <w:color w:val="auto"/>
        </w:rPr>
        <w:t>Reference is hereby made to the Fourth Amended and Restated Credit Agreement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is dated as of November 18, 2021, by and among the Lenders from time to time party thereto, Royal Bank of Canada,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MRC Energy Company, a Texas corporation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Capitalized terms used herein and not defined herein shall have the meanings assigned thereto in the Credit Agreement.</w:t>
      </w:r>
    </w:p>
    <w:p>
      <w:pPr>
        <w:spacing w:after="0" w:line="17" w:lineRule="exact"/>
        <w:rPr>
          <w:sz w:val="20"/>
          <w:szCs w:val="20"/>
          <w:color w:val="auto"/>
        </w:rPr>
      </w:pPr>
    </w:p>
    <w:p>
      <w:pPr>
        <w:jc w:val="both"/>
        <w:ind w:firstLine="673"/>
        <w:spacing w:after="0" w:line="217" w:lineRule="auto"/>
        <w:rPr>
          <w:sz w:val="20"/>
          <w:szCs w:val="20"/>
          <w:color w:val="auto"/>
        </w:rPr>
      </w:pPr>
      <w:r>
        <w:rPr>
          <w:rFonts w:ascii="Times New Roman" w:cs="Times New Roman" w:eastAsia="Times New Roman" w:hAnsi="Times New Roman"/>
          <w:sz w:val="22"/>
          <w:szCs w:val="22"/>
          <w:color w:val="auto"/>
        </w:rPr>
        <w:t xml:space="preserve">Pursuant to the provisions of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of the Credit Agreement, the undersigned hereby certifies that (a) it is the sole record and beneficial owner of the participation in respect of which it is providing this certificate, (b) it is not a bank within the meaning of Section 881(c)(3)(A) of the Code, (c) it is not a ten percent (10%) shareholder of Borrower within the meaning of Section 871(h)(3)(B) of the Code and (d) it is not a controlled foreign corporation related to Borrower as described in Section 881(c)(3)(C) of the Code.</w:t>
      </w:r>
    </w:p>
    <w:p>
      <w:pPr>
        <w:spacing w:after="0" w:line="31" w:lineRule="exact"/>
        <w:rPr>
          <w:sz w:val="20"/>
          <w:szCs w:val="20"/>
          <w:color w:val="auto"/>
        </w:rPr>
      </w:pPr>
    </w:p>
    <w:p>
      <w:pPr>
        <w:jc w:val="both"/>
        <w:ind w:firstLine="674"/>
        <w:spacing w:after="0" w:line="217"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a certificate of its non-U.S. Person status on IRS Form W-8BEN. By executing this certificate, the undersigned agrees that (a) if the information provided on this certificate changes, the undersigned shall promptly so inform such Lender in writing and (b)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By:</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 __, 20__</w:t>
      </w:r>
    </w:p>
    <w:p>
      <w:pPr>
        <w:sectPr>
          <w:pgSz w:w="11900" w:h="16838" w:orient="portrait"/>
          <w:cols w:equalWidth="0" w:num="1">
            <w:col w:w="11240"/>
          </w:cols>
          <w:pgMar w:left="320" w:top="1391"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2"/>
          <w:szCs w:val="22"/>
          <w:b w:val="1"/>
          <w:bCs w:val="1"/>
          <w:color w:val="auto"/>
        </w:rPr>
        <w:t>EXHIBIT H-3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U.S. TAX COMPLIANCE CERTIFICATE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Foreign Participants That Are Partnerships For U.S. Federal Income Tax Purposes)</w:t>
      </w:r>
    </w:p>
    <w:p>
      <w:pPr>
        <w:spacing w:after="0" w:line="58" w:lineRule="exact"/>
        <w:rPr>
          <w:sz w:val="20"/>
          <w:szCs w:val="20"/>
          <w:color w:val="auto"/>
        </w:rPr>
      </w:pPr>
    </w:p>
    <w:p>
      <w:pPr>
        <w:jc w:val="both"/>
        <w:ind w:firstLine="673"/>
        <w:spacing w:after="0" w:line="217" w:lineRule="auto"/>
        <w:rPr>
          <w:sz w:val="20"/>
          <w:szCs w:val="20"/>
          <w:color w:val="auto"/>
        </w:rPr>
      </w:pPr>
      <w:r>
        <w:rPr>
          <w:rFonts w:ascii="Times New Roman" w:cs="Times New Roman" w:eastAsia="Times New Roman" w:hAnsi="Times New Roman"/>
          <w:sz w:val="22"/>
          <w:szCs w:val="22"/>
          <w:color w:val="auto"/>
        </w:rPr>
        <w:t>Reference is hereby made to the Fourth Amended and Restated Credit Agreement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is dated as of November 18, 2021, by and among the Lenders from time to time party thereto, Royal Bank of Canada,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MRC Energy Company, a Texas corporation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Capitalized terms used herein and not defined herein shall have the meanings assigned thereto in the Credit Agreement.</w:t>
      </w:r>
    </w:p>
    <w:p>
      <w:pPr>
        <w:spacing w:after="0" w:line="17" w:lineRule="exact"/>
        <w:rPr>
          <w:sz w:val="20"/>
          <w:szCs w:val="20"/>
          <w:color w:val="auto"/>
        </w:rPr>
      </w:pPr>
    </w:p>
    <w:p>
      <w:pPr>
        <w:jc w:val="both"/>
        <w:ind w:firstLine="673"/>
        <w:spacing w:after="0" w:line="212" w:lineRule="auto"/>
        <w:rPr>
          <w:sz w:val="20"/>
          <w:szCs w:val="20"/>
          <w:color w:val="auto"/>
        </w:rPr>
      </w:pPr>
      <w:r>
        <w:rPr>
          <w:rFonts w:ascii="Times New Roman" w:cs="Times New Roman" w:eastAsia="Times New Roman" w:hAnsi="Times New Roman"/>
          <w:sz w:val="22"/>
          <w:szCs w:val="22"/>
          <w:color w:val="auto"/>
        </w:rPr>
        <w:t xml:space="preserve">Pursuant to the provisions of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of the Credit Agreement, the undersigned hereby certifies that (a) it is the sole record owner of the participation in respect of which it is providing this certificate, (b) its direct or indirect partners/members are the sole beneficial owners of such participation, (c) with respect such participation,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(10%) shareholder of Borrower within the meaning of Section 871(h)(3)(B) of the Code and (e) none of its direct or indirect partners/members is a controlled foreign corporation related to Borrower as described in Section 881(c)(3)(C) of the Code.</w:t>
      </w:r>
    </w:p>
    <w:p>
      <w:pPr>
        <w:spacing w:after="0" w:line="35" w:lineRule="exact"/>
        <w:rPr>
          <w:sz w:val="20"/>
          <w:szCs w:val="20"/>
          <w:color w:val="auto"/>
        </w:rPr>
      </w:pPr>
    </w:p>
    <w:p>
      <w:pPr>
        <w:jc w:val="both"/>
        <w:ind w:firstLine="674"/>
        <w:spacing w:after="0" w:line="213" w:lineRule="auto"/>
        <w:rPr>
          <w:sz w:val="20"/>
          <w:szCs w:val="20"/>
          <w:color w:val="auto"/>
        </w:rPr>
      </w:pPr>
      <w:r>
        <w:rPr>
          <w:rFonts w:ascii="Times New Roman" w:cs="Times New Roman" w:eastAsia="Times New Roman" w:hAnsi="Times New Roman"/>
          <w:sz w:val="22"/>
          <w:szCs w:val="22"/>
          <w:color w:val="auto"/>
        </w:rPr>
        <w:t>The undersigned has furnished its participating Lender with IRS Form W-8IMY accompanied by one of the following forms from each of its partners/members that is claiming the portfolio interest exemption: (a) an IRS Form W-8BEN or (b) an IRS Form W-8IMY accompanied by an IRS Form W-8BEN from each of such partner’s/member’s beneficial owners that is claiming the portfolio interest exemption. By executing this certificate, the undersigned agrees that (i) if the information provided on this certificate changes, the undersigned shall promptly so inform such Lender and (ii)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200" w:lineRule="exact"/>
        <w:rPr>
          <w:sz w:val="20"/>
          <w:szCs w:val="20"/>
          <w:color w:val="auto"/>
        </w:rPr>
      </w:pPr>
    </w:p>
    <w:p>
      <w:pPr>
        <w:spacing w:after="0" w:line="2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By:</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 __, 20__</w:t>
      </w:r>
    </w:p>
    <w:p>
      <w:pPr>
        <w:sectPr>
          <w:pgSz w:w="11900" w:h="16838" w:orient="portrait"/>
          <w:cols w:equalWidth="0" w:num="1">
            <w:col w:w="11240"/>
          </w:cols>
          <w:pgMar w:left="320" w:top="1391" w:right="339" w:bottom="1440" w:gutter="0" w:footer="0" w:header="0"/>
        </w:sectPr>
      </w:pPr>
    </w:p>
    <w:bookmarkStart w:id="240" w:name="page241"/>
    <w:bookmarkEnd w:id="240"/>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H-4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U.S. TAX COMPLIANCE CERTIFICATE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Foreign Lenders That Are Partnerships For U.S. Federal Income Tax Purposes)</w:t>
      </w:r>
    </w:p>
    <w:p>
      <w:pPr>
        <w:spacing w:after="0" w:line="58" w:lineRule="exact"/>
        <w:rPr>
          <w:sz w:val="20"/>
          <w:szCs w:val="20"/>
          <w:color w:val="auto"/>
        </w:rPr>
      </w:pPr>
    </w:p>
    <w:p>
      <w:pPr>
        <w:jc w:val="both"/>
        <w:ind w:firstLine="673"/>
        <w:spacing w:after="0" w:line="217" w:lineRule="auto"/>
        <w:rPr>
          <w:sz w:val="20"/>
          <w:szCs w:val="20"/>
          <w:color w:val="auto"/>
        </w:rPr>
      </w:pPr>
      <w:r>
        <w:rPr>
          <w:rFonts w:ascii="Times New Roman" w:cs="Times New Roman" w:eastAsia="Times New Roman" w:hAnsi="Times New Roman"/>
          <w:sz w:val="22"/>
          <w:szCs w:val="22"/>
          <w:color w:val="auto"/>
        </w:rPr>
        <w:t>Reference is hereby made to the Fourth Amended and Restated Credit Agreement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is dated as of November 18, 2021, by and among the Lenders from time to time party thereto, Royal Bank of Canada,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MRC Energy Company, a Texas corporation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Capitalized terms used herein and not defined herein shall have the meanings assigned thereto in the Credit Agreement.</w:t>
      </w:r>
    </w:p>
    <w:p>
      <w:pPr>
        <w:spacing w:after="0" w:line="31" w:lineRule="exact"/>
        <w:rPr>
          <w:sz w:val="20"/>
          <w:szCs w:val="20"/>
          <w:color w:val="auto"/>
        </w:rPr>
      </w:pPr>
    </w:p>
    <w:p>
      <w:pPr>
        <w:jc w:val="both"/>
        <w:ind w:firstLine="673"/>
        <w:spacing w:after="0" w:line="211" w:lineRule="auto"/>
        <w:rPr>
          <w:sz w:val="20"/>
          <w:szCs w:val="20"/>
          <w:color w:val="auto"/>
        </w:rPr>
      </w:pPr>
      <w:r>
        <w:rPr>
          <w:rFonts w:ascii="Times New Roman" w:cs="Times New Roman" w:eastAsia="Times New Roman" w:hAnsi="Times New Roman"/>
          <w:sz w:val="22"/>
          <w:szCs w:val="22"/>
          <w:color w:val="auto"/>
        </w:rPr>
        <w:t xml:space="preserve">Pursuant to the provisions of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of the Credit Agreement, the undersigned hereby certifies that (a) it is the sole record owner of the Advance(s) (as well as any Note(s) evidencing such Advance(s)) in respect of which it is providing this certificate, (b) its direct or indirect partners/members are the sole beneficial owners of such Advance(s) (as well as any Note(s) evidencing such Advance(s)), (c)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(d) none of its direct or indirect partners/members is a ten percent (10%) shareholder of Borrower within the meaning of Section 871(h)(3)(B) of the Code and (e) none of its direct or indirect partners/members is a controlled foreign corporation related to Borrower as described in Section 881(c)(3)(C) of the Code.</w:t>
      </w:r>
    </w:p>
    <w:p>
      <w:pPr>
        <w:spacing w:after="0" w:line="23" w:lineRule="exact"/>
        <w:rPr>
          <w:sz w:val="20"/>
          <w:szCs w:val="20"/>
          <w:color w:val="auto"/>
        </w:rPr>
      </w:pPr>
    </w:p>
    <w:p>
      <w:pPr>
        <w:jc w:val="both"/>
        <w:ind w:firstLine="674"/>
        <w:spacing w:after="0" w:line="212" w:lineRule="auto"/>
        <w:rPr>
          <w:sz w:val="20"/>
          <w:szCs w:val="20"/>
          <w:color w:val="auto"/>
        </w:rPr>
      </w:pPr>
      <w:r>
        <w:rPr>
          <w:rFonts w:ascii="Times New Roman" w:cs="Times New Roman" w:eastAsia="Times New Roman" w:hAnsi="Times New Roman"/>
          <w:sz w:val="22"/>
          <w:szCs w:val="22"/>
          <w:color w:val="auto"/>
        </w:rPr>
        <w:t>The undersigned has furnished the Administrative Agent and Borrower with IRS Form W-8IMY accompanied by one of the following forms from each of its partners/members that is claiming the portfolio interest exemption: (a) an IRS Form W-8BEN or (b) an IRS Form W-8IMY accompanied by an IRS Form W-8BEN from each of such partner’s/member’s beneficial owners that is claiming the portfolio interest exemption. By executing this certificate, the undersigned agrees that (i) if the information provided on this certificate changes, the undersigned shall promptly so inform the Borrower and the Administrative Agent and (ii) the undersigned shall have at all times furnished the Borrower and the Administrative Agent with a properly completed and currently effective certificate in either the calendar year in which each payment is to be made to the undersigned, or in either of the two (2) calendar years preceding such payments.</w:t>
      </w: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 OF LENDER]</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By:</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 __, 20__</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CONSOLIDATED CASH BALANCE CERTIFICATE</w:t>
      </w:r>
    </w:p>
    <w:p>
      <w:pPr>
        <w:spacing w:after="0" w:line="21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Reference is made to that certain Fourth Amended and Restated Credit Agreement dated as of November 18, 2021 (as amended, restated, amended and restated, extended, supplemented or otherwise modified in writing from time to time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the Lenders from time to time party thereto, Royal Bank of Canada, as administrative agent for the Lenders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MRC Energy Company, a Texas corporation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capitalized term used herein has the same meaning given to it in the Credit Agreement unless otherwise specified. The undersigned Responsible Officer of the Borrower hereby certifies on behalf of the Borrower (and not individually) as follows:</w:t>
      </w:r>
    </w:p>
    <w:p>
      <w:pPr>
        <w:spacing w:after="0" w:line="152" w:lineRule="exact"/>
        <w:rPr>
          <w:sz w:val="20"/>
          <w:szCs w:val="20"/>
          <w:color w:val="auto"/>
        </w:rPr>
      </w:pPr>
    </w:p>
    <w:p>
      <w:pPr>
        <w:ind w:left="1300" w:hanging="644"/>
        <w:spacing w:after="0"/>
        <w:tabs>
          <w:tab w:leader="none" w:pos="130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Cash Balance as of the date hereof is $_______________.</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hereto are summary and balance statements for each deposit account, securities account, commodity account or other account maintained at any financial institution other than Administrative Agent in which any Consolidated Cash Balance is held, credited or carried as of the date 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3"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calculation of Consolidated Cash Balance set forth in clause (a) above excludes any amounts permitted to be excluded therefrom pursuant to the definition of “Consolidated Cash Balance” set forth in the Credit Agreement, attached hereto are summary and balance statements and/or other supporting documentation with respect to such exclusions.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is the [ ] of the Borrower, and as such he/she is authorized to execute this certificate on behalf of the Borrower.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this [ ] day of [ ].</w:t>
      </w:r>
    </w:p>
    <w:p>
      <w:pPr>
        <w:spacing w:after="0" w:line="1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MRC ENERGY COMPANY</w:t>
      </w:r>
    </w:p>
    <w:p>
      <w:pPr>
        <w:spacing w:after="0" w:line="200" w:lineRule="exact"/>
        <w:rPr>
          <w:sz w:val="20"/>
          <w:szCs w:val="20"/>
          <w:color w:val="auto"/>
        </w:rPr>
      </w:pPr>
    </w:p>
    <w:p>
      <w:pPr>
        <w:spacing w:after="0" w:line="240"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_____________________________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40"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April 29, 2022</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8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80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8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Frenzel, certify that:</w:t>
      </w:r>
    </w:p>
    <w:p>
      <w:pPr>
        <w:spacing w:after="0" w:line="171" w:lineRule="exact"/>
        <w:rPr>
          <w:sz w:val="20"/>
          <w:szCs w:val="20"/>
          <w:color w:val="auto"/>
        </w:rPr>
      </w:pPr>
    </w:p>
    <w:p>
      <w:pPr>
        <w:ind w:left="640" w:hanging="187"/>
        <w:spacing w:after="0"/>
        <w:tabs>
          <w:tab w:leader="none" w:pos="6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April 29, 2022</w:t>
      </w:r>
      <w:r>
        <w:rPr>
          <w:sz w:val="20"/>
          <w:szCs w:val="20"/>
          <w:color w:val="auto"/>
        </w:rPr>
        <w:tab/>
      </w:r>
      <w:r>
        <w:rPr>
          <w:rFonts w:ascii="Times New Roman" w:cs="Times New Roman" w:eastAsia="Times New Roman" w:hAnsi="Times New Roman"/>
          <w:sz w:val="17"/>
          <w:szCs w:val="17"/>
          <w:color w:val="auto"/>
        </w:rPr>
        <w:t>/s/ Michael D. Frenzel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25031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Michael D. Frenzel</w:t>
      </w:r>
    </w:p>
    <w:p>
      <w:pPr>
        <w:ind w:left="5740"/>
        <w:spacing w:after="0" w:line="219" w:lineRule="auto"/>
        <w:rPr>
          <w:sz w:val="20"/>
          <w:szCs w:val="20"/>
          <w:color w:val="auto"/>
        </w:rPr>
      </w:pPr>
      <w:r>
        <w:rPr>
          <w:rFonts w:ascii="Times New Roman" w:cs="Times New Roman" w:eastAsia="Times New Roman" w:hAnsi="Times New Roman"/>
          <w:sz w:val="18"/>
          <w:szCs w:val="18"/>
          <w:color w:val="auto"/>
        </w:rPr>
        <w:t>Executive Vice President and Treasurer</w:t>
      </w: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March 31, 2022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April 29, 2022</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5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520" w:type="dxa"/>
            <w:vAlign w:val="bottom"/>
          </w:tcPr>
          <w:p>
            <w:pPr>
              <w:spacing w:after="0"/>
              <w:rPr>
                <w:sz w:val="15"/>
                <w:szCs w:val="15"/>
                <w:color w:val="auto"/>
              </w:rPr>
            </w:pPr>
          </w:p>
        </w:tc>
        <w:tc>
          <w:tcPr>
            <w:tcW w:w="3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5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March 31, 2022 as filed with the Securities and Exchange Commission on the date hereof (the “Form 10-Q”), I, Michael D. Frenzel, hereby certify in my capacity as Executive Vice President and Treasurer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April 29, 2022</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D. Frenzel</w:t>
            </w:r>
          </w:p>
        </w:tc>
      </w:tr>
      <w:tr>
        <w:trPr>
          <w:trHeight w:val="218"/>
        </w:trPr>
        <w:tc>
          <w:tcPr>
            <w:tcW w:w="49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D. Frenzel</w:t>
            </w:r>
          </w:p>
        </w:tc>
      </w:tr>
      <w:tr>
        <w:trPr>
          <w:trHeight w:val="180"/>
        </w:trPr>
        <w:tc>
          <w:tcPr>
            <w:tcW w:w="4920" w:type="dxa"/>
            <w:vAlign w:val="bottom"/>
          </w:tcPr>
          <w:p>
            <w:pPr>
              <w:spacing w:after="0"/>
              <w:rPr>
                <w:sz w:val="15"/>
                <w:szCs w:val="15"/>
                <w:color w:val="auto"/>
              </w:rPr>
            </w:pPr>
          </w:p>
        </w:tc>
        <w:tc>
          <w:tcPr>
            <w:tcW w:w="3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Treasurer</w:t>
            </w:r>
          </w:p>
        </w:tc>
      </w:tr>
      <w:tr>
        <w:trPr>
          <w:trHeight w:val="234"/>
        </w:trPr>
        <w:tc>
          <w:tcPr>
            <w:tcW w:w="49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263DEC"/>
    <w:multiLevelType w:val="hybridMultilevel"/>
    <w:lvl w:ilvl="0">
      <w:lvlJc w:val="left"/>
      <w:lvlText w:val="☒"/>
      <w:numFmt w:val="bullet"/>
      <w:start w:val="1"/>
    </w:lvl>
  </w:abstractNum>
  <w:abstractNum w:abstractNumId="1">
    <w:nsid w:val="260D8C4A"/>
    <w:multiLevelType w:val="hybridMultilevel"/>
    <w:lvl w:ilvl="0">
      <w:lvlJc w:val="left"/>
      <w:lvlText w:val="☐"/>
      <w:numFmt w:val="bullet"/>
      <w:start w:val="1"/>
    </w:lvl>
  </w:abstractNum>
  <w:abstractNum w:abstractNumId="2">
    <w:nsid w:val="73D4D3C4"/>
    <w:multiLevelType w:val="hybridMultilevel"/>
    <w:lvl w:ilvl="0">
      <w:lvlJc w:val="left"/>
      <w:lvlText w:val="(%1)"/>
      <w:numFmt w:val="decimal"/>
      <w:start w:val="1"/>
    </w:lvl>
  </w:abstractNum>
  <w:abstractNum w:abstractNumId="3">
    <w:nsid w:val="746F2E30"/>
    <w:multiLevelType w:val="hybridMultilevel"/>
    <w:lvl w:ilvl="0">
      <w:lvlJc w:val="left"/>
      <w:lvlText w:val="$"/>
      <w:numFmt w:val="bullet"/>
      <w:start w:val="1"/>
    </w:lvl>
  </w:abstractNum>
  <w:abstractNum w:abstractNumId="4">
    <w:nsid w:val="6FDE8AF6"/>
    <w:multiLevelType w:val="hybridMultilevel"/>
    <w:lvl w:ilvl="0">
      <w:lvlJc w:val="left"/>
      <w:lvlText w:val="(%1)"/>
      <w:numFmt w:val="decimal"/>
      <w:start w:val="1"/>
    </w:lvl>
  </w:abstractNum>
  <w:abstractNum w:abstractNumId="5">
    <w:nsid w:val="3FC32E20"/>
    <w:multiLevelType w:val="hybridMultilevel"/>
    <w:lvl w:ilvl="0">
      <w:lvlJc w:val="left"/>
      <w:lvlText w:val="(%1)"/>
      <w:numFmt w:val="decimal"/>
      <w:start w:val="1"/>
    </w:lvl>
  </w:abstractNum>
  <w:abstractNum w:abstractNumId="6">
    <w:nsid w:val="49C0E823"/>
    <w:multiLevelType w:val="hybridMultilevel"/>
    <w:lvl w:ilvl="0">
      <w:lvlJc w:val="left"/>
      <w:lvlText w:val="•"/>
      <w:numFmt w:val="bullet"/>
      <w:start w:val="1"/>
    </w:lvl>
  </w:abstractNum>
  <w:abstractNum w:abstractNumId="7">
    <w:nsid w:val="14D53685"/>
    <w:multiLevelType w:val="hybridMultilevel"/>
    <w:lvl w:ilvl="0">
      <w:lvlJc w:val="left"/>
      <w:lvlText w:val="•"/>
      <w:numFmt w:val="bullet"/>
      <w:start w:val="1"/>
    </w:lvl>
  </w:abstractNum>
  <w:abstractNum w:abstractNumId="8">
    <w:nsid w:val="230F856C"/>
    <w:multiLevelType w:val="hybridMultilevel"/>
    <w:lvl w:ilvl="0">
      <w:lvlJc w:val="left"/>
      <w:lvlText w:val="(%1)"/>
      <w:numFmt w:val="decimal"/>
      <w:start w:val="1"/>
    </w:lvl>
  </w:abstractNum>
  <w:abstractNum w:abstractNumId="9">
    <w:nsid w:val="6EAA85FB"/>
    <w:multiLevelType w:val="hybridMultilevel"/>
    <w:lvl w:ilvl="0">
      <w:lvlJc w:val="left"/>
      <w:lvlText w:val="(%1)"/>
      <w:numFmt w:val="decimal"/>
      <w:start w:val="1"/>
    </w:lvl>
  </w:abstractNum>
  <w:abstractNum w:abstractNumId="10">
    <w:nsid w:val="3F06ECB2"/>
    <w:multiLevelType w:val="hybridMultilevel"/>
    <w:lvl w:ilvl="0">
      <w:lvlJc w:val="left"/>
      <w:lvlText w:val="(%1)"/>
      <w:numFmt w:val="lowerRoman"/>
      <w:start w:val="2"/>
    </w:lvl>
  </w:abstractNum>
  <w:abstractNum w:abstractNumId="11">
    <w:nsid w:val="3B594807"/>
    <w:multiLevelType w:val="hybridMultilevel"/>
    <w:lvl w:ilvl="0">
      <w:lvlJc w:val="left"/>
      <w:lvlText w:val="(%1)"/>
      <w:numFmt w:val="decimal"/>
      <w:start w:val="1"/>
    </w:lvl>
  </w:abstractNum>
  <w:abstractNum w:abstractNumId="12">
    <w:nsid w:val="6CAA2304"/>
    <w:multiLevelType w:val="hybridMultilevel"/>
    <w:lvl w:ilvl="0">
      <w:lvlJc w:val="left"/>
      <w:lvlText w:val="(%1)"/>
      <w:numFmt w:val="decimal"/>
      <w:start w:val="1"/>
    </w:lvl>
  </w:abstractNum>
  <w:abstractNum w:abstractNumId="13">
    <w:nsid w:val="3F7C2FF4"/>
    <w:multiLevelType w:val="hybridMultilevel"/>
    <w:lvl w:ilvl="0">
      <w:lvlJc w:val="left"/>
      <w:lvlText w:val="%1"/>
      <w:numFmt w:val="decimal"/>
      <w:start w:val="101"/>
    </w:lvl>
  </w:abstractNum>
  <w:abstractNum w:abstractNumId="14">
    <w:nsid w:val="25413BEC"/>
    <w:multiLevelType w:val="hybridMultilevel"/>
    <w:lvl w:ilvl="0">
      <w:lvlJc w:val="left"/>
      <w:lvlText w:val="%1"/>
      <w:numFmt w:val="decimal"/>
      <w:start w:val="104"/>
    </w:lvl>
  </w:abstractNum>
  <w:abstractNum w:abstractNumId="15">
    <w:nsid w:val="17180B0B"/>
    <w:multiLevelType w:val="hybridMultilevel"/>
    <w:lvl w:ilvl="0">
      <w:lvlJc w:val="left"/>
      <w:lvlText w:val="(%1)"/>
      <w:numFmt w:val="lowerLetter"/>
      <w:start w:val="1"/>
    </w:lvl>
  </w:abstractNum>
  <w:abstractNum w:abstractNumId="16">
    <w:nsid w:val="579328B9"/>
    <w:multiLevelType w:val="hybridMultilevel"/>
    <w:lvl w:ilvl="0">
      <w:lvlJc w:val="left"/>
      <w:lvlText w:val="A"/>
      <w:numFmt w:val="bullet"/>
      <w:start w:val="1"/>
    </w:lvl>
  </w:abstractNum>
  <w:abstractNum w:abstractNumId="17">
    <w:nsid w:val="5D205E20"/>
    <w:multiLevelType w:val="hybridMultilevel"/>
    <w:lvl w:ilvl="0">
      <w:lvlJc w:val="left"/>
      <w:lvlText w:val="I"/>
      <w:numFmt w:val="bullet"/>
      <w:start w:val="1"/>
    </w:lvl>
  </w:abstractNum>
  <w:abstractNum w:abstractNumId="18">
    <w:nsid w:val="11CCA8BA"/>
    <w:multiLevelType w:val="hybridMultilevel"/>
    <w:lvl w:ilvl="0">
      <w:lvlJc w:val="left"/>
      <w:lvlText w:val="%1."/>
      <w:numFmt w:val="upperLetter"/>
      <w:start w:val="1"/>
    </w:lvl>
  </w:abstractNum>
  <w:abstractNum w:abstractNumId="19">
    <w:nsid w:val="4D32AB86"/>
    <w:multiLevelType w:val="hybridMultilevel"/>
    <w:lvl w:ilvl="0">
      <w:lvlJc w:val="left"/>
      <w:lvlText w:val="(%1)"/>
      <w:numFmt w:val="lowerRoman"/>
      <w:start w:val="10"/>
    </w:lvl>
  </w:abstractNum>
  <w:abstractNum w:abstractNumId="20">
    <w:nsid w:val="3F07ACC3"/>
    <w:multiLevelType w:val="hybridMultilevel"/>
    <w:lvl w:ilvl="0">
      <w:lvlJc w:val="left"/>
      <w:lvlText w:val="(%1)"/>
      <w:numFmt w:val="lowerLetter"/>
      <w:start w:val="3"/>
    </w:lvl>
  </w:abstractNum>
  <w:abstractNum w:abstractNumId="21">
    <w:nsid w:val="6B47F63E"/>
    <w:multiLevelType w:val="hybridMultilevel"/>
    <w:lvl w:ilvl="0">
      <w:lvlJc w:val="left"/>
      <w:lvlText w:val="(%1)"/>
      <w:numFmt w:val="lowerLetter"/>
      <w:start w:val="1"/>
    </w:lvl>
  </w:abstractNum>
  <w:abstractNum w:abstractNumId="22">
    <w:nsid w:val="5CB44A05"/>
    <w:multiLevelType w:val="hybridMultilevel"/>
    <w:lvl w:ilvl="0">
      <w:lvlJc w:val="left"/>
      <w:lvlText w:val="(%1)"/>
      <w:numFmt w:val="decimal"/>
      <w:start w:val="2"/>
    </w:lvl>
  </w:abstractNum>
  <w:abstractNum w:abstractNumId="23">
    <w:nsid w:val="16CF80F1"/>
    <w:multiLevelType w:val="hybridMultilevel"/>
    <w:lvl w:ilvl="0">
      <w:lvlJc w:val="left"/>
      <w:lvlText w:val="(%1)"/>
      <w:numFmt w:val="lowerLetter"/>
      <w:start w:val="2"/>
    </w:lvl>
  </w:abstractNum>
  <w:abstractNum w:abstractNumId="24">
    <w:nsid w:val="1C695DEC"/>
    <w:multiLevelType w:val="hybridMultilevel"/>
    <w:lvl w:ilvl="0">
      <w:lvlJc w:val="left"/>
      <w:lvlText w:val="(%1)"/>
      <w:numFmt w:val="decimal"/>
      <w:start w:val="1"/>
    </w:lvl>
  </w:abstractNum>
  <w:abstractNum w:abstractNumId="25">
    <w:nsid w:val="3FCFAED9"/>
    <w:multiLevelType w:val="hybridMultilevel"/>
    <w:lvl w:ilvl="0">
      <w:lvlJc w:val="left"/>
      <w:lvlText w:val="(%1)"/>
      <w:numFmt w:val="lowerLetter"/>
      <w:start w:val="1"/>
    </w:lvl>
  </w:abstractNum>
  <w:abstractNum w:abstractNumId="26">
    <w:nsid w:val="F856867"/>
    <w:multiLevelType w:val="hybridMultilevel"/>
    <w:lvl w:ilvl="0">
      <w:lvlJc w:val="left"/>
      <w:lvlText w:val="(%1)"/>
      <w:numFmt w:val="decimal"/>
      <w:start w:val="2"/>
    </w:lvl>
  </w:abstractNum>
  <w:abstractNum w:abstractNumId="27">
    <w:nsid w:val="11B1CC33"/>
    <w:multiLevelType w:val="hybridMultilevel"/>
    <w:lvl w:ilvl="0">
      <w:lvlJc w:val="left"/>
      <w:lvlText w:val="(%1)"/>
      <w:numFmt w:val="decimal"/>
      <w:start w:val="3"/>
    </w:lvl>
  </w:abstractNum>
  <w:abstractNum w:abstractNumId="28">
    <w:nsid w:val="2E22FBB7"/>
    <w:multiLevelType w:val="hybridMultilevel"/>
    <w:lvl w:ilvl="0">
      <w:lvlJc w:val="left"/>
      <w:lvlText w:val="(%1)"/>
      <w:numFmt w:val="decimal"/>
      <w:start w:val="1"/>
    </w:lvl>
  </w:abstractNum>
  <w:abstractNum w:abstractNumId="29">
    <w:nsid w:val="29934699"/>
    <w:multiLevelType w:val="hybridMultilevel"/>
    <w:lvl w:ilvl="0">
      <w:lvlJc w:val="left"/>
      <w:lvlText w:val="(%1)"/>
      <w:numFmt w:val="decimal"/>
      <w:start w:val="2"/>
    </w:lvl>
  </w:abstractNum>
  <w:abstractNum w:abstractNumId="30">
    <w:nsid w:val="77485850"/>
    <w:multiLevelType w:val="hybridMultilevel"/>
    <w:lvl w:ilvl="0">
      <w:lvlJc w:val="left"/>
      <w:lvlText w:val="(%1)"/>
      <w:numFmt w:val="lowerLetter"/>
      <w:start w:val="1"/>
    </w:lvl>
  </w:abstractNum>
  <w:abstractNum w:abstractNumId="31">
    <w:nsid w:val="744939A3"/>
    <w:multiLevelType w:val="hybridMultilevel"/>
    <w:lvl w:ilvl="0">
      <w:lvlJc w:val="left"/>
      <w:lvlText w:val="(%1)"/>
      <w:numFmt w:val="lowerLetter"/>
      <w:start w:val="2"/>
    </w:lvl>
  </w:abstractNum>
  <w:abstractNum w:abstractNumId="32">
    <w:nsid w:val="4FA0D2E3"/>
    <w:multiLevelType w:val="hybridMultilevel"/>
    <w:lvl w:ilvl="0">
      <w:lvlJc w:val="left"/>
      <w:lvlText w:val="(%1)"/>
      <w:numFmt w:val="decimal"/>
      <w:start w:val="1"/>
    </w:lvl>
  </w:abstractNum>
  <w:abstractNum w:abstractNumId="33">
    <w:nsid w:val="6B1D2C14"/>
    <w:multiLevelType w:val="hybridMultilevel"/>
    <w:lvl w:ilvl="0">
      <w:lvlJc w:val="left"/>
      <w:lvlText w:val="(%1)"/>
      <w:numFmt w:val="lowerLetter"/>
      <w:start w:val="1"/>
    </w:lvl>
  </w:abstractNum>
  <w:abstractNum w:abstractNumId="34">
    <w:nsid w:val="68B867D3"/>
    <w:multiLevelType w:val="hybridMultilevel"/>
    <w:lvl w:ilvl="0">
      <w:lvlJc w:val="left"/>
      <w:lvlText w:val="(%1)"/>
      <w:numFmt w:val="lowerLetter"/>
      <w:start w:val="1"/>
    </w:lvl>
  </w:abstractNum>
  <w:abstractNum w:abstractNumId="35">
    <w:nsid w:val="3F7F5DD9"/>
    <w:multiLevelType w:val="hybridMultilevel"/>
    <w:lvl w:ilvl="0">
      <w:lvlJc w:val="left"/>
      <w:lvlText w:val="(%1)"/>
      <w:numFmt w:val="lowerLetter"/>
      <w:start w:val="7"/>
    </w:lvl>
  </w:abstractNum>
  <w:abstractNum w:abstractNumId="36">
    <w:nsid w:val="2AE05A34"/>
    <w:multiLevelType w:val="hybridMultilevel"/>
    <w:lvl w:ilvl="0">
      <w:lvlJc w:val="left"/>
      <w:lvlText w:val="(%1)"/>
      <w:numFmt w:val="lowerLetter"/>
      <w:start w:val="35"/>
    </w:lvl>
  </w:abstractNum>
  <w:abstractNum w:abstractNumId="37">
    <w:nsid w:val="32794FF7"/>
    <w:multiLevelType w:val="hybridMultilevel"/>
    <w:lvl w:ilvl="0">
      <w:lvlJc w:val="left"/>
      <w:lvlText w:val="(%1)"/>
      <w:numFmt w:val="lowerLetter"/>
      <w:start w:val="5"/>
    </w:lvl>
  </w:abstractNum>
  <w:abstractNum w:abstractNumId="38">
    <w:nsid w:val="5454945E"/>
    <w:multiLevelType w:val="hybridMultilevel"/>
    <w:lvl w:ilvl="0">
      <w:lvlJc w:val="left"/>
      <w:lvlText w:val="(%1)"/>
      <w:numFmt w:val="lowerRoman"/>
      <w:start w:val="4"/>
    </w:lvl>
  </w:abstractNum>
  <w:abstractNum w:abstractNumId="39">
    <w:nsid w:val="4DEFDFA0"/>
    <w:multiLevelType w:val="hybridMultilevel"/>
    <w:lvl w:ilvl="0">
      <w:lvlJc w:val="left"/>
      <w:lvlText w:val="(%1)"/>
      <w:numFmt w:val="lowerLetter"/>
      <w:start w:val="1"/>
    </w:lvl>
  </w:abstractNum>
  <w:abstractNum w:abstractNumId="40">
    <w:nsid w:val="2123D5F2"/>
    <w:multiLevelType w:val="hybridMultilevel"/>
    <w:lvl w:ilvl="0">
      <w:lvlJc w:val="left"/>
      <w:lvlText w:val="(%1)"/>
      <w:numFmt w:val="lowerLetter"/>
      <w:start w:val="1"/>
    </w:lvl>
  </w:abstractNum>
  <w:abstractNum w:abstractNumId="41">
    <w:nsid w:val="135B8110"/>
    <w:multiLevelType w:val="hybridMultilevel"/>
    <w:lvl w:ilvl="0">
      <w:lvlJc w:val="left"/>
      <w:lvlText w:val="(%1)"/>
      <w:numFmt w:val="lowerLetter"/>
      <w:start w:val="8"/>
    </w:lvl>
  </w:abstractNum>
  <w:abstractNum w:abstractNumId="42">
    <w:nsid w:val="94927A8"/>
    <w:multiLevelType w:val="hybridMultilevel"/>
    <w:lvl w:ilvl="0">
      <w:lvlJc w:val="left"/>
      <w:lvlText w:val="(%1)"/>
      <w:numFmt w:val="decimal"/>
      <w:start w:val="2"/>
    </w:lvl>
  </w:abstractNum>
  <w:abstractNum w:abstractNumId="43">
    <w:nsid w:val="DCDF8F6"/>
    <w:multiLevelType w:val="hybridMultilevel"/>
    <w:lvl w:ilvl="0">
      <w:lvlJc w:val="left"/>
      <w:lvlText w:val="."/>
      <w:numFmt w:val="bullet"/>
      <w:start w:val="1"/>
    </w:lvl>
  </w:abstractNum>
  <w:abstractNum w:abstractNumId="44">
    <w:nsid w:val="52D7B105"/>
    <w:multiLevelType w:val="hybridMultilevel"/>
    <w:lvl w:ilvl="0">
      <w:lvlJc w:val="left"/>
      <w:lvlText w:val="."/>
      <w:numFmt w:val="bullet"/>
      <w:start w:val="1"/>
    </w:lvl>
  </w:abstractNum>
  <w:abstractNum w:abstractNumId="45">
    <w:nsid w:val="2E8A6394"/>
    <w:multiLevelType w:val="hybridMultilevel"/>
    <w:lvl w:ilvl="0">
      <w:lvlJc w:val="left"/>
      <w:lvlText w:val="."/>
      <w:numFmt w:val="bullet"/>
      <w:start w:val="1"/>
    </w:lvl>
  </w:abstractNum>
  <w:abstractNum w:abstractNumId="46">
    <w:nsid w:val="24E60401"/>
    <w:multiLevelType w:val="hybridMultilevel"/>
    <w:lvl w:ilvl="0">
      <w:lvlJc w:val="left"/>
      <w:lvlText w:val="."/>
      <w:numFmt w:val="bullet"/>
      <w:start w:val="1"/>
    </w:lvl>
  </w:abstractNum>
  <w:abstractNum w:abstractNumId="47">
    <w:nsid w:val="2A6AD9BE"/>
    <w:multiLevelType w:val="hybridMultilevel"/>
    <w:lvl w:ilvl="0">
      <w:lvlJc w:val="left"/>
      <w:lvlText w:val="."/>
      <w:numFmt w:val="bullet"/>
      <w:start w:val="1"/>
    </w:lvl>
  </w:abstractNum>
  <w:abstractNum w:abstractNumId="48">
    <w:nsid w:val="BAAC1B4"/>
    <w:multiLevelType w:val="hybridMultilevel"/>
    <w:lvl w:ilvl="0">
      <w:lvlJc w:val="left"/>
      <w:lvlText w:val="."/>
      <w:numFmt w:val="bullet"/>
      <w:start w:val="1"/>
    </w:lvl>
  </w:abstractNum>
  <w:abstractNum w:abstractNumId="49">
    <w:nsid w:val="36B2ACBC"/>
    <w:multiLevelType w:val="hybridMultilevel"/>
    <w:lvl w:ilvl="0">
      <w:lvlJc w:val="left"/>
      <w:lvlText w:val="."/>
      <w:numFmt w:val="bullet"/>
      <w:start w:val="1"/>
    </w:lvl>
  </w:abstractNum>
  <w:abstractNum w:abstractNumId="50">
    <w:nsid w:val="779D8544"/>
    <w:multiLevelType w:val="hybridMultilevel"/>
    <w:lvl w:ilvl="0">
      <w:lvlJc w:val="left"/>
      <w:lvlText w:val="(%1)"/>
      <w:numFmt w:val="lowerLetter"/>
      <w:start w:val="1"/>
    </w:lvl>
  </w:abstractNum>
  <w:abstractNum w:abstractNumId="51">
    <w:nsid w:val="4AB26E7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52">
    <w:nsid w:val="21FAA2FA"/>
    <w:multiLevelType w:val="hybridMultilevel"/>
    <w:lvl w:ilvl="0">
      <w:lvlJc w:val="left"/>
      <w:lvlText w:val="(%1)"/>
      <w:numFmt w:val="lowerLetter"/>
      <w:start w:val="6"/>
    </w:lvl>
  </w:abstractNum>
  <w:abstractNum w:abstractNumId="53">
    <w:nsid w:val="5451CF49"/>
    <w:multiLevelType w:val="hybridMultilevel"/>
    <w:lvl w:ilvl="0">
      <w:lvlJc w:val="left"/>
      <w:lvlText w:val="(%1)"/>
      <w:numFmt w:val="lowerLetter"/>
      <w:start w:val="1"/>
    </w:lvl>
  </w:abstractNum>
  <w:abstractNum w:abstractNumId="54">
    <w:nsid w:val="6181EF69"/>
    <w:multiLevelType w:val="hybridMultilevel"/>
    <w:lvl w:ilvl="0">
      <w:lvlJc w:val="left"/>
      <w:lvlText w:val="(%1)"/>
      <w:numFmt w:val="lowerLetter"/>
      <w:start w:val="3"/>
    </w:lvl>
    <w:lvl w:ilvl="1">
      <w:lvlJc w:val="left"/>
      <w:lvlText w:val="(%2)"/>
      <w:numFmt w:val="lowerRoman"/>
      <w:start w:val="1"/>
    </w:lvl>
  </w:abstractNum>
  <w:abstractNum w:abstractNumId="55">
    <w:nsid w:val="3E6400E6"/>
    <w:multiLevelType w:val="hybridMultilevel"/>
    <w:lvl w:ilvl="0">
      <w:lvlJc w:val="left"/>
      <w:lvlText w:val="(%1)"/>
      <w:numFmt w:val="lowerLetter"/>
      <w:start w:val="1"/>
    </w:lvl>
  </w:abstractNum>
  <w:abstractNum w:abstractNumId="56">
    <w:nsid w:val="14217E23"/>
    <w:multiLevelType w:val="hybridMultilevel"/>
    <w:lvl w:ilvl="0">
      <w:lvlJc w:val="left"/>
      <w:lvlText w:val="(%1)"/>
      <w:numFmt w:val="lowerLetter"/>
      <w:start w:val="1"/>
    </w:lvl>
  </w:abstractNum>
  <w:abstractNum w:abstractNumId="57">
    <w:nsid w:val="710757D0"/>
    <w:multiLevelType w:val="hybridMultilevel"/>
    <w:lvl w:ilvl="0">
      <w:lvlJc w:val="left"/>
      <w:lvlText w:val="(%1)"/>
      <w:numFmt w:val="lowerLetter"/>
      <w:start w:val="2"/>
    </w:lvl>
  </w:abstractNum>
  <w:abstractNum w:abstractNumId="58">
    <w:nsid w:val="5015CD1A"/>
    <w:multiLevelType w:val="hybridMultilevel"/>
    <w:lvl w:ilvl="0">
      <w:lvlJc w:val="left"/>
      <w:lvlText w:val="."/>
      <w:numFmt w:val="bullet"/>
      <w:start w:val="1"/>
    </w:lvl>
  </w:abstractNum>
  <w:abstractNum w:abstractNumId="59">
    <w:nsid w:val="424479DA"/>
    <w:multiLevelType w:val="hybridMultilevel"/>
    <w:lvl w:ilvl="0">
      <w:lvlJc w:val="left"/>
      <w:lvlText w:val="."/>
      <w:numFmt w:val="bullet"/>
      <w:start w:val="1"/>
    </w:lvl>
  </w:abstractNum>
  <w:abstractNum w:abstractNumId="60">
    <w:nsid w:val="1A9A9E69"/>
    <w:multiLevelType w:val="hybridMultilevel"/>
    <w:lvl w:ilvl="0">
      <w:lvlJc w:val="left"/>
      <w:lvlText w:val="(%1)"/>
      <w:numFmt w:val="lowerLetter"/>
      <w:start w:val="1"/>
    </w:lvl>
  </w:abstractNum>
  <w:abstractNum w:abstractNumId="61">
    <w:nsid w:val="475E256A"/>
    <w:multiLevelType w:val="hybridMultilevel"/>
    <w:lvl w:ilvl="0">
      <w:lvlJc w:val="left"/>
      <w:lvlText w:val="(%1)"/>
      <w:numFmt w:val="lowerLetter"/>
      <w:start w:val="2"/>
    </w:lvl>
  </w:abstractNum>
  <w:abstractNum w:abstractNumId="62">
    <w:nsid w:val="368DB37E"/>
    <w:multiLevelType w:val="hybridMultilevel"/>
    <w:lvl w:ilvl="0">
      <w:lvlJc w:val="left"/>
      <w:lvlText w:val="."/>
      <w:numFmt w:val="bullet"/>
      <w:start w:val="1"/>
    </w:lvl>
  </w:abstractNum>
  <w:abstractNum w:abstractNumId="63">
    <w:nsid w:val="6A3B714C"/>
    <w:multiLevelType w:val="hybridMultilevel"/>
    <w:lvl w:ilvl="0">
      <w:lvlJc w:val="left"/>
      <w:lvlText w:val="."/>
      <w:numFmt w:val="bullet"/>
      <w:start w:val="1"/>
    </w:lvl>
  </w:abstractNum>
  <w:abstractNum w:abstractNumId="64">
    <w:nsid w:val="327B517E"/>
    <w:multiLevelType w:val="hybridMultilevel"/>
    <w:lvl w:ilvl="0">
      <w:lvlJc w:val="left"/>
      <w:lvlText w:val="."/>
      <w:numFmt w:val="bullet"/>
      <w:start w:val="1"/>
    </w:lvl>
  </w:abstractNum>
  <w:abstractNum w:abstractNumId="65">
    <w:nsid w:val="1F461B51"/>
    <w:multiLevelType w:val="hybridMultilevel"/>
    <w:lvl w:ilvl="0">
      <w:lvlJc w:val="left"/>
      <w:lvlText w:val="."/>
      <w:numFmt w:val="bullet"/>
      <w:start w:val="1"/>
    </w:lvl>
    <w:lvl w:ilvl="1">
      <w:lvlJc w:val="left"/>
      <w:lvlText w:val="(%2)"/>
      <w:numFmt w:val="lowerLetter"/>
      <w:start w:val="1"/>
    </w:lvl>
  </w:abstractNum>
  <w:abstractNum w:abstractNumId="66">
    <w:nsid w:val="29BACF25"/>
    <w:multiLevelType w:val="hybridMultilevel"/>
    <w:lvl w:ilvl="0">
      <w:lvlJc w:val="left"/>
      <w:lvlText w:val="(%1)"/>
      <w:numFmt w:val="lowerLetter"/>
      <w:start w:val="7"/>
    </w:lvl>
  </w:abstractNum>
  <w:abstractNum w:abstractNumId="67">
    <w:nsid w:val="5D5BABB3"/>
    <w:multiLevelType w:val="hybridMultilevel"/>
    <w:lvl w:ilvl="0">
      <w:lvlJc w:val="left"/>
      <w:lvlText w:val="."/>
      <w:numFmt w:val="bullet"/>
      <w:start w:val="1"/>
    </w:lvl>
  </w:abstractNum>
  <w:abstractNum w:abstractNumId="68">
    <w:nsid w:val="51BF6B48"/>
    <w:multiLevelType w:val="hybridMultilevel"/>
    <w:lvl w:ilvl="0">
      <w:lvlJc w:val="left"/>
      <w:lvlText w:val="(%1)"/>
      <w:numFmt w:val="lowerLetter"/>
      <w:start w:val="1"/>
    </w:lvl>
    <w:lvl w:ilvl="1">
      <w:lvlJc w:val="left"/>
      <w:lvlText w:val="(%2)"/>
      <w:numFmt w:val="lowerLetter"/>
      <w:start w:val="9"/>
    </w:lvl>
  </w:abstractNum>
  <w:abstractNum w:abstractNumId="69">
    <w:nsid w:val="7E0F6384"/>
    <w:multiLevelType w:val="hybridMultilevel"/>
    <w:lvl w:ilvl="0">
      <w:lvlJc w:val="left"/>
      <w:lvlText w:val="%1"/>
      <w:numFmt w:val="lowerLetter"/>
      <w:start w:val="1"/>
    </w:lvl>
    <w:lvl w:ilvl="1">
      <w:lvlJc w:val="left"/>
      <w:lvlText w:val="(%2)"/>
      <w:numFmt w:val="lowerLetter"/>
      <w:start w:val="35"/>
    </w:lvl>
  </w:abstractNum>
  <w:abstractNum w:abstractNumId="70">
    <w:nsid w:val="2B4B8B53"/>
    <w:multiLevelType w:val="hybridMultilevel"/>
    <w:lvl w:ilvl="0">
      <w:lvlJc w:val="left"/>
      <w:lvlText w:val="(%1)"/>
      <w:numFmt w:val="lowerLetter"/>
      <w:start w:val="2"/>
    </w:lvl>
    <w:lvl w:ilvl="1">
      <w:lvlJc w:val="left"/>
      <w:lvlText w:val="%2"/>
      <w:numFmt w:val="lowerLetter"/>
      <w:start w:val="1"/>
    </w:lvl>
  </w:abstractNum>
  <w:abstractNum w:abstractNumId="71">
    <w:nsid w:val="72E3413A"/>
    <w:multiLevelType w:val="hybridMultilevel"/>
    <w:lvl w:ilvl="0">
      <w:lvlJc w:val="left"/>
      <w:lvlText w:val="."/>
      <w:numFmt w:val="bullet"/>
      <w:start w:val="1"/>
    </w:lvl>
  </w:abstractNum>
  <w:abstractNum w:abstractNumId="72">
    <w:nsid w:val="116AE494"/>
    <w:multiLevelType w:val="hybridMultilevel"/>
    <w:lvl w:ilvl="0">
      <w:lvlJc w:val="left"/>
      <w:lvlText w:val="%1"/>
      <w:numFmt w:val="lowerLetter"/>
      <w:start w:val="1"/>
    </w:lvl>
    <w:lvl w:ilvl="1">
      <w:lvlJc w:val="left"/>
      <w:lvlText w:val="(%2)"/>
      <w:numFmt w:val="lowerLetter"/>
      <w:start w:val="1"/>
    </w:lvl>
  </w:abstractNum>
  <w:abstractNum w:abstractNumId="73">
    <w:nsid w:val="3494B2FB"/>
    <w:multiLevelType w:val="hybridMultilevel"/>
    <w:lvl w:ilvl="0">
      <w:lvlJc w:val="left"/>
      <w:lvlText w:val="(%1)"/>
      <w:numFmt w:val="lowerLetter"/>
      <w:start w:val="35"/>
    </w:lvl>
    <w:lvl w:ilvl="1">
      <w:lvlJc w:val="left"/>
      <w:lvlText w:val="(%2)"/>
      <w:numFmt w:val="lowerLetter"/>
      <w:start w:val="3"/>
    </w:lvl>
  </w:abstractNum>
  <w:abstractNum w:abstractNumId="74">
    <w:nsid w:val="B13A31"/>
    <w:multiLevelType w:val="hybridMultilevel"/>
    <w:lvl w:ilvl="0">
      <w:lvlJc w:val="left"/>
      <w:lvlText w:val="(%1)"/>
      <w:numFmt w:val="lowerLetter"/>
      <w:start w:val="5"/>
    </w:lvl>
  </w:abstractNum>
  <w:abstractNum w:abstractNumId="75">
    <w:nsid w:val="64429599"/>
    <w:multiLevelType w:val="hybridMultilevel"/>
    <w:lvl w:ilvl="0">
      <w:lvlJc w:val="left"/>
      <w:lvlText w:val="."/>
      <w:numFmt w:val="bullet"/>
      <w:start w:val="1"/>
    </w:lvl>
    <w:lvl w:ilvl="1">
      <w:lvlJc w:val="left"/>
      <w:lvlText w:val="(%2)"/>
      <w:numFmt w:val="lowerLetter"/>
      <w:start w:val="1"/>
    </w:lvl>
  </w:abstractNum>
  <w:abstractNum w:abstractNumId="76">
    <w:nsid w:val="631F1690"/>
    <w:multiLevelType w:val="hybridMultilevel"/>
    <w:lvl w:ilvl="0">
      <w:lvlJc w:val="left"/>
      <w:lvlText w:val="(%1)"/>
      <w:numFmt w:val="lowerLetter"/>
      <w:start w:val="1"/>
    </w:lvl>
  </w:abstractNum>
  <w:abstractNum w:abstractNumId="77">
    <w:nsid w:val="25973E32"/>
    <w:multiLevelType w:val="hybridMultilevel"/>
    <w:lvl w:ilvl="0">
      <w:lvlJc w:val="left"/>
      <w:lvlText w:val="."/>
      <w:numFmt w:val="bullet"/>
      <w:start w:val="1"/>
    </w:lvl>
  </w:abstractNum>
  <w:abstractNum w:abstractNumId="78">
    <w:nsid w:val="EAD6F57"/>
    <w:multiLevelType w:val="hybridMultilevel"/>
    <w:lvl w:ilvl="0">
      <w:lvlJc w:val="left"/>
      <w:lvlText w:val="(%1)"/>
      <w:numFmt w:val="lowerLetter"/>
      <w:start w:val="1"/>
    </w:lvl>
  </w:abstractNum>
  <w:abstractNum w:abstractNumId="79">
    <w:nsid w:val="6EC9D844"/>
    <w:multiLevelType w:val="hybridMultilevel"/>
    <w:lvl w:ilvl="0">
      <w:lvlJc w:val="left"/>
      <w:lvlText w:val="."/>
      <w:numFmt w:val="bullet"/>
      <w:start w:val="1"/>
    </w:lvl>
  </w:abstractNum>
  <w:abstractNum w:abstractNumId="80">
    <w:nsid w:val="5C49EAEE"/>
    <w:multiLevelType w:val="hybridMultilevel"/>
    <w:lvl w:ilvl="0">
      <w:lvlJc w:val="left"/>
      <w:lvlText w:val="."/>
      <w:numFmt w:val="bullet"/>
      <w:start w:val="1"/>
    </w:lvl>
  </w:abstractNum>
  <w:abstractNum w:abstractNumId="81">
    <w:nsid w:val="64AF49B"/>
    <w:multiLevelType w:val="hybridMultilevel"/>
    <w:lvl w:ilvl="0">
      <w:lvlJc w:val="left"/>
      <w:lvlText w:val="."/>
      <w:numFmt w:val="bullet"/>
      <w:start w:val="1"/>
    </w:lvl>
  </w:abstractNum>
  <w:abstractNum w:abstractNumId="82">
    <w:nsid w:val="397C46BC"/>
    <w:multiLevelType w:val="hybridMultilevel"/>
    <w:lvl w:ilvl="0">
      <w:lvlJc w:val="left"/>
      <w:lvlText w:val="."/>
      <w:numFmt w:val="bullet"/>
      <w:start w:val="1"/>
    </w:lvl>
  </w:abstractNum>
  <w:abstractNum w:abstractNumId="83">
    <w:nsid w:val="7E448DE9"/>
    <w:multiLevelType w:val="hybridMultilevel"/>
    <w:lvl w:ilvl="0">
      <w:lvlJc w:val="left"/>
      <w:lvlText w:val="."/>
      <w:numFmt w:val="bullet"/>
      <w:start w:val="1"/>
    </w:lvl>
  </w:abstractNum>
  <w:abstractNum w:abstractNumId="84">
    <w:nsid w:val="5A9CC3E5"/>
    <w:multiLevelType w:val="hybridMultilevel"/>
    <w:lvl w:ilvl="0">
      <w:lvlJc w:val="left"/>
      <w:lvlText w:val="."/>
      <w:numFmt w:val="bullet"/>
      <w:start w:val="1"/>
    </w:lvl>
  </w:abstractNum>
  <w:abstractNum w:abstractNumId="85">
    <w:nsid w:val="1AFE3625"/>
    <w:multiLevelType w:val="hybridMultilevel"/>
    <w:lvl w:ilvl="0">
      <w:lvlJc w:val="left"/>
      <w:lvlText w:val="."/>
      <w:numFmt w:val="bullet"/>
      <w:start w:val="1"/>
    </w:lvl>
  </w:abstractNum>
  <w:abstractNum w:abstractNumId="86">
    <w:nsid w:val="3CA88ECF"/>
    <w:multiLevelType w:val="hybridMultilevel"/>
    <w:lvl w:ilvl="0">
      <w:lvlJc w:val="left"/>
      <w:lvlText w:val="."/>
      <w:numFmt w:val="bullet"/>
      <w:start w:val="1"/>
    </w:lvl>
  </w:abstractNum>
  <w:abstractNum w:abstractNumId="87">
    <w:nsid w:val="6EBE4208"/>
    <w:multiLevelType w:val="hybridMultilevel"/>
    <w:lvl w:ilvl="0">
      <w:lvlJc w:val="left"/>
      <w:lvlText w:val="."/>
      <w:numFmt w:val="bullet"/>
      <w:start w:val="1"/>
    </w:lvl>
    <w:lvl w:ilvl="1">
      <w:lvlJc w:val="left"/>
      <w:lvlText w:val="(%2)"/>
      <w:numFmt w:val="lowerLetter"/>
      <w:start w:val="1"/>
    </w:lvl>
  </w:abstractNum>
  <w:abstractNum w:abstractNumId="88">
    <w:nsid w:val="C058DF5"/>
    <w:multiLevelType w:val="hybridMultilevel"/>
    <w:lvl w:ilvl="0">
      <w:lvlJc w:val="left"/>
      <w:lvlText w:val="%1"/>
      <w:numFmt w:val="lowerLetter"/>
      <w:start w:val="1"/>
    </w:lvl>
    <w:lvl w:ilvl="1">
      <w:lvlJc w:val="left"/>
      <w:lvlText w:val="(%2)"/>
      <w:numFmt w:val="lowerLetter"/>
      <w:start w:val="9"/>
    </w:lvl>
  </w:abstractNum>
  <w:abstractNum w:abstractNumId="89">
    <w:nsid w:val="CBE5BE9"/>
    <w:multiLevelType w:val="hybridMultilevel"/>
    <w:lvl w:ilvl="0">
      <w:lvlJc w:val="left"/>
      <w:lvlText w:val="(%1)"/>
      <w:numFmt w:val="lowerLetter"/>
      <w:start w:val="2"/>
    </w:lvl>
    <w:lvl w:ilvl="1">
      <w:lvlJc w:val="left"/>
      <w:lvlText w:val="(%2)"/>
      <w:numFmt w:val="lowerLetter"/>
      <w:start w:val="9"/>
    </w:lvl>
  </w:abstractNum>
  <w:abstractNum w:abstractNumId="90">
    <w:nsid w:val="3102BBE2"/>
    <w:multiLevelType w:val="hybridMultilevel"/>
    <w:lvl w:ilvl="0">
      <w:lvlJc w:val="left"/>
      <w:lvlText w:val="%1"/>
      <w:numFmt w:val="lowerLetter"/>
      <w:start w:val="1"/>
    </w:lvl>
    <w:lvl w:ilvl="1">
      <w:lvlJc w:val="left"/>
      <w:lvlText w:val="(%2)"/>
      <w:numFmt w:val="lowerRoman"/>
      <w:start w:val="2"/>
    </w:lvl>
  </w:abstractNum>
  <w:abstractNum w:abstractNumId="91">
    <w:nsid w:val="26A02C5E"/>
    <w:multiLevelType w:val="hybridMultilevel"/>
    <w:lvl w:ilvl="0">
      <w:lvlJc w:val="left"/>
      <w:lvlText w:val="(%1)"/>
      <w:numFmt w:val="lowerLetter"/>
      <w:start w:val="3"/>
    </w:lvl>
    <w:lvl w:ilvl="1">
      <w:lvlJc w:val="left"/>
      <w:lvlText w:val="(%2)"/>
      <w:numFmt w:val="lowerRoman"/>
      <w:start w:val="1"/>
    </w:lvl>
  </w:abstractNum>
  <w:abstractNum w:abstractNumId="92">
    <w:nsid w:val="541C8153"/>
    <w:multiLevelType w:val="hybridMultilevel"/>
    <w:lvl w:ilvl="0">
      <w:lvlJc w:val="left"/>
      <w:lvlText w:val="%1"/>
      <w:numFmt w:val="lowerLetter"/>
      <w:start w:val="1"/>
    </w:lvl>
    <w:lvl w:ilvl="1">
      <w:lvlJc w:val="left"/>
      <w:lvlText w:val="(%2)"/>
      <w:numFmt w:val="lowerLetter"/>
      <w:start w:val="22"/>
    </w:lvl>
  </w:abstractNum>
  <w:abstractNum w:abstractNumId="93">
    <w:nsid w:val="67906F60"/>
    <w:multiLevelType w:val="hybridMultilevel"/>
    <w:lvl w:ilvl="0">
      <w:lvlJc w:val="left"/>
      <w:lvlText w:val="(%1)"/>
      <w:numFmt w:val="lowerLetter"/>
      <w:start w:val="4"/>
    </w:lvl>
    <w:lvl w:ilvl="1">
      <w:lvlJc w:val="left"/>
      <w:lvlText w:val="%2"/>
      <w:numFmt w:val="lowerLetter"/>
      <w:start w:val="1"/>
    </w:lvl>
  </w:abstractNum>
  <w:abstractNum w:abstractNumId="94">
    <w:nsid w:val="10DB9DAA"/>
    <w:multiLevelType w:val="hybridMultilevel"/>
    <w:lvl w:ilvl="0">
      <w:lvlJc w:val="left"/>
      <w:lvlText w:val="(%1)"/>
      <w:numFmt w:val="lowerLetter"/>
      <w:start w:val="10"/>
    </w:lvl>
  </w:abstractNum>
  <w:abstractNum w:abstractNumId="95">
    <w:nsid w:val="697D2D2"/>
    <w:multiLevelType w:val="hybridMultilevel"/>
    <w:lvl w:ilvl="0">
      <w:lvlJc w:val="left"/>
      <w:lvlText w:val="."/>
      <w:numFmt w:val="bullet"/>
      <w:start w:val="1"/>
    </w:lvl>
    <w:lvl w:ilvl="1">
      <w:lvlJc w:val="left"/>
      <w:lvlText w:val="(%2)"/>
      <w:numFmt w:val="lowerLetter"/>
      <w:start w:val="1"/>
    </w:lvl>
  </w:abstractNum>
  <w:abstractNum w:abstractNumId="96">
    <w:nsid w:val="6D68AB2"/>
    <w:multiLevelType w:val="hybridMultilevel"/>
    <w:lvl w:ilvl="0">
      <w:lvlJc w:val="left"/>
      <w:lvlText w:val="."/>
      <w:numFmt w:val="bullet"/>
      <w:start w:val="1"/>
    </w:lvl>
  </w:abstractNum>
  <w:abstractNum w:abstractNumId="97">
    <w:nsid w:val="3A966CD0"/>
    <w:multiLevelType w:val="hybridMultilevel"/>
    <w:lvl w:ilvl="0">
      <w:lvlJc w:val="left"/>
      <w:lvlText w:val="(%1)"/>
      <w:numFmt w:val="lowerLetter"/>
      <w:start w:val="1"/>
    </w:lvl>
  </w:abstractNum>
  <w:abstractNum w:abstractNumId="98">
    <w:nsid w:val="63F37E85"/>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99">
    <w:nsid w:val="5895F5FA"/>
    <w:multiLevelType w:val="hybridMultilevel"/>
    <w:lvl w:ilvl="0">
      <w:lvlJc w:val="left"/>
      <w:lvlText w:val="."/>
      <w:numFmt w:val="bullet"/>
      <w:start w:val="1"/>
    </w:lvl>
    <w:lvl w:ilvl="1">
      <w:lvlJc w:val="left"/>
      <w:lvlText w:val="(%2)"/>
      <w:numFmt w:val="lowerLetter"/>
      <w:start w:val="35"/>
    </w:lvl>
    <w:lvl w:ilvl="2">
      <w:lvlJc w:val="left"/>
      <w:lvlText w:val="%3"/>
      <w:numFmt w:val="lowerLetter"/>
      <w:start w:val="1"/>
    </w:lvl>
  </w:abstractNum>
  <w:abstractNum w:abstractNumId="100">
    <w:nsid w:val="38A5D054"/>
    <w:multiLevelType w:val="hybridMultilevel"/>
    <w:lvl w:ilvl="0">
      <w:lvlJc w:val="left"/>
      <w:lvlText w:val="(%1)"/>
      <w:numFmt w:val="lowerLetter"/>
      <w:start w:val="3"/>
    </w:lvl>
  </w:abstractNum>
  <w:abstractNum w:abstractNumId="101">
    <w:nsid w:val="F3F09D8"/>
    <w:multiLevelType w:val="hybridMultilevel"/>
    <w:lvl w:ilvl="0">
      <w:lvlJc w:val="left"/>
      <w:lvlText w:val="."/>
      <w:numFmt w:val="bullet"/>
      <w:start w:val="1"/>
    </w:lvl>
  </w:abstractNum>
  <w:abstractNum w:abstractNumId="102">
    <w:nsid w:val="4B793735"/>
    <w:multiLevelType w:val="hybridMultilevel"/>
    <w:lvl w:ilvl="0">
      <w:lvlJc w:val="left"/>
      <w:lvlText w:val="."/>
      <w:numFmt w:val="bullet"/>
      <w:start w:val="1"/>
    </w:lvl>
  </w:abstractNum>
  <w:abstractNum w:abstractNumId="103">
    <w:nsid w:val="4A10B4E8"/>
    <w:multiLevelType w:val="hybridMultilevel"/>
    <w:lvl w:ilvl="0">
      <w:lvlJc w:val="left"/>
      <w:lvlText w:val="."/>
      <w:numFmt w:val="bullet"/>
      <w:start w:val="1"/>
    </w:lvl>
  </w:abstractNum>
  <w:abstractNum w:abstractNumId="104">
    <w:nsid w:val="43D3BCD4"/>
    <w:multiLevelType w:val="hybridMultilevel"/>
    <w:lvl w:ilvl="0">
      <w:lvlJc w:val="left"/>
      <w:lvlText w:val="(%1)"/>
      <w:numFmt w:val="lowerLetter"/>
      <w:start w:val="1"/>
    </w:lvl>
  </w:abstractNum>
  <w:abstractNum w:abstractNumId="105">
    <w:nsid w:val="4C2A7166"/>
    <w:multiLevelType w:val="hybridMultilevel"/>
    <w:lvl w:ilvl="0">
      <w:lvlJc w:val="left"/>
      <w:lvlText w:val="(%1)"/>
      <w:numFmt w:val="lowerLetter"/>
      <w:start w:val="2"/>
    </w:lvl>
  </w:abstractNum>
  <w:abstractNum w:abstractNumId="106">
    <w:nsid w:val="2E534A82"/>
    <w:multiLevelType w:val="hybridMultilevel"/>
    <w:lvl w:ilvl="0">
      <w:lvlJc w:val="left"/>
      <w:lvlText w:val="(%1)"/>
      <w:numFmt w:val="lowerLetter"/>
      <w:start w:val="1"/>
    </w:lvl>
  </w:abstractNum>
  <w:abstractNum w:abstractNumId="107">
    <w:nsid w:val="26F2D364"/>
    <w:multiLevelType w:val="hybridMultilevel"/>
    <w:lvl w:ilvl="0">
      <w:lvlJc w:val="left"/>
      <w:lvlText w:val="."/>
      <w:numFmt w:val="bullet"/>
      <w:start w:val="1"/>
    </w:lvl>
  </w:abstractNum>
  <w:abstractNum w:abstractNumId="108">
    <w:nsid w:val="71C1AF98"/>
    <w:multiLevelType w:val="hybridMultilevel"/>
    <w:lvl w:ilvl="0">
      <w:lvlJc w:val="left"/>
      <w:lvlText w:val="%1"/>
      <w:numFmt w:val="lowerLetter"/>
      <w:start w:val="1"/>
    </w:lvl>
    <w:lvl w:ilvl="1">
      <w:lvlJc w:val="left"/>
      <w:lvlText w:val="(%2)"/>
      <w:numFmt w:val="lowerLetter"/>
      <w:start w:val="1"/>
    </w:lvl>
  </w:abstractNum>
  <w:abstractNum w:abstractNumId="109">
    <w:nsid w:val="3D00B9D9"/>
    <w:multiLevelType w:val="hybridMultilevel"/>
    <w:lvl w:ilvl="0">
      <w:lvlJc w:val="left"/>
      <w:lvlText w:val="(%1)"/>
      <w:numFmt w:val="lowerLetter"/>
      <w:start w:val="35"/>
    </w:lvl>
    <w:lvl w:ilvl="1">
      <w:lvlJc w:val="left"/>
      <w:lvlText w:val="%2"/>
      <w:numFmt w:val="lowerLetter"/>
      <w:start w:val="1"/>
    </w:lvl>
  </w:abstractNum>
  <w:abstractNum w:abstractNumId="110">
    <w:nsid w:val="15BCABA8"/>
    <w:multiLevelType w:val="hybridMultilevel"/>
    <w:lvl w:ilvl="0">
      <w:lvlJc w:val="left"/>
      <w:lvlText w:val="."/>
      <w:numFmt w:val="bullet"/>
      <w:start w:val="1"/>
    </w:lvl>
  </w:abstractNum>
  <w:abstractNum w:abstractNumId="111">
    <w:nsid w:val="4E0B9A87"/>
    <w:multiLevelType w:val="hybridMultilevel"/>
    <w:lvl w:ilvl="0">
      <w:lvlJc w:val="left"/>
      <w:lvlText w:val="."/>
      <w:numFmt w:val="bullet"/>
      <w:start w:val="1"/>
    </w:lvl>
    <w:lvl w:ilvl="1">
      <w:lvlJc w:val="left"/>
      <w:lvlText w:val="(%2)"/>
      <w:numFmt w:val="lowerLetter"/>
      <w:start w:val="1"/>
    </w:lvl>
  </w:abstractNum>
  <w:abstractNum w:abstractNumId="112">
    <w:nsid w:val="434BAE75"/>
    <w:multiLevelType w:val="hybridMultilevel"/>
    <w:lvl w:ilvl="0">
      <w:lvlJc w:val="left"/>
      <w:lvlText w:val="(%1)"/>
      <w:numFmt w:val="lowerLetter"/>
      <w:start w:val="2"/>
    </w:lvl>
  </w:abstractNum>
  <w:abstractNum w:abstractNumId="113">
    <w:nsid w:val="4F38F265"/>
    <w:multiLevelType w:val="hybridMultilevel"/>
    <w:lvl w:ilvl="0">
      <w:lvlJc w:val="left"/>
      <w:lvlText w:val="."/>
      <w:numFmt w:val="bullet"/>
      <w:start w:val="1"/>
    </w:lvl>
  </w:abstractNum>
  <w:abstractNum w:abstractNumId="114">
    <w:nsid w:val="4C502870"/>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5">
    <w:nsid w:val="1DE8725A"/>
    <w:multiLevelType w:val="hybridMultilevel"/>
    <w:lvl w:ilvl="0">
      <w:lvlJc w:val="left"/>
      <w:lvlText w:val="."/>
      <w:numFmt w:val="bullet"/>
      <w:start w:val="1"/>
    </w:lvl>
  </w:abstractNum>
  <w:abstractNum w:abstractNumId="116">
    <w:nsid w:val="6A37288A"/>
    <w:multiLevelType w:val="hybridMultilevel"/>
    <w:lvl w:ilvl="0">
      <w:lvlJc w:val="left"/>
      <w:lvlText w:val="."/>
      <w:numFmt w:val="bullet"/>
      <w:start w:val="1"/>
    </w:lvl>
  </w:abstractNum>
  <w:abstractNum w:abstractNumId="117">
    <w:nsid w:val="8F8B73F"/>
    <w:multiLevelType w:val="hybridMultilevel"/>
    <w:lvl w:ilvl="0">
      <w:lvlJc w:val="left"/>
      <w:lvlText w:val="(%1)"/>
      <w:numFmt w:val="lowerLetter"/>
      <w:start w:val="1"/>
    </w:lvl>
  </w:abstractNum>
  <w:abstractNum w:abstractNumId="118">
    <w:nsid w:val="CA6B462"/>
    <w:multiLevelType w:val="hybridMultilevel"/>
    <w:lvl w:ilvl="0">
      <w:lvlJc w:val="left"/>
      <w:lvlText w:val="."/>
      <w:numFmt w:val="bullet"/>
      <w:start w:val="1"/>
    </w:lvl>
  </w:abstractNum>
  <w:abstractNum w:abstractNumId="119">
    <w:nsid w:val="763CB680"/>
    <w:multiLevelType w:val="hybridMultilevel"/>
    <w:lvl w:ilvl="0">
      <w:lvlJc w:val="left"/>
      <w:lvlText w:val="."/>
      <w:numFmt w:val="bullet"/>
      <w:start w:val="1"/>
    </w:lvl>
  </w:abstractNum>
  <w:abstractNum w:abstractNumId="120">
    <w:nsid w:val="15B71329"/>
    <w:multiLevelType w:val="hybridMultilevel"/>
    <w:lvl w:ilvl="0">
      <w:lvlJc w:val="left"/>
      <w:lvlText w:val="."/>
      <w:numFmt w:val="bullet"/>
      <w:start w:val="1"/>
    </w:lvl>
  </w:abstractNum>
  <w:abstractNum w:abstractNumId="121">
    <w:nsid w:val="3DA97044"/>
    <w:multiLevelType w:val="hybridMultilevel"/>
    <w:lvl w:ilvl="0">
      <w:lvlJc w:val="left"/>
      <w:lvlText w:val="."/>
      <w:numFmt w:val="bullet"/>
      <w:start w:val="1"/>
    </w:lvl>
  </w:abstractNum>
  <w:abstractNum w:abstractNumId="122">
    <w:nsid w:val="1CDCE2DE"/>
    <w:multiLevelType w:val="hybridMultilevel"/>
    <w:lvl w:ilvl="0">
      <w:lvlJc w:val="left"/>
      <w:lvlText w:val="."/>
      <w:numFmt w:val="bullet"/>
      <w:start w:val="1"/>
    </w:lvl>
  </w:abstractNum>
  <w:abstractNum w:abstractNumId="123">
    <w:nsid w:val="69D3947C"/>
    <w:multiLevelType w:val="hybridMultilevel"/>
    <w:lvl w:ilvl="0">
      <w:lvlJc w:val="left"/>
      <w:lvlText w:val="."/>
      <w:numFmt w:val="bullet"/>
      <w:start w:val="1"/>
    </w:lvl>
  </w:abstractNum>
  <w:abstractNum w:abstractNumId="124">
    <w:nsid w:val="2539DFA5"/>
    <w:multiLevelType w:val="hybridMultilevel"/>
    <w:lvl w:ilvl="0">
      <w:lvlJc w:val="left"/>
      <w:lvlText w:val="(%1)"/>
      <w:numFmt w:val="lowerRoman"/>
      <w:start w:val="1"/>
    </w:lvl>
  </w:abstractNum>
  <w:abstractNum w:abstractNumId="125">
    <w:nsid w:val="2DB88089"/>
    <w:multiLevelType w:val="hybridMultilevel"/>
    <w:lvl w:ilvl="0">
      <w:lvlJc w:val="left"/>
      <w:lvlText w:val="."/>
      <w:numFmt w:val="bullet"/>
      <w:start w:val="1"/>
    </w:lvl>
    <w:lvl w:ilvl="1">
      <w:lvlJc w:val="left"/>
      <w:lvlText w:val="(%2)"/>
      <w:numFmt w:val="lowerLetter"/>
      <w:start w:val="1"/>
    </w:lvl>
  </w:abstractNum>
  <w:abstractNum w:abstractNumId="126">
    <w:nsid w:val="706B674E"/>
    <w:multiLevelType w:val="hybridMultilevel"/>
    <w:lvl w:ilvl="0">
      <w:lvlJc w:val="left"/>
      <w:lvlText w:val="."/>
      <w:numFmt w:val="bullet"/>
      <w:start w:val="1"/>
    </w:lvl>
    <w:lvl w:ilvl="1">
      <w:lvlJc w:val="left"/>
      <w:lvlText w:val="(%2)"/>
      <w:numFmt w:val="lowerLetter"/>
      <w:start w:val="1"/>
    </w:lvl>
  </w:abstractNum>
  <w:abstractNum w:abstractNumId="127">
    <w:nsid w:val="2C106A57"/>
    <w:multiLevelType w:val="hybridMultilevel"/>
    <w:lvl w:ilvl="0">
      <w:lvlJc w:val="left"/>
      <w:lvlText w:val="(%1)"/>
      <w:numFmt w:val="lowerLetter"/>
      <w:start w:val="5"/>
    </w:lvl>
  </w:abstractNum>
  <w:abstractNum w:abstractNumId="128">
    <w:nsid w:val="684EED59"/>
    <w:multiLevelType w:val="hybridMultilevel"/>
    <w:lvl w:ilvl="0">
      <w:lvlJc w:val="left"/>
      <w:lvlText w:val="."/>
      <w:numFmt w:val="bullet"/>
      <w:start w:val="1"/>
    </w:lvl>
  </w:abstractNum>
  <w:abstractNum w:abstractNumId="129">
    <w:nsid w:val="545EE5D3"/>
    <w:multiLevelType w:val="hybridMultilevel"/>
    <w:lvl w:ilvl="0">
      <w:lvlJc w:val="left"/>
      <w:lvlText w:val="(%1)"/>
      <w:numFmt w:val="lowerLetter"/>
      <w:start w:val="1"/>
    </w:lvl>
  </w:abstractNum>
  <w:abstractNum w:abstractNumId="130">
    <w:nsid w:val="4A66051"/>
    <w:multiLevelType w:val="hybridMultilevel"/>
    <w:lvl w:ilvl="0">
      <w:lvlJc w:val="left"/>
      <w:lvlText w:val="(%1)"/>
      <w:numFmt w:val="lowerLetter"/>
      <w:start w:val="3"/>
    </w:lvl>
  </w:abstractNum>
  <w:abstractNum w:abstractNumId="131">
    <w:nsid w:val="20F4BDAD"/>
    <w:multiLevelType w:val="hybridMultilevel"/>
    <w:lvl w:ilvl="0">
      <w:lvlJc w:val="left"/>
      <w:lvlText w:val="(%1)"/>
      <w:numFmt w:val="lowerLetter"/>
      <w:start w:val="1"/>
    </w:lvl>
  </w:abstractNum>
  <w:abstractNum w:abstractNumId="132">
    <w:nsid w:val="639DEFAC"/>
    <w:multiLevelType w:val="hybridMultilevel"/>
    <w:lvl w:ilvl="0">
      <w:lvlJc w:val="left"/>
      <w:lvlText w:val="(%1)"/>
      <w:numFmt w:val="lowerLetter"/>
      <w:start w:val="4"/>
    </w:lvl>
  </w:abstractNum>
  <w:abstractNum w:abstractNumId="133">
    <w:nsid w:val="501F9786"/>
    <w:multiLevelType w:val="hybridMultilevel"/>
    <w:lvl w:ilvl="0">
      <w:lvlJc w:val="left"/>
      <w:lvlText w:val="."/>
      <w:numFmt w:val="bullet"/>
      <w:start w:val="1"/>
    </w:lvl>
  </w:abstractNum>
  <w:abstractNum w:abstractNumId="134">
    <w:nsid w:val="6B057295"/>
    <w:multiLevelType w:val="hybridMultilevel"/>
    <w:lvl w:ilvl="0">
      <w:lvlJc w:val="left"/>
      <w:lvlText w:val="."/>
      <w:numFmt w:val="bullet"/>
      <w:start w:val="1"/>
    </w:lvl>
    <w:lvl w:ilvl="1">
      <w:lvlJc w:val="left"/>
      <w:lvlText w:val="(%2)"/>
      <w:numFmt w:val="lowerLetter"/>
      <w:start w:val="1"/>
    </w:lvl>
  </w:abstractNum>
  <w:abstractNum w:abstractNumId="135">
    <w:nsid w:val="2771AC80"/>
    <w:multiLevelType w:val="hybridMultilevel"/>
    <w:lvl w:ilvl="0">
      <w:lvlJc w:val="left"/>
      <w:lvlText w:val="(%1)"/>
      <w:numFmt w:val="lowerLetter"/>
      <w:start w:val="6"/>
    </w:lvl>
  </w:abstractNum>
  <w:abstractNum w:abstractNumId="136">
    <w:nsid w:val="1C4A08EC"/>
    <w:multiLevelType w:val="hybridMultilevel"/>
    <w:lvl w:ilvl="0">
      <w:lvlJc w:val="left"/>
      <w:lvlText w:val="(%1)"/>
      <w:numFmt w:val="lowerLetter"/>
      <w:start w:val="1"/>
    </w:lvl>
  </w:abstractNum>
  <w:abstractNum w:abstractNumId="137">
    <w:nsid w:val="1958BD17"/>
    <w:multiLevelType w:val="hybridMultilevel"/>
    <w:lvl w:ilvl="0">
      <w:lvlJc w:val="left"/>
      <w:lvlText w:val="(%1)"/>
      <w:numFmt w:val="lowerLetter"/>
      <w:start w:val="1"/>
    </w:lvl>
  </w:abstractNum>
  <w:abstractNum w:abstractNumId="138">
    <w:nsid w:val="4E647FE4"/>
    <w:multiLevelType w:val="hybridMultilevel"/>
    <w:lvl w:ilvl="0">
      <w:lvlJc w:val="left"/>
      <w:lvlText w:val="."/>
      <w:numFmt w:val="bullet"/>
      <w:start w:val="1"/>
    </w:lvl>
  </w:abstractNum>
  <w:abstractNum w:abstractNumId="139">
    <w:nsid w:val="E0BB885"/>
    <w:multiLevelType w:val="hybridMultilevel"/>
    <w:lvl w:ilvl="0">
      <w:lvlJc w:val="left"/>
      <w:lvlText w:val="(%1)"/>
      <w:numFmt w:val="lowerLetter"/>
      <w:start w:val="1"/>
    </w:lvl>
  </w:abstractNum>
  <w:abstractNum w:abstractNumId="140">
    <w:nsid w:val="565976F1"/>
    <w:multiLevelType w:val="hybridMultilevel"/>
    <w:lvl w:ilvl="0">
      <w:lvlJc w:val="left"/>
      <w:lvlText w:val="(%1)"/>
      <w:numFmt w:val="lowerLetter"/>
      <w:start w:val="1"/>
    </w:lvl>
  </w:abstractNum>
  <w:abstractNum w:abstractNumId="141">
    <w:nsid w:val="64212B8C"/>
    <w:multiLevelType w:val="hybridMultilevel"/>
    <w:lvl w:ilvl="0">
      <w:lvlJc w:val="left"/>
      <w:lvlText w:val="."/>
      <w:numFmt w:val="bullet"/>
      <w:start w:val="1"/>
    </w:lvl>
  </w:abstractNum>
  <w:abstractNum w:abstractNumId="142">
    <w:nsid w:val="5C17530C"/>
    <w:multiLevelType w:val="hybridMultilevel"/>
    <w:lvl w:ilvl="0">
      <w:lvlJc w:val="left"/>
      <w:lvlText w:val="(%1)"/>
      <w:numFmt w:val="lowerLetter"/>
      <w:start w:val="1"/>
    </w:lvl>
  </w:abstractNum>
  <w:abstractNum w:abstractNumId="143">
    <w:nsid w:val="19A52566"/>
    <w:multiLevelType w:val="hybridMultilevel"/>
    <w:lvl w:ilvl="0">
      <w:lvlJc w:val="left"/>
      <w:lvlText w:val="(%1)"/>
      <w:numFmt w:val="lowerLetter"/>
      <w:start w:val="1"/>
    </w:lvl>
  </w:abstractNum>
  <w:abstractNum w:abstractNumId="144">
    <w:nsid w:val="335A1DF1"/>
    <w:multiLevelType w:val="hybridMultilevel"/>
    <w:lvl w:ilvl="0">
      <w:lvlJc w:val="left"/>
      <w:lvlText w:val="%1"/>
      <w:numFmt w:val="lowerRoman"/>
      <w:start w:val="1"/>
    </w:lvl>
    <w:lvl w:ilvl="1">
      <w:lvlJc w:val="left"/>
      <w:lvlText w:val="(%2)"/>
      <w:numFmt w:val="lowerLetter"/>
      <w:start w:val="2"/>
    </w:lvl>
  </w:abstractNum>
  <w:abstractNum w:abstractNumId="145">
    <w:nsid w:val="28677B7C"/>
    <w:multiLevelType w:val="hybridMultilevel"/>
    <w:lvl w:ilvl="0">
      <w:lvlJc w:val="left"/>
      <w:lvlText w:val="(%1)"/>
      <w:numFmt w:val="lowerRoman"/>
      <w:start w:val="4"/>
    </w:lvl>
    <w:lvl w:ilvl="1">
      <w:lvlJc w:val="left"/>
      <w:lvlText w:val="%2"/>
      <w:numFmt w:val="lowerLetter"/>
      <w:start w:val="1"/>
    </w:lvl>
  </w:abstractNum>
  <w:abstractNum w:abstractNumId="146">
    <w:nsid w:val="378D97C0"/>
    <w:multiLevelType w:val="hybridMultilevel"/>
    <w:lvl w:ilvl="0">
      <w:lvlJc w:val="left"/>
      <w:lvlText w:val="(%1)"/>
      <w:numFmt w:val="lowerLetter"/>
      <w:start w:val="1"/>
    </w:lvl>
  </w:abstractNum>
  <w:abstractNum w:abstractNumId="147">
    <w:nsid w:val="1D91467C"/>
    <w:multiLevelType w:val="hybridMultilevel"/>
    <w:lvl w:ilvl="0">
      <w:lvlJc w:val="left"/>
      <w:lvlText w:val="(%1)"/>
      <w:numFmt w:val="lowerLetter"/>
      <w:start w:val="3"/>
    </w:lvl>
  </w:abstractNum>
  <w:abstractNum w:abstractNumId="148">
    <w:nsid w:val="316032BB"/>
    <w:multiLevelType w:val="hybridMultilevel"/>
    <w:lvl w:ilvl="0">
      <w:lvlJc w:val="left"/>
      <w:lvlText w:val="(%1)"/>
      <w:numFmt w:val="lowerLetter"/>
      <w:start w:val="1"/>
    </w:lvl>
  </w:abstractNum>
  <w:abstractNum w:abstractNumId="149">
    <w:nsid w:val="44344C22"/>
    <w:multiLevelType w:val="hybridMultilevel"/>
    <w:lvl w:ilvl="0">
      <w:lvlJc w:val="left"/>
      <w:lvlText w:val="."/>
      <w:numFmt w:val="bullet"/>
      <w:start w:val="1"/>
    </w:lvl>
  </w:abstractNum>
  <w:abstractNum w:abstractNumId="150">
    <w:nsid w:val="13CDFCFC"/>
    <w:multiLevelType w:val="hybridMultilevel"/>
    <w:lvl w:ilvl="0">
      <w:lvlJc w:val="left"/>
      <w:lvlText w:val="."/>
      <w:numFmt w:val="bullet"/>
      <w:start w:val="1"/>
    </w:lvl>
  </w:abstractNum>
  <w:abstractNum w:abstractNumId="151">
    <w:nsid w:val="471745E4"/>
    <w:multiLevelType w:val="hybridMultilevel"/>
    <w:lvl w:ilvl="0">
      <w:lvlJc w:val="left"/>
      <w:lvlText w:val="."/>
      <w:numFmt w:val="bullet"/>
      <w:start w:val="1"/>
    </w:lvl>
    <w:lvl w:ilvl="1">
      <w:lvlJc w:val="left"/>
      <w:lvlText w:val="(%2)"/>
      <w:numFmt w:val="lowerLetter"/>
      <w:start w:val="1"/>
    </w:lvl>
  </w:abstractNum>
  <w:abstractNum w:abstractNumId="152">
    <w:nsid w:val="1DDBC66"/>
    <w:multiLevelType w:val="hybridMultilevel"/>
    <w:lvl w:ilvl="0">
      <w:lvlJc w:val="left"/>
      <w:lvlText w:val="%1"/>
      <w:numFmt w:val="decimal"/>
      <w:start w:val="1"/>
    </w:lvl>
    <w:lvl w:ilvl="1">
      <w:lvlJc w:val="left"/>
      <w:lvlText w:val="(%2)"/>
      <w:numFmt w:val="lowerLetter"/>
      <w:start w:val="7"/>
    </w:lvl>
  </w:abstractNum>
  <w:abstractNum w:abstractNumId="153">
    <w:nsid w:val="30AADFDA"/>
    <w:multiLevelType w:val="hybridMultilevel"/>
    <w:lvl w:ilvl="0">
      <w:lvlJc w:val="left"/>
      <w:lvlText w:val="(%1)"/>
      <w:numFmt w:val="decimal"/>
      <w:start w:val="120"/>
    </w:lvl>
    <w:lvl w:ilvl="1">
      <w:lvlJc w:val="left"/>
      <w:lvlText w:val="(%2)"/>
      <w:numFmt w:val="lowerLetter"/>
      <w:start w:val="8"/>
    </w:lvl>
  </w:abstractNum>
  <w:abstractNum w:abstractNumId="154">
    <w:nsid w:val="30EADA61"/>
    <w:multiLevelType w:val="hybridMultilevel"/>
    <w:lvl w:ilvl="0">
      <w:lvlJc w:val="left"/>
      <w:lvlText w:val="(%1)"/>
      <w:numFmt w:val="lowerLetter"/>
      <w:start w:val="19"/>
    </w:lvl>
  </w:abstractNum>
  <w:abstractNum w:abstractNumId="155">
    <w:nsid w:val="27179C0B"/>
    <w:multiLevelType w:val="hybridMultilevel"/>
    <w:lvl w:ilvl="0">
      <w:lvlJc w:val="left"/>
      <w:lvlText w:val="."/>
      <w:numFmt w:val="bullet"/>
      <w:start w:val="1"/>
    </w:lvl>
    <w:lvl w:ilvl="1">
      <w:lvlJc w:val="left"/>
      <w:lvlText w:val="(%2)"/>
      <w:numFmt w:val="lowerLetter"/>
      <w:start w:val="1"/>
    </w:lvl>
  </w:abstractNum>
  <w:abstractNum w:abstractNumId="156">
    <w:nsid w:val="5E636063"/>
    <w:multiLevelType w:val="hybridMultilevel"/>
    <w:lvl w:ilvl="0">
      <w:lvlJc w:val="left"/>
      <w:lvlText w:val="."/>
      <w:numFmt w:val="bullet"/>
      <w:start w:val="1"/>
    </w:lvl>
    <w:lvl w:ilvl="1">
      <w:lvlJc w:val="left"/>
      <w:lvlText w:val="(%2)"/>
      <w:numFmt w:val="lowerLetter"/>
      <w:start w:val="1"/>
    </w:lvl>
  </w:abstractNum>
  <w:abstractNum w:abstractNumId="157">
    <w:nsid w:val="215641AF"/>
    <w:multiLevelType w:val="hybridMultilevel"/>
    <w:lvl w:ilvl="0">
      <w:lvlJc w:val="left"/>
      <w:lvlText w:val="(%1)"/>
      <w:numFmt w:val="lowerLetter"/>
      <w:start w:val="3"/>
    </w:lvl>
  </w:abstractNum>
  <w:abstractNum w:abstractNumId="158">
    <w:nsid w:val="53280662"/>
    <w:multiLevelType w:val="hybridMultilevel"/>
    <w:lvl w:ilvl="0">
      <w:lvlJc w:val="left"/>
      <w:lvlText w:val="."/>
      <w:numFmt w:val="bullet"/>
      <w:start w:val="1"/>
    </w:lvl>
    <w:lvl w:ilvl="1">
      <w:lvlJc w:val="left"/>
      <w:lvlText w:val="(%2)"/>
      <w:numFmt w:val="lowerLetter"/>
      <w:start w:val="1"/>
    </w:lvl>
  </w:abstractNum>
  <w:abstractNum w:abstractNumId="159">
    <w:nsid w:val="46B24DBC"/>
    <w:multiLevelType w:val="hybridMultilevel"/>
    <w:lvl w:ilvl="0">
      <w:lvlJc w:val="left"/>
      <w:lvlText w:val="(%1)"/>
      <w:numFmt w:val="lowerLetter"/>
      <w:start w:val="12"/>
    </w:lvl>
  </w:abstractNum>
  <w:abstractNum w:abstractNumId="160">
    <w:nsid w:val="75B5278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61">
    <w:nsid w:val="57CE66B4"/>
    <w:multiLevelType w:val="hybridMultilevel"/>
    <w:lvl w:ilvl="0">
      <w:lvlJc w:val="left"/>
      <w:lvlText w:val="(%1)"/>
      <w:numFmt w:val="lowerLetter"/>
      <w:start w:val="4"/>
    </w:lvl>
  </w:abstractNum>
  <w:abstractNum w:abstractNumId="162">
    <w:nsid w:val="67A70B6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63">
    <w:nsid w:val="5953172F"/>
    <w:multiLevelType w:val="hybridMultilevel"/>
    <w:lvl w:ilvl="0">
      <w:lvlJc w:val="left"/>
      <w:lvlText w:val="."/>
      <w:numFmt w:val="bullet"/>
      <w:start w:val="1"/>
    </w:lvl>
    <w:lvl w:ilvl="1">
      <w:lvlJc w:val="left"/>
      <w:lvlText w:val="(%2)"/>
      <w:numFmt w:val="lowerLetter"/>
      <w:start w:val="35"/>
    </w:lvl>
    <w:lvl w:ilvl="2">
      <w:lvlJc w:val="left"/>
      <w:lvlText w:val="(%3)"/>
      <w:numFmt w:val="lowerLetter"/>
      <w:start w:val="4"/>
    </w:lvl>
  </w:abstractNum>
  <w:abstractNum w:abstractNumId="164">
    <w:nsid w:val="27EDFE3A"/>
    <w:multiLevelType w:val="hybridMultilevel"/>
    <w:lvl w:ilvl="0">
      <w:lvlJc w:val="left"/>
      <w:lvlText w:val="(%1)"/>
      <w:numFmt w:val="lowerLetter"/>
      <w:start w:val="12"/>
    </w:lvl>
  </w:abstractNum>
  <w:abstractNum w:abstractNumId="165">
    <w:nsid w:val="52AC7DFF"/>
    <w:multiLevelType w:val="hybridMultilevel"/>
    <w:lvl w:ilvl="0">
      <w:lvlJc w:val="left"/>
      <w:lvlText w:val="."/>
      <w:numFmt w:val="bullet"/>
      <w:start w:val="1"/>
    </w:lvl>
  </w:abstractNum>
  <w:abstractNum w:abstractNumId="166">
    <w:nsid w:val="C4C3AF"/>
    <w:multiLevelType w:val="hybridMultilevel"/>
    <w:lvl w:ilvl="0">
      <w:lvlJc w:val="left"/>
      <w:lvlText w:val="."/>
      <w:numFmt w:val="bullet"/>
      <w:start w:val="1"/>
    </w:lvl>
  </w:abstractNum>
  <w:abstractNum w:abstractNumId="167">
    <w:nsid w:val="44380727"/>
    <w:multiLevelType w:val="hybridMultilevel"/>
    <w:lvl w:ilvl="0">
      <w:lvlJc w:val="left"/>
      <w:lvlText w:val="."/>
      <w:numFmt w:val="bullet"/>
      <w:start w:val="1"/>
    </w:lvl>
  </w:abstractNum>
  <w:abstractNum w:abstractNumId="168">
    <w:nsid w:val="6C053B16"/>
    <w:multiLevelType w:val="hybridMultilevel"/>
    <w:lvl w:ilvl="0">
      <w:lvlJc w:val="left"/>
      <w:lvlText w:val="."/>
      <w:numFmt w:val="bullet"/>
      <w:start w:val="1"/>
    </w:lvl>
  </w:abstractNum>
  <w:abstractNum w:abstractNumId="169">
    <w:nsid w:val="4F294393"/>
    <w:multiLevelType w:val="hybridMultilevel"/>
    <w:lvl w:ilvl="0">
      <w:lvlJc w:val="left"/>
      <w:lvlText w:val="."/>
      <w:numFmt w:val="bullet"/>
      <w:start w:val="1"/>
    </w:lvl>
    <w:lvl w:ilvl="1">
      <w:lvlJc w:val="left"/>
      <w:lvlText w:val="(%2)"/>
      <w:numFmt w:val="lowerLetter"/>
      <w:start w:val="1"/>
    </w:lvl>
  </w:abstractNum>
  <w:abstractNum w:abstractNumId="170">
    <w:nsid w:val="5243BFAC"/>
    <w:multiLevelType w:val="hybridMultilevel"/>
    <w:lvl w:ilvl="0">
      <w:lvlJc w:val="left"/>
      <w:lvlText w:val="."/>
      <w:numFmt w:val="bullet"/>
      <w:start w:val="1"/>
    </w:lvl>
  </w:abstractNum>
  <w:abstractNum w:abstractNumId="171">
    <w:nsid w:val="425EB207"/>
    <w:multiLevelType w:val="hybridMultilevel"/>
    <w:lvl w:ilvl="0">
      <w:lvlJc w:val="left"/>
      <w:lvlText w:val="%1"/>
      <w:numFmt w:val="lowerLetter"/>
      <w:start w:val="1"/>
    </w:lvl>
    <w:lvl w:ilvl="1">
      <w:lvlJc w:val="left"/>
      <w:lvlText w:val="(%2)"/>
      <w:numFmt w:val="lowerLetter"/>
      <w:start w:val="1"/>
    </w:lvl>
  </w:abstractNum>
  <w:abstractNum w:abstractNumId="172">
    <w:nsid w:val="334A6F1F"/>
    <w:multiLevelType w:val="hybridMultilevel"/>
    <w:lvl w:ilvl="0">
      <w:lvlJc w:val="left"/>
      <w:lvlText w:val="(%1)"/>
      <w:numFmt w:val="lowerLetter"/>
      <w:start w:val="2"/>
    </w:lvl>
    <w:lvl w:ilvl="1">
      <w:lvlJc w:val="left"/>
      <w:lvlText w:val="%2"/>
      <w:numFmt w:val="lowerLetter"/>
      <w:start w:val="1"/>
    </w:lvl>
  </w:abstractNum>
  <w:abstractNum w:abstractNumId="173">
    <w:nsid w:val="2E5B12B8"/>
    <w:multiLevelType w:val="hybridMultilevel"/>
    <w:lvl w:ilvl="0">
      <w:lvlJc w:val="left"/>
      <w:lvlText w:val="(%1)"/>
      <w:numFmt w:val="lowerLetter"/>
      <w:start w:val="1"/>
    </w:lvl>
  </w:abstractNum>
  <w:abstractNum w:abstractNumId="174">
    <w:nsid w:val="5C03D76D"/>
    <w:multiLevelType w:val="hybridMultilevel"/>
    <w:lvl w:ilvl="0">
      <w:lvlJc w:val="left"/>
      <w:lvlText w:val="%1"/>
      <w:numFmt w:val="lowerLetter"/>
      <w:start w:val="1"/>
    </w:lvl>
    <w:lvl w:ilvl="1">
      <w:lvlJc w:val="left"/>
      <w:lvlText w:val="(%2)"/>
      <w:numFmt w:val="lowerLetter"/>
      <w:start w:val="8"/>
    </w:lvl>
  </w:abstractNum>
  <w:abstractNum w:abstractNumId="175">
    <w:nsid w:val="66A48D11"/>
    <w:multiLevelType w:val="hybridMultilevel"/>
    <w:lvl w:ilvl="0">
      <w:lvlJc w:val="left"/>
      <w:lvlText w:val="(%1)"/>
      <w:numFmt w:val="lowerLetter"/>
      <w:start w:val="35"/>
    </w:lvl>
    <w:lvl w:ilvl="1">
      <w:lvlJc w:val="left"/>
      <w:lvlText w:val="(%2)"/>
      <w:numFmt w:val="lowerLetter"/>
      <w:start w:val="10"/>
    </w:lvl>
  </w:abstractNum>
  <w:abstractNum w:abstractNumId="176">
    <w:nsid w:val="56C28E34"/>
    <w:multiLevelType w:val="hybridMultilevel"/>
    <w:lvl w:ilvl="0">
      <w:lvlJc w:val="left"/>
      <w:lvlText w:val="(%1)"/>
      <w:numFmt w:val="lowerLetter"/>
      <w:start w:val="12"/>
    </w:lvl>
  </w:abstractNum>
  <w:abstractNum w:abstractNumId="177">
    <w:nsid w:val="13916F2D"/>
    <w:multiLevelType w:val="hybridMultilevel"/>
    <w:lvl w:ilvl="0">
      <w:lvlJc w:val="left"/>
      <w:lvlText w:val="."/>
      <w:numFmt w:val="bullet"/>
      <w:start w:val="1"/>
    </w:lvl>
  </w:abstractNum>
  <w:abstractNum w:abstractNumId="178">
    <w:nsid w:val="435D38D"/>
    <w:multiLevelType w:val="hybridMultilevel"/>
    <w:lvl w:ilvl="0">
      <w:lvlJc w:val="left"/>
      <w:lvlText w:val="."/>
      <w:numFmt w:val="bullet"/>
      <w:start w:val="1"/>
    </w:lvl>
  </w:abstractNum>
  <w:abstractNum w:abstractNumId="179">
    <w:nsid w:val="822C0EF"/>
    <w:multiLevelType w:val="hybridMultilevel"/>
    <w:lvl w:ilvl="0">
      <w:lvlJc w:val="left"/>
      <w:lvlText w:val="."/>
      <w:numFmt w:val="bullet"/>
      <w:start w:val="1"/>
    </w:lvl>
  </w:abstractNum>
  <w:abstractNum w:abstractNumId="180">
    <w:nsid w:val="57C5BB4F"/>
    <w:multiLevelType w:val="hybridMultilevel"/>
    <w:lvl w:ilvl="0">
      <w:lvlJc w:val="left"/>
      <w:lvlText w:val="."/>
      <w:numFmt w:val="bullet"/>
      <w:start w:val="1"/>
    </w:lvl>
  </w:abstractNum>
  <w:abstractNum w:abstractNumId="181">
    <w:nsid w:val="1803D089"/>
    <w:multiLevelType w:val="hybridMultilevel"/>
    <w:lvl w:ilvl="0">
      <w:lvlJc w:val="left"/>
      <w:lvlText w:val="."/>
      <w:numFmt w:val="bullet"/>
      <w:start w:val="1"/>
    </w:lvl>
  </w:abstractNum>
  <w:abstractNum w:abstractNumId="182">
    <w:nsid w:val="4F3A06D4"/>
    <w:multiLevelType w:val="hybridMultilevel"/>
    <w:lvl w:ilvl="0">
      <w:lvlJc w:val="left"/>
      <w:lvlText w:val="(%1)"/>
      <w:numFmt w:val="lowerLetter"/>
      <w:start w:val="1"/>
    </w:lvl>
  </w:abstractNum>
  <w:abstractNum w:abstractNumId="183">
    <w:nsid w:val="59A377B6"/>
    <w:multiLevelType w:val="hybridMultilevel"/>
    <w:lvl w:ilvl="0">
      <w:lvlJc w:val="left"/>
      <w:lvlText w:val="(%1)"/>
      <w:numFmt w:val="lowerLetter"/>
      <w:start w:val="2"/>
    </w:lvl>
  </w:abstractNum>
  <w:abstractNum w:abstractNumId="184">
    <w:nsid w:val="48AEB063"/>
    <w:multiLevelType w:val="hybridMultilevel"/>
    <w:lvl w:ilvl="0">
      <w:lvlJc w:val="left"/>
      <w:lvlText w:val="."/>
      <w:numFmt w:val="bullet"/>
      <w:start w:val="1"/>
    </w:lvl>
    <w:lvl w:ilvl="1">
      <w:lvlJc w:val="left"/>
      <w:lvlText w:val="(%2)"/>
      <w:numFmt w:val="lowerLetter"/>
      <w:start w:val="1"/>
    </w:lvl>
  </w:abstractNum>
  <w:abstractNum w:abstractNumId="185">
    <w:nsid w:val="24E135"/>
    <w:multiLevelType w:val="hybridMultilevel"/>
    <w:lvl w:ilvl="0">
      <w:lvlJc w:val="left"/>
      <w:lvlText w:val="(%1)"/>
      <w:numFmt w:val="lowerLetter"/>
      <w:start w:val="1"/>
    </w:lvl>
  </w:abstractNum>
  <w:abstractNum w:abstractNumId="186">
    <w:nsid w:val="BB13C1"/>
    <w:multiLevelType w:val="hybridMultilevel"/>
    <w:lvl w:ilvl="0">
      <w:lvlJc w:val="left"/>
      <w:lvlText w:val="(%1)"/>
      <w:numFmt w:val="lowerLetter"/>
      <w:start w:val="2"/>
    </w:lvl>
  </w:abstractNum>
  <w:abstractNum w:abstractNumId="187">
    <w:nsid w:val="271210C7"/>
    <w:multiLevelType w:val="hybridMultilevel"/>
    <w:lvl w:ilvl="0">
      <w:lvlJc w:val="left"/>
      <w:lvlText w:val="."/>
      <w:numFmt w:val="bullet"/>
      <w:start w:val="1"/>
    </w:lvl>
  </w:abstractNum>
  <w:abstractNum w:abstractNumId="188">
    <w:nsid w:val="217B22E4"/>
    <w:multiLevelType w:val="hybridMultilevel"/>
    <w:lvl w:ilvl="0">
      <w:lvlJc w:val="left"/>
      <w:lvlText w:val="(%1)"/>
      <w:numFmt w:val="lowerLetter"/>
      <w:start w:val="1"/>
    </w:lvl>
  </w:abstractNum>
  <w:abstractNum w:abstractNumId="189">
    <w:nsid w:val="53E31A24"/>
    <w:multiLevelType w:val="hybridMultilevel"/>
    <w:lvl w:ilvl="0">
      <w:lvlJc w:val="left"/>
      <w:lvlText w:val="(%1)"/>
      <w:numFmt w:val="lowerLetter"/>
      <w:start w:val="2"/>
    </w:lvl>
  </w:abstractNum>
  <w:abstractNum w:abstractNumId="190">
    <w:nsid w:val="6DC45E83"/>
    <w:multiLevelType w:val="hybridMultilevel"/>
    <w:lvl w:ilvl="0">
      <w:lvlJc w:val="left"/>
      <w:lvlText w:val="."/>
      <w:numFmt w:val="bullet"/>
      <w:start w:val="1"/>
    </w:lvl>
  </w:abstractNum>
  <w:abstractNum w:abstractNumId="191">
    <w:nsid w:val="17304A67"/>
    <w:multiLevelType w:val="hybridMultilevel"/>
    <w:lvl w:ilvl="0">
      <w:lvlJc w:val="left"/>
      <w:lvlText w:val="."/>
      <w:numFmt w:val="bullet"/>
      <w:start w:val="1"/>
    </w:lvl>
  </w:abstractNum>
  <w:abstractNum w:abstractNumId="192">
    <w:nsid w:val="2BB180D8"/>
    <w:multiLevelType w:val="hybridMultilevel"/>
    <w:lvl w:ilvl="0">
      <w:lvlJc w:val="left"/>
      <w:lvlText w:val="(%1)"/>
      <w:numFmt w:val="lowerLetter"/>
      <w:start w:val="1"/>
    </w:lvl>
    <w:lvl w:ilvl="1">
      <w:lvlJc w:val="left"/>
      <w:lvlText w:val="(%2)"/>
      <w:numFmt w:val="lowerRoman"/>
      <w:start w:val="1"/>
    </w:lvl>
  </w:abstractNum>
  <w:abstractNum w:abstractNumId="193">
    <w:nsid w:val="556B69ED"/>
    <w:multiLevelType w:val="hybridMultilevel"/>
    <w:lvl w:ilvl="0">
      <w:lvlJc w:val="left"/>
      <w:lvlText w:val="(%1)"/>
      <w:numFmt w:val="lowerLetter"/>
      <w:start w:val="2"/>
    </w:lvl>
  </w:abstractNum>
  <w:abstractNum w:abstractNumId="194">
    <w:nsid w:val="70836196"/>
    <w:multiLevelType w:val="hybridMultilevel"/>
    <w:lvl w:ilvl="0">
      <w:lvlJc w:val="left"/>
      <w:lvlText w:val="(%1)"/>
      <w:numFmt w:val="lowerRoman"/>
      <w:start w:val="1"/>
    </w:lvl>
  </w:abstractNum>
  <w:abstractNum w:abstractNumId="195">
    <w:nsid w:val="539F7F12"/>
    <w:multiLevelType w:val="hybridMultilevel"/>
    <w:lvl w:ilvl="0">
      <w:lvlJc w:val="left"/>
      <w:lvlText w:val="(%1)"/>
      <w:numFmt w:val="lowerRoman"/>
      <w:start w:val="1"/>
    </w:lvl>
  </w:abstractNum>
  <w:abstractNum w:abstractNumId="196">
    <w:nsid w:val="2817E7EC"/>
    <w:multiLevelType w:val="hybridMultilevel"/>
    <w:lvl w:ilvl="0">
      <w:lvlJc w:val="left"/>
      <w:lvlText w:val="(%1)"/>
      <w:numFmt w:val="lowerRoman"/>
      <w:start w:val="2"/>
    </w:lvl>
  </w:abstractNum>
  <w:abstractNum w:abstractNumId="197">
    <w:nsid w:val="71482545"/>
    <w:multiLevelType w:val="hybridMultilevel"/>
    <w:lvl w:ilvl="0">
      <w:lvlJc w:val="left"/>
      <w:lvlText w:val="(%1)"/>
      <w:numFmt w:val="lowerRoman"/>
      <w:start w:val="2"/>
    </w:lvl>
  </w:abstractNum>
  <w:abstractNum w:abstractNumId="198">
    <w:nsid w:val="17D78639"/>
    <w:multiLevelType w:val="hybridMultilevel"/>
    <w:lvl w:ilvl="0">
      <w:lvlJc w:val="left"/>
      <w:lvlText w:val="(%1)"/>
      <w:numFmt w:val="lowerRoman"/>
      <w:start w:val="4"/>
    </w:lvl>
  </w:abstractNum>
  <w:abstractNum w:abstractNumId="199">
    <w:nsid w:val="141D2302"/>
    <w:multiLevelType w:val="hybridMultilevel"/>
    <w:lvl w:ilvl="0">
      <w:lvlJc w:val="left"/>
      <w:lvlText w:val="(%1)"/>
      <w:numFmt w:val="lowerRoman"/>
      <w:start w:val="3"/>
    </w:lvl>
  </w:abstractNum>
  <w:abstractNum w:abstractNumId="200">
    <w:nsid w:val="407168D8"/>
    <w:multiLevelType w:val="hybridMultilevel"/>
    <w:lvl w:ilvl="0">
      <w:lvlJc w:val="left"/>
      <w:lvlText w:val="(%1)"/>
      <w:numFmt w:val="lowerRoman"/>
      <w:start w:val="3"/>
    </w:lvl>
  </w:abstractNum>
  <w:abstractNum w:abstractNumId="201">
    <w:nsid w:val="6A1B45E5"/>
    <w:multiLevelType w:val="hybridMultilevel"/>
    <w:lvl w:ilvl="0">
      <w:lvlJc w:val="left"/>
      <w:lvlText w:val="."/>
      <w:numFmt w:val="bullet"/>
      <w:start w:val="1"/>
    </w:lvl>
  </w:abstractNum>
  <w:abstractNum w:abstractNumId="202">
    <w:nsid w:val="567BD50A"/>
    <w:multiLevelType w:val="hybridMultilevel"/>
    <w:lvl w:ilvl="0">
      <w:lvlJc w:val="left"/>
      <w:lvlText w:val="(%1)"/>
      <w:numFmt w:val="lowerLetter"/>
      <w:start w:val="1"/>
    </w:lvl>
    <w:lvl w:ilvl="1">
      <w:lvlJc w:val="left"/>
      <w:lvlText w:val="(%2)"/>
      <w:numFmt w:val="lowerRoman"/>
      <w:start w:val="1"/>
    </w:lvl>
  </w:abstractNum>
  <w:abstractNum w:abstractNumId="203">
    <w:nsid w:val="73BBD7F8"/>
    <w:multiLevelType w:val="hybridMultilevel"/>
    <w:lvl w:ilvl="0">
      <w:lvlJc w:val="left"/>
      <w:lvlText w:val="(%1)"/>
      <w:numFmt w:val="lowerLetter"/>
      <w:start w:val="2"/>
    </w:lvl>
    <w:lvl w:ilvl="1">
      <w:lvlJc w:val="left"/>
      <w:lvlText w:val="(%2)"/>
      <w:numFmt w:val="lowerLetter"/>
      <w:start w:val="61"/>
    </w:lvl>
  </w:abstractNum>
  <w:abstractNum w:abstractNumId="204">
    <w:nsid w:val="1876589D"/>
    <w:multiLevelType w:val="hybridMultilevel"/>
    <w:lvl w:ilvl="0">
      <w:lvlJc w:val="left"/>
      <w:lvlText w:val="."/>
      <w:numFmt w:val="bullet"/>
      <w:start w:val="1"/>
    </w:lvl>
  </w:abstractNum>
  <w:abstractNum w:abstractNumId="205">
    <w:nsid w:val="327FAC77"/>
    <w:multiLevelType w:val="hybridMultilevel"/>
    <w:lvl w:ilvl="0">
      <w:lvlJc w:val="left"/>
      <w:lvlText w:val="(%1)"/>
      <w:numFmt w:val="lowerLetter"/>
      <w:start w:val="2"/>
    </w:lvl>
  </w:abstractNum>
  <w:abstractNum w:abstractNumId="206">
    <w:nsid w:val="5A606509"/>
    <w:multiLevelType w:val="hybridMultilevel"/>
    <w:lvl w:ilvl="0">
      <w:lvlJc w:val="left"/>
      <w:lvlText w:val="(%1)"/>
      <w:numFmt w:val="lowerLetter"/>
      <w:start w:val="4"/>
    </w:lvl>
  </w:abstractNum>
  <w:abstractNum w:abstractNumId="207">
    <w:nsid w:val="6F38E6D1"/>
    <w:multiLevelType w:val="hybridMultilevel"/>
    <w:lvl w:ilvl="0">
      <w:lvlJc w:val="left"/>
      <w:lvlText w:val="."/>
      <w:numFmt w:val="bullet"/>
      <w:start w:val="1"/>
    </w:lvl>
  </w:abstractNum>
  <w:abstractNum w:abstractNumId="208">
    <w:nsid w:val="46111BA5"/>
    <w:multiLevelType w:val="hybridMultilevel"/>
    <w:lvl w:ilvl="0">
      <w:lvlJc w:val="left"/>
      <w:lvlText w:val="."/>
      <w:numFmt w:val="bullet"/>
      <w:start w:val="1"/>
    </w:lvl>
  </w:abstractNum>
  <w:abstractNum w:abstractNumId="209">
    <w:nsid w:val="5E963896"/>
    <w:multiLevelType w:val="hybridMultilevel"/>
    <w:lvl w:ilvl="0">
      <w:lvlJc w:val="left"/>
      <w:lvlText w:val="."/>
      <w:numFmt w:val="bullet"/>
      <w:start w:val="1"/>
    </w:lvl>
  </w:abstractNum>
  <w:abstractNum w:abstractNumId="210">
    <w:nsid w:val="775BA7C1"/>
    <w:multiLevelType w:val="hybridMultilevel"/>
    <w:lvl w:ilvl="0">
      <w:lvlJc w:val="left"/>
      <w:lvlText w:val="(%1)"/>
      <w:numFmt w:val="lowerLetter"/>
      <w:start w:val="1"/>
    </w:lvl>
  </w:abstractNum>
  <w:abstractNum w:abstractNumId="211">
    <w:nsid w:val="1DD6D6F4"/>
    <w:multiLevelType w:val="hybridMultilevel"/>
    <w:lvl w:ilvl="0">
      <w:lvlJc w:val="left"/>
      <w:lvlText w:val="(%1)"/>
      <w:numFmt w:val="lowerLetter"/>
      <w:start w:val="2"/>
    </w:lvl>
  </w:abstractNum>
  <w:abstractNum w:abstractNumId="212">
    <w:nsid w:val="769A091F"/>
    <w:multiLevelType w:val="hybridMultilevel"/>
    <w:lvl w:ilvl="0">
      <w:lvlJc w:val="left"/>
      <w:lvlText w:val="(%1)"/>
      <w:numFmt w:val="lowerLetter"/>
      <w:start w:val="7"/>
    </w:lvl>
  </w:abstractNum>
  <w:abstractNum w:abstractNumId="213">
    <w:nsid w:val="4695AE95"/>
    <w:multiLevelType w:val="hybridMultilevel"/>
    <w:lvl w:ilvl="0">
      <w:lvlJc w:val="left"/>
      <w:lvlText w:val="(%1)"/>
      <w:numFmt w:val="lowerRoman"/>
      <w:start w:val="1"/>
    </w:lvl>
    <w:lvl w:ilvl="1">
      <w:lvlJc w:val="left"/>
      <w:lvlText w:val="(%2)"/>
      <w:numFmt w:val="upperLetter"/>
      <w:start w:val="1"/>
    </w:lvl>
  </w:abstractNum>
  <w:abstractNum w:abstractNumId="214">
    <w:nsid w:val="777A4EAA"/>
    <w:multiLevelType w:val="hybridMultilevel"/>
    <w:lvl w:ilvl="0">
      <w:lvlJc w:val="left"/>
      <w:lvlText w:val="%1"/>
      <w:numFmt w:val="lowerRoman"/>
      <w:start w:val="1"/>
    </w:lvl>
    <w:lvl w:ilvl="1">
      <w:lvlJc w:val="left"/>
      <w:lvlText w:val="(%2)"/>
      <w:numFmt w:val="upperLetter"/>
      <w:start w:val="4"/>
    </w:lvl>
  </w:abstractNum>
  <w:abstractNum w:abstractNumId="215">
    <w:nsid w:val="3F48B982"/>
    <w:multiLevelType w:val="hybridMultilevel"/>
    <w:lvl w:ilvl="0">
      <w:lvlJc w:val="left"/>
      <w:lvlText w:val="(%1)"/>
      <w:numFmt w:val="lowerRoman"/>
      <w:start w:val="3"/>
    </w:lvl>
    <w:lvl w:ilvl="1">
      <w:lvlJc w:val="left"/>
      <w:lvlText w:val="%2"/>
      <w:numFmt w:val="upperLetter"/>
      <w:start w:val="1"/>
    </w:lvl>
  </w:abstractNum>
  <w:abstractNum w:abstractNumId="216">
    <w:nsid w:val="46BA8FCA"/>
    <w:multiLevelType w:val="hybridMultilevel"/>
    <w:lvl w:ilvl="0">
      <w:lvlJc w:val="left"/>
      <w:lvlText w:val="(%1)"/>
      <w:numFmt w:val="lowerLetter"/>
      <w:start w:val="8"/>
    </w:lvl>
  </w:abstractNum>
  <w:abstractNum w:abstractNumId="217">
    <w:nsid w:val="7835626C"/>
    <w:multiLevelType w:val="hybridMultilevel"/>
    <w:lvl w:ilvl="0">
      <w:lvlJc w:val="left"/>
      <w:lvlText w:val="(%1)"/>
      <w:numFmt w:val="lowerRoman"/>
      <w:start w:val="1"/>
    </w:lvl>
  </w:abstractNum>
  <w:abstractNum w:abstractNumId="218">
    <w:nsid w:val="665ACA49"/>
    <w:multiLevelType w:val="hybridMultilevel"/>
    <w:lvl w:ilvl="0">
      <w:lvlJc w:val="left"/>
      <w:lvlText w:val="."/>
      <w:numFmt w:val="bullet"/>
      <w:start w:val="1"/>
    </w:lvl>
  </w:abstractNum>
  <w:abstractNum w:abstractNumId="219">
    <w:nsid w:val="6835B2AE"/>
    <w:multiLevelType w:val="hybridMultilevel"/>
    <w:lvl w:ilvl="0">
      <w:lvlJc w:val="left"/>
      <w:lvlText w:val="."/>
      <w:numFmt w:val="bullet"/>
      <w:start w:val="1"/>
    </w:lvl>
  </w:abstractNum>
  <w:abstractNum w:abstractNumId="220">
    <w:nsid w:val="4C187C90"/>
    <w:multiLevelType w:val="hybridMultilevel"/>
    <w:lvl w:ilvl="0">
      <w:lvlJc w:val="left"/>
      <w:lvlText w:val="."/>
      <w:numFmt w:val="bullet"/>
      <w:start w:val="1"/>
    </w:lvl>
  </w:abstractNum>
  <w:abstractNum w:abstractNumId="221">
    <w:nsid w:val="541F28CD"/>
    <w:multiLevelType w:val="hybridMultilevel"/>
    <w:lvl w:ilvl="0">
      <w:lvlJc w:val="left"/>
      <w:lvlText w:val="."/>
      <w:numFmt w:val="bullet"/>
      <w:start w:val="1"/>
    </w:lvl>
  </w:abstractNum>
  <w:abstractNum w:abstractNumId="222">
    <w:nsid w:val="7F65FD16"/>
    <w:multiLevelType w:val="hybridMultilevel"/>
    <w:lvl w:ilvl="0">
      <w:lvlJc w:val="left"/>
      <w:lvlText w:val="."/>
      <w:numFmt w:val="bullet"/>
      <w:start w:val="1"/>
    </w:lvl>
  </w:abstractNum>
  <w:abstractNum w:abstractNumId="223">
    <w:nsid w:val="77C9FD68"/>
    <w:multiLevelType w:val="hybridMultilevel"/>
    <w:lvl w:ilvl="0">
      <w:lvlJc w:val="left"/>
      <w:lvlText w:val="."/>
      <w:numFmt w:val="bullet"/>
      <w:start w:val="1"/>
    </w:lvl>
  </w:abstractNum>
  <w:abstractNum w:abstractNumId="224">
    <w:nsid w:val="298A92BA"/>
    <w:multiLevelType w:val="hybridMultilevel"/>
    <w:lvl w:ilvl="0">
      <w:lvlJc w:val="left"/>
      <w:lvlText w:val="."/>
      <w:numFmt w:val="bullet"/>
      <w:start w:val="1"/>
    </w:lvl>
  </w:abstractNum>
  <w:abstractNum w:abstractNumId="225">
    <w:nsid w:val="6FE95EAC"/>
    <w:multiLevelType w:val="hybridMultilevel"/>
    <w:lvl w:ilvl="0">
      <w:lvlJc w:val="left"/>
      <w:lvlText w:val="."/>
      <w:numFmt w:val="bullet"/>
      <w:start w:val="1"/>
    </w:lvl>
  </w:abstractNum>
  <w:abstractNum w:abstractNumId="226">
    <w:nsid w:val="4B697C7A"/>
    <w:multiLevelType w:val="hybridMultilevel"/>
    <w:lvl w:ilvl="0">
      <w:lvlJc w:val="left"/>
      <w:lvlText w:val="."/>
      <w:numFmt w:val="bullet"/>
      <w:start w:val="1"/>
    </w:lvl>
  </w:abstractNum>
  <w:abstractNum w:abstractNumId="227">
    <w:nsid w:val="51A27AA6"/>
    <w:multiLevelType w:val="hybridMultilevel"/>
    <w:lvl w:ilvl="0">
      <w:lvlJc w:val="left"/>
      <w:lvlText w:val="."/>
      <w:numFmt w:val="bullet"/>
      <w:start w:val="1"/>
    </w:lvl>
  </w:abstractNum>
  <w:abstractNum w:abstractNumId="228">
    <w:nsid w:val="613183F2"/>
    <w:multiLevelType w:val="hybridMultilevel"/>
    <w:lvl w:ilvl="0">
      <w:lvlJc w:val="left"/>
      <w:lvlText w:val="."/>
      <w:numFmt w:val="bullet"/>
      <w:start w:val="1"/>
    </w:lvl>
  </w:abstractNum>
  <w:abstractNum w:abstractNumId="229">
    <w:nsid w:val="634102B4"/>
    <w:multiLevelType w:val="hybridMultilevel"/>
    <w:lvl w:ilvl="0">
      <w:lvlJc w:val="left"/>
      <w:lvlText w:val="."/>
      <w:numFmt w:val="bullet"/>
      <w:start w:val="1"/>
    </w:lvl>
  </w:abstractNum>
  <w:abstractNum w:abstractNumId="230">
    <w:nsid w:val="65BF9DA8"/>
    <w:multiLevelType w:val="hybridMultilevel"/>
    <w:lvl w:ilvl="0">
      <w:lvlJc w:val="left"/>
      <w:lvlText w:val="."/>
      <w:numFmt w:val="bullet"/>
      <w:start w:val="1"/>
    </w:lvl>
  </w:abstractNum>
  <w:abstractNum w:abstractNumId="231">
    <w:nsid w:val="21A2ECCA"/>
    <w:multiLevelType w:val="hybridMultilevel"/>
    <w:lvl w:ilvl="0">
      <w:lvlJc w:val="left"/>
      <w:lvlText w:val="."/>
      <w:numFmt w:val="bullet"/>
      <w:start w:val="1"/>
    </w:lvl>
  </w:abstractNum>
  <w:abstractNum w:abstractNumId="232">
    <w:nsid w:val="4D5C4899"/>
    <w:multiLevelType w:val="hybridMultilevel"/>
    <w:lvl w:ilvl="0">
      <w:lvlJc w:val="left"/>
      <w:lvlText w:val="(%1)"/>
      <w:numFmt w:val="lowerLetter"/>
      <w:start w:val="1"/>
    </w:lvl>
  </w:abstractNum>
  <w:abstractNum w:abstractNumId="233">
    <w:nsid w:val="3C3B72B2"/>
    <w:multiLevelType w:val="hybridMultilevel"/>
    <w:lvl w:ilvl="0">
      <w:lvlJc w:val="left"/>
      <w:lvlText w:val="(%1)"/>
      <w:numFmt w:val="lowerLetter"/>
      <w:start w:val="24"/>
    </w:lvl>
    <w:lvl w:ilvl="1">
      <w:lvlJc w:val="left"/>
      <w:lvlText w:val="(%2)"/>
      <w:numFmt w:val="lowerLetter"/>
      <w:start w:val="1"/>
    </w:lvl>
  </w:abstractNum>
  <w:abstractNum w:abstractNumId="234">
    <w:nsid w:val="155EC4C2"/>
    <w:multiLevelType w:val="hybridMultilevel"/>
    <w:lvl w:ilvl="0">
      <w:lvlJc w:val="left"/>
      <w:lvlText w:val="."/>
      <w:numFmt w:val="bullet"/>
      <w:start w:val="1"/>
    </w:lvl>
  </w:abstractNum>
  <w:abstractNum w:abstractNumId="235">
    <w:nsid w:val="65D2A137"/>
    <w:multiLevelType w:val="hybridMultilevel"/>
    <w:lvl w:ilvl="0">
      <w:lvlJc w:val="left"/>
      <w:lvlText w:val="."/>
      <w:numFmt w:val="bullet"/>
      <w:start w:val="1"/>
    </w:lvl>
  </w:abstractNum>
  <w:abstractNum w:abstractNumId="236">
    <w:nsid w:val="6EBB1F2A"/>
    <w:multiLevelType w:val="hybridMultilevel"/>
    <w:lvl w:ilvl="0">
      <w:lvlJc w:val="left"/>
      <w:lvlText w:val="."/>
      <w:numFmt w:val="bullet"/>
      <w:start w:val="1"/>
    </w:lvl>
  </w:abstractNum>
  <w:abstractNum w:abstractNumId="237">
    <w:nsid w:val="6FBF29CB"/>
    <w:multiLevelType w:val="hybridMultilevel"/>
    <w:lvl w:ilvl="0">
      <w:lvlJc w:val="left"/>
      <w:lvlText w:val="."/>
      <w:numFmt w:val="bullet"/>
      <w:start w:val="1"/>
    </w:lvl>
  </w:abstractNum>
  <w:abstractNum w:abstractNumId="238">
    <w:nsid w:val="550B8808"/>
    <w:multiLevelType w:val="hybridMultilevel"/>
    <w:lvl w:ilvl="0">
      <w:lvlJc w:val="left"/>
      <w:lvlText w:val="(%1)"/>
      <w:numFmt w:val="lowerLetter"/>
      <w:start w:val="1"/>
    </w:lvl>
  </w:abstractNum>
  <w:abstractNum w:abstractNumId="239">
    <w:nsid w:val="34CC3ACF"/>
    <w:multiLevelType w:val="hybridMultilevel"/>
    <w:lvl w:ilvl="0">
      <w:lvlJc w:val="left"/>
      <w:lvlText w:val="(%1)"/>
      <w:numFmt w:val="lowerLetter"/>
      <w:start w:val="2"/>
    </w:lvl>
  </w:abstractNum>
  <w:abstractNum w:abstractNumId="240">
    <w:nsid w:val="4E556261"/>
    <w:multiLevelType w:val="hybridMultilevel"/>
    <w:lvl w:ilvl="0">
      <w:lvlJc w:val="left"/>
      <w:lvlText w:val="(%1)"/>
      <w:numFmt w:val="lowerLetter"/>
      <w:start w:val="4"/>
    </w:lvl>
  </w:abstractNum>
  <w:abstractNum w:abstractNumId="241">
    <w:nsid w:val="4C672FC9"/>
    <w:multiLevelType w:val="hybridMultilevel"/>
    <w:lvl w:ilvl="0">
      <w:lvlJc w:val="left"/>
      <w:lvlText w:val="(%1)"/>
      <w:numFmt w:val="lowerLetter"/>
      <w:start w:val="1"/>
    </w:lvl>
  </w:abstractNum>
  <w:abstractNum w:abstractNumId="242">
    <w:nsid w:val="52A311C3"/>
    <w:multiLevelType w:val="hybridMultilevel"/>
    <w:lvl w:ilvl="0">
      <w:lvlJc w:val="left"/>
      <w:lvlText w:val="(%1)"/>
      <w:numFmt w:val="lowerLetter"/>
      <w:start w:val="3"/>
    </w:lvl>
  </w:abstractNum>
  <w:abstractNum w:abstractNumId="243">
    <w:nsid w:val="44EF6B80"/>
    <w:multiLevelType w:val="hybridMultilevel"/>
    <w:lvl w:ilvl="0">
      <w:lvlJc w:val="left"/>
      <w:lvlText w:val="(%1)"/>
      <w:numFmt w:val="lowerLetter"/>
      <w:start w:val="1"/>
    </w:lvl>
  </w:abstractNum>
  <w:abstractNum w:abstractNumId="244">
    <w:nsid w:val="12FCDE5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5">
    <w:nsid w:val="4A1D606E"/>
    <w:multiLevelType w:val="hybridMultilevel"/>
    <w:lvl w:ilvl="0">
      <w:lvlJc w:val="left"/>
      <w:lvlText w:val="%1"/>
      <w:numFmt w:val="upperLetter"/>
      <w:start w:val="1"/>
    </w:lvl>
    <w:lvl w:ilvl="1">
      <w:lvlJc w:val="left"/>
      <w:lvlText w:val="(%2)"/>
      <w:numFmt w:val="lowerRoman"/>
      <w:start w:val="5"/>
    </w:lvl>
  </w:abstractNum>
  <w:abstractNum w:abstractNumId="246">
    <w:nsid w:val="4382503"/>
    <w:multiLevelType w:val="hybridMultilevel"/>
    <w:lvl w:ilvl="0">
      <w:lvlJc w:val="left"/>
      <w:lvlText w:val="(%1)"/>
      <w:numFmt w:val="upperLetter"/>
      <w:start w:val="3"/>
    </w:lvl>
    <w:lvl w:ilvl="1">
      <w:lvlJc w:val="left"/>
      <w:lvlText w:val="(%2)"/>
      <w:numFmt w:val="lowerRoman"/>
      <w:start w:val="6"/>
    </w:lvl>
  </w:abstractNum>
  <w:abstractNum w:abstractNumId="247">
    <w:nsid w:val="59B76E28"/>
    <w:multiLevelType w:val="hybridMultilevel"/>
    <w:lvl w:ilvl="0">
      <w:lvlJc w:val="left"/>
      <w:lvlText w:val="(%1)"/>
      <w:numFmt w:val="lowerLetter"/>
      <w:start w:val="3"/>
    </w:lvl>
  </w:abstractNum>
  <w:abstractNum w:abstractNumId="248">
    <w:nsid w:val="4252C2DA"/>
    <w:multiLevelType w:val="hybridMultilevel"/>
    <w:lvl w:ilvl="0">
      <w:lvlJc w:val="left"/>
      <w:lvlText w:val="(%1)"/>
      <w:numFmt w:val="lowerLetter"/>
      <w:start w:val="4"/>
    </w:lvl>
  </w:abstractNum>
  <w:abstractNum w:abstractNumId="249">
    <w:nsid w:val="6A92EF4C"/>
    <w:multiLevelType w:val="hybridMultilevel"/>
    <w:lvl w:ilvl="0">
      <w:lvlJc w:val="left"/>
      <w:lvlText w:val="(%1)"/>
      <w:numFmt w:val="lowerLetter"/>
      <w:start w:val="5"/>
    </w:lvl>
  </w:abstractNum>
  <w:abstractNum w:abstractNumId="250">
    <w:nsid w:val="41ED20D7"/>
    <w:multiLevelType w:val="hybridMultilevel"/>
    <w:lvl w:ilvl="0">
      <w:lvlJc w:val="left"/>
      <w:lvlText w:val="."/>
      <w:numFmt w:val="bullet"/>
      <w:start w:val="1"/>
    </w:lvl>
  </w:abstractNum>
  <w:abstractNum w:abstractNumId="251">
    <w:nsid w:val="E6B3F6A"/>
    <w:multiLevelType w:val="hybridMultilevel"/>
    <w:lvl w:ilvl="0">
      <w:lvlJc w:val="left"/>
      <w:lvlText w:val="(%1)"/>
      <w:numFmt w:val="lowerLetter"/>
      <w:start w:val="1"/>
    </w:lvl>
  </w:abstractNum>
  <w:abstractNum w:abstractNumId="252">
    <w:nsid w:val="3EB21819"/>
    <w:multiLevelType w:val="hybridMultilevel"/>
    <w:lvl w:ilvl="0">
      <w:lvlJc w:val="left"/>
      <w:lvlText w:val="(%1)"/>
      <w:numFmt w:val="lowerRoman"/>
      <w:start w:val="1"/>
    </w:lvl>
    <w:lvl w:ilvl="1">
      <w:lvlJc w:val="left"/>
      <w:lvlText w:val="(%2)"/>
      <w:numFmt w:val="upperLetter"/>
      <w:start w:val="1"/>
    </w:lvl>
  </w:abstractNum>
  <w:abstractNum w:abstractNumId="253">
    <w:nsid w:val="41531DED"/>
    <w:multiLevelType w:val="hybridMultilevel"/>
    <w:lvl w:ilvl="0">
      <w:lvlJc w:val="left"/>
      <w:lvlText w:val="%1"/>
      <w:numFmt w:val="lowerLetter"/>
      <w:start w:val="1"/>
    </w:lvl>
    <w:lvl w:ilvl="1">
      <w:lvlJc w:val="left"/>
      <w:lvlText w:val="(%2)"/>
      <w:numFmt w:val="lowerRoman"/>
      <w:start w:val="4"/>
    </w:lvl>
  </w:abstractNum>
  <w:abstractNum w:abstractNumId="254">
    <w:nsid w:val="6353CD2"/>
    <w:multiLevelType w:val="hybridMultilevel"/>
    <w:lvl w:ilvl="0">
      <w:lvlJc w:val="left"/>
      <w:lvlText w:val="(%1)"/>
      <w:numFmt w:val="lowerLetter"/>
      <w:start w:val="3"/>
    </w:lvl>
    <w:lvl w:ilvl="1">
      <w:lvlJc w:val="left"/>
      <w:lvlText w:val="%2"/>
      <w:numFmt w:val="lowerRoman"/>
      <w:start w:val="1"/>
    </w:lvl>
  </w:abstractNum>
  <w:abstractNum w:abstractNumId="255">
    <w:nsid w:val="683CAAD3"/>
    <w:multiLevelType w:val="hybridMultilevel"/>
    <w:lvl w:ilvl="0">
      <w:lvlJc w:val="left"/>
      <w:lvlText w:val="."/>
      <w:numFmt w:val="bullet"/>
      <w:start w:val="1"/>
    </w:lvl>
  </w:abstractNum>
  <w:abstractNum w:abstractNumId="256">
    <w:nsid w:val="313C7C99"/>
    <w:multiLevelType w:val="hybridMultilevel"/>
    <w:lvl w:ilvl="0">
      <w:lvlJc w:val="left"/>
      <w:lvlText w:val="(%1)"/>
      <w:numFmt w:val="lowerLetter"/>
      <w:start w:val="1"/>
    </w:lvl>
  </w:abstractNum>
  <w:abstractNum w:abstractNumId="257">
    <w:nsid w:val="519EB94C"/>
    <w:multiLevelType w:val="hybridMultilevel"/>
    <w:lvl w:ilvl="0">
      <w:lvlJc w:val="left"/>
      <w:lvlText w:val="(%1)"/>
      <w:numFmt w:val="lowerLetter"/>
      <w:start w:val="2"/>
    </w:lvl>
  </w:abstractNum>
  <w:abstractNum w:abstractNumId="258">
    <w:nsid w:val="39DF2579"/>
    <w:multiLevelType w:val="hybridMultilevel"/>
    <w:lvl w:ilvl="0">
      <w:lvlJc w:val="left"/>
      <w:lvlText w:val="."/>
      <w:numFmt w:val="bullet"/>
      <w:start w:val="1"/>
    </w:lvl>
  </w:abstractNum>
  <w:abstractNum w:abstractNumId="259">
    <w:nsid w:val="126E008B"/>
    <w:multiLevelType w:val="hybridMultilevel"/>
    <w:lvl w:ilvl="0">
      <w:lvlJc w:val="left"/>
      <w:lvlText w:val="."/>
      <w:numFmt w:val="bullet"/>
      <w:start w:val="1"/>
    </w:lvl>
  </w:abstractNum>
  <w:abstractNum w:abstractNumId="260">
    <w:nsid w:val="34DFBC00"/>
    <w:multiLevelType w:val="hybridMultilevel"/>
    <w:lvl w:ilvl="0">
      <w:lvlJc w:val="left"/>
      <w:lvlText w:val="."/>
      <w:numFmt w:val="bullet"/>
      <w:start w:val="1"/>
    </w:lvl>
  </w:abstractNum>
  <w:abstractNum w:abstractNumId="261">
    <w:nsid w:val="1F9EC322"/>
    <w:multiLevelType w:val="hybridMultilevel"/>
    <w:lvl w:ilvl="0">
      <w:lvlJc w:val="left"/>
      <w:lvlText w:val="."/>
      <w:numFmt w:val="bullet"/>
      <w:start w:val="1"/>
    </w:lvl>
  </w:abstractNum>
  <w:abstractNum w:abstractNumId="262">
    <w:nsid w:val="3410ED56"/>
    <w:multiLevelType w:val="hybridMultilevel"/>
    <w:lvl w:ilvl="0">
      <w:lvlJc w:val="left"/>
      <w:lvlText w:val="."/>
      <w:numFmt w:val="bullet"/>
      <w:start w:val="1"/>
    </w:lvl>
  </w:abstractNum>
  <w:abstractNum w:abstractNumId="263">
    <w:nsid w:val="23C049A"/>
    <w:multiLevelType w:val="hybridMultilevel"/>
    <w:lvl w:ilvl="0">
      <w:lvlJc w:val="left"/>
      <w:lvlText w:val="(%1)"/>
      <w:numFmt w:val="lowerLetter"/>
      <w:start w:val="1"/>
    </w:lvl>
  </w:abstractNum>
  <w:abstractNum w:abstractNumId="264">
    <w:nsid w:val="5BDA35D4"/>
    <w:multiLevelType w:val="hybridMultilevel"/>
    <w:lvl w:ilvl="0">
      <w:lvlJc w:val="left"/>
      <w:lvlText w:val="."/>
      <w:numFmt w:val="bullet"/>
      <w:start w:val="1"/>
    </w:lvl>
  </w:abstractNum>
  <w:abstractNum w:abstractNumId="265">
    <w:nsid w:val="496FB218"/>
    <w:multiLevelType w:val="hybridMultilevel"/>
    <w:lvl w:ilvl="0">
      <w:lvlJc w:val="left"/>
      <w:lvlText w:val="."/>
      <w:numFmt w:val="bullet"/>
      <w:start w:val="1"/>
    </w:lvl>
  </w:abstractNum>
  <w:abstractNum w:abstractNumId="266">
    <w:nsid w:val="680EA5D1"/>
    <w:multiLevelType w:val="hybridMultilevel"/>
    <w:lvl w:ilvl="0">
      <w:lvlJc w:val="left"/>
      <w:lvlText w:val="%1"/>
      <w:numFmt w:val="lowerLetter"/>
      <w:start w:val="1"/>
    </w:lvl>
    <w:lvl w:ilvl="1">
      <w:lvlJc w:val="left"/>
      <w:lvlText w:val="(%2)"/>
      <w:numFmt w:val="lowerLetter"/>
      <w:start w:val="1"/>
    </w:lvl>
  </w:abstractNum>
  <w:abstractNum w:abstractNumId="267">
    <w:nsid w:val="4A9554FE"/>
    <w:multiLevelType w:val="hybridMultilevel"/>
    <w:lvl w:ilvl="0">
      <w:lvlJc w:val="left"/>
      <w:lvlText w:val="(%1)"/>
      <w:numFmt w:val="lowerLetter"/>
      <w:start w:val="35"/>
    </w:lvl>
    <w:lvl w:ilvl="1">
      <w:lvlJc w:val="left"/>
      <w:lvlText w:val="(%2)"/>
      <w:numFmt w:val="lowerLetter"/>
      <w:start w:val="2"/>
    </w:lvl>
  </w:abstractNum>
  <w:abstractNum w:abstractNumId="268">
    <w:nsid w:val="392EDBE4"/>
    <w:multiLevelType w:val="hybridMultilevel"/>
    <w:lvl w:ilvl="0">
      <w:lvlJc w:val="left"/>
      <w:lvlText w:val="(%1)"/>
      <w:numFmt w:val="lowerLetter"/>
      <w:start w:val="4"/>
    </w:lvl>
  </w:abstractNum>
  <w:abstractNum w:abstractNumId="269">
    <w:nsid w:val="3D1A2DD9"/>
    <w:multiLevelType w:val="hybridMultilevel"/>
    <w:lvl w:ilvl="0">
      <w:lvlJc w:val="left"/>
      <w:lvlText w:val="."/>
      <w:numFmt w:val="bullet"/>
      <w:start w:val="1"/>
    </w:lvl>
  </w:abstractNum>
  <w:abstractNum w:abstractNumId="270">
    <w:nsid w:val="7F618FCD"/>
    <w:multiLevelType w:val="hybridMultilevel"/>
    <w:lvl w:ilvl="0">
      <w:lvlJc w:val="left"/>
      <w:lvlText w:val="."/>
      <w:numFmt w:val="bullet"/>
      <w:start w:val="1"/>
    </w:lvl>
  </w:abstractNum>
  <w:abstractNum w:abstractNumId="271">
    <w:nsid w:val="7843E45"/>
    <w:multiLevelType w:val="hybridMultilevel"/>
    <w:lvl w:ilvl="0">
      <w:lvlJc w:val="left"/>
      <w:lvlText w:val="."/>
      <w:numFmt w:val="bullet"/>
      <w:start w:val="1"/>
    </w:lvl>
  </w:abstractNum>
  <w:abstractNum w:abstractNumId="272">
    <w:nsid w:val="9815DA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73">
    <w:nsid w:val="5204A191"/>
    <w:multiLevelType w:val="hybridMultilevel"/>
    <w:lvl w:ilvl="0">
      <w:lvlJc w:val="left"/>
      <w:lvlText w:val="."/>
      <w:numFmt w:val="bullet"/>
      <w:start w:val="1"/>
    </w:lvl>
    <w:lvl w:ilvl="1">
      <w:lvlJc w:val="left"/>
      <w:lvlText w:val="(%2)"/>
      <w:numFmt w:val="lowerLetter"/>
      <w:start w:val="1"/>
    </w:lvl>
  </w:abstractNum>
  <w:abstractNum w:abstractNumId="274">
    <w:nsid w:val="4C73A9C6"/>
    <w:multiLevelType w:val="hybridMultilevel"/>
    <w:lvl w:ilvl="0">
      <w:lvlJc w:val="left"/>
      <w:lvlText w:val="(%1)"/>
      <w:numFmt w:val="lowerRoman"/>
      <w:start w:val="1"/>
    </w:lvl>
  </w:abstractNum>
  <w:abstractNum w:abstractNumId="275">
    <w:nsid w:val="1C7E3C01"/>
    <w:multiLevelType w:val="hybridMultilevel"/>
    <w:lvl w:ilvl="0">
      <w:lvlJc w:val="left"/>
      <w:lvlText w:val="."/>
      <w:numFmt w:val="bullet"/>
      <w:start w:val="1"/>
    </w:lvl>
  </w:abstractNum>
  <w:abstractNum w:abstractNumId="276">
    <w:nsid w:val="1C2201FF"/>
    <w:multiLevelType w:val="hybridMultilevel"/>
    <w:lvl w:ilvl="0">
      <w:lvlJc w:val="left"/>
      <w:lvlText w:val="*"/>
      <w:numFmt w:val="bullet"/>
      <w:start w:val="1"/>
    </w:lvl>
  </w:abstractNum>
  <w:abstractNum w:abstractNumId="277">
    <w:nsid w:val="50ABCEC9"/>
    <w:multiLevelType w:val="hybridMultilevel"/>
    <w:lvl w:ilvl="0">
      <w:lvlJc w:val="left"/>
      <w:lvlText w:val="1"/>
      <w:numFmt w:val="bullet"/>
      <w:start w:val="1"/>
    </w:lvl>
  </w:abstractNum>
  <w:abstractNum w:abstractNumId="278">
    <w:nsid w:val="7635AA2A"/>
    <w:multiLevelType w:val="hybridMultilevel"/>
    <w:lvl w:ilvl="0">
      <w:lvlJc w:val="left"/>
      <w:lvlText w:val="2"/>
      <w:numFmt w:val="bullet"/>
      <w:start w:val="1"/>
    </w:lvl>
    <w:lvl w:ilvl="1">
      <w:lvlJc w:val="left"/>
      <w:lvlText w:val="☐"/>
      <w:numFmt w:val="bullet"/>
      <w:start w:val="1"/>
    </w:lvl>
  </w:abstractNum>
  <w:abstractNum w:abstractNumId="279">
    <w:nsid w:val="5E74C4D9"/>
    <w:multiLevelType w:val="hybridMultilevel"/>
    <w:lvl w:ilvl="0">
      <w:lvlJc w:val="left"/>
      <w:lvlText w:val="3"/>
      <w:numFmt w:val="bullet"/>
      <w:start w:val="1"/>
    </w:lvl>
  </w:abstractNum>
  <w:abstractNum w:abstractNumId="280">
    <w:nsid w:val="3B3EBE15"/>
    <w:multiLevelType w:val="hybridMultilevel"/>
    <w:lvl w:ilvl="0">
      <w:lvlJc w:val="left"/>
      <w:lvlText w:val="4"/>
      <w:numFmt w:val="bullet"/>
      <w:start w:val="1"/>
    </w:lvl>
  </w:abstractNum>
  <w:abstractNum w:abstractNumId="281">
    <w:nsid w:val="3822CB01"/>
    <w:multiLevelType w:val="hybridMultilevel"/>
    <w:lvl w:ilvl="0">
      <w:lvlJc w:val="left"/>
      <w:lvlText w:val="6"/>
      <w:numFmt w:val="bullet"/>
      <w:start w:val="1"/>
    </w:lvl>
  </w:abstractNum>
  <w:abstractNum w:abstractNumId="282">
    <w:nsid w:val="6CE00443"/>
    <w:multiLevelType w:val="hybridMultilevel"/>
    <w:lvl w:ilvl="0">
      <w:lvlJc w:val="left"/>
      <w:lvlText w:val="7"/>
      <w:numFmt w:val="bullet"/>
      <w:start w:val="1"/>
    </w:lvl>
  </w:abstractNum>
  <w:abstractNum w:abstractNumId="283">
    <w:nsid w:val="79F0D62F"/>
    <w:multiLevelType w:val="hybridMultilevel"/>
    <w:lvl w:ilvl="0">
      <w:lvlJc w:val="left"/>
      <w:lvlText w:val="%1."/>
      <w:numFmt w:val="decimal"/>
      <w:start w:val="5"/>
    </w:lvl>
  </w:abstractNum>
  <w:abstractNum w:abstractNumId="284">
    <w:nsid w:val="7975E8EE"/>
    <w:multiLevelType w:val="hybridMultilevel"/>
    <w:lvl w:ilvl="0">
      <w:lvlJc w:val="left"/>
      <w:lvlText w:val="%1."/>
      <w:numFmt w:val="decimal"/>
      <w:start w:val="1"/>
    </w:lvl>
  </w:abstractNum>
  <w:abstractNum w:abstractNumId="285">
    <w:nsid w:val="73154115"/>
    <w:multiLevelType w:val="hybridMultilevel"/>
    <w:lvl w:ilvl="0">
      <w:lvlJc w:val="left"/>
      <w:lvlText w:val="(%1)"/>
      <w:numFmt w:val="lowerRoman"/>
      <w:start w:val="3"/>
    </w:lvl>
  </w:abstractNum>
  <w:abstractNum w:abstractNumId="286">
    <w:nsid w:val="622D8102"/>
    <w:multiLevelType w:val="hybridMultilevel"/>
    <w:lvl w:ilvl="0">
      <w:lvlJc w:val="left"/>
      <w:lvlText w:val="%1."/>
      <w:numFmt w:val="decimal"/>
      <w:start w:val="2"/>
    </w:lvl>
  </w:abstractNum>
  <w:abstractNum w:abstractNumId="287">
    <w:nsid w:val="2AB26587"/>
    <w:multiLevelType w:val="hybridMultilevel"/>
    <w:lvl w:ilvl="0">
      <w:lvlJc w:val="left"/>
      <w:lvlText w:val="%1."/>
      <w:numFmt w:val="decimal"/>
      <w:start w:val="3"/>
    </w:lvl>
  </w:abstractNum>
  <w:abstractNum w:abstractNumId="288">
    <w:nsid w:val="44B3FA61"/>
    <w:multiLevelType w:val="hybridMultilevel"/>
    <w:lvl w:ilvl="0">
      <w:lvlJc w:val="left"/>
      <w:lvlText w:val="%1."/>
      <w:numFmt w:val="decimal"/>
      <w:start w:val="1"/>
    </w:lvl>
  </w:abstractNum>
  <w:abstractNum w:abstractNumId="289">
    <w:nsid w:val="1C0CA67C"/>
    <w:multiLevelType w:val="hybridMultilevel"/>
    <w:lvl w:ilvl="0">
      <w:lvlJc w:val="left"/>
      <w:lvlText w:val="%1."/>
      <w:numFmt w:val="decimal"/>
      <w:start w:val="1"/>
    </w:lvl>
  </w:abstractNum>
  <w:abstractNum w:abstractNumId="290">
    <w:nsid w:val="3D206613"/>
    <w:multiLevelType w:val="hybridMultilevel"/>
    <w:lvl w:ilvl="0">
      <w:lvlJc w:val="left"/>
      <w:lvlText w:val="%1."/>
      <w:numFmt w:val="decimal"/>
      <w:start w:val="2"/>
    </w:lvl>
  </w:abstractNum>
  <w:abstractNum w:abstractNumId="291">
    <w:nsid w:val="7993B662"/>
    <w:multiLevelType w:val="hybridMultilevel"/>
    <w:lvl w:ilvl="0">
      <w:lvlJc w:val="left"/>
      <w:lvlText w:val="8"/>
      <w:numFmt w:val="bullet"/>
      <w:start w:val="1"/>
    </w:lvl>
  </w:abstractNum>
  <w:abstractNum w:abstractNumId="292">
    <w:nsid w:val="3BAB699E"/>
    <w:multiLevelType w:val="hybridMultilevel"/>
    <w:lvl w:ilvl="0">
      <w:lvlJc w:val="left"/>
      <w:lvlText w:val="%1."/>
      <w:numFmt w:val="decimal"/>
      <w:start w:val="1"/>
    </w:lvl>
  </w:abstractNum>
  <w:abstractNum w:abstractNumId="293">
    <w:nsid w:val="71315369"/>
    <w:multiLevelType w:val="hybridMultilevel"/>
    <w:lvl w:ilvl="0">
      <w:lvlJc w:val="left"/>
      <w:lvlText w:val="%1."/>
      <w:numFmt w:val="decimal"/>
      <w:start w:val="3"/>
    </w:lvl>
  </w:abstractNum>
  <w:abstractNum w:abstractNumId="294">
    <w:nsid w:val="7BCFBAFC"/>
    <w:multiLevelType w:val="hybridMultilevel"/>
    <w:lvl w:ilvl="0">
      <w:lvlJc w:val="left"/>
      <w:lvlText w:val="(%1)"/>
      <w:numFmt w:val="lowerLetter"/>
      <w:start w:val="1"/>
    </w:lvl>
  </w:abstractNum>
  <w:abstractNum w:abstractNumId="295">
    <w:nsid w:val="17859F72"/>
    <w:multiLevelType w:val="hybridMultilevel"/>
    <w:lvl w:ilvl="0">
      <w:lvlJc w:val="left"/>
      <w:lvlText w:val="%1."/>
      <w:numFmt w:val="decimal"/>
      <w:start w:val="1"/>
    </w:lvl>
    <w:lvl w:ilvl="1">
      <w:lvlJc w:val="left"/>
      <w:lvlText w:val="%2."/>
      <w:numFmt w:val="lowerLetter"/>
      <w:start w:val="1"/>
    </w:lvl>
  </w:abstractNum>
  <w:abstractNum w:abstractNumId="296">
    <w:nsid w:val="3AA10581"/>
    <w:multiLevelType w:val="hybridMultilevel"/>
    <w:lvl w:ilvl="0">
      <w:lvlJc w:val="left"/>
      <w:lvlText w:val="%1."/>
      <w:numFmt w:val="decimal"/>
      <w:start w:val="1"/>
    </w:lvl>
    <w:lvl w:ilvl="1">
      <w:lvlJc w:val="left"/>
      <w:lvlText w:val="%2."/>
      <w:numFmt w:val="lowerLetter"/>
      <w:start w:val="1"/>
    </w:lvl>
  </w:abstractNum>
  <w:abstractNum w:abstractNumId="297">
    <w:nsid w:val="63DE60CD"/>
    <w:multiLevelType w:val="hybridMultilevel"/>
    <w:lvl w:ilvl="0">
      <w:lvlJc w:val="left"/>
      <w:lvlText w:val="(%1)"/>
      <w:numFmt w:val="decimal"/>
      <w:start w:val="1"/>
    </w:lvl>
  </w:abstractNum>
  <w:abstractNum w:abstractNumId="298">
    <w:nsid w:val="621AF47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57" Type="http://schemas.openxmlformats.org/officeDocument/2006/relationships/hyperlink" Target="http://www.sec.gov/Archives/edgar/data/1520006/000152000617000188/a20170630mtdr10q-exhibit32.htm" TargetMode="External"/><Relationship Id="rId58" Type="http://schemas.openxmlformats.org/officeDocument/2006/relationships/hyperlink" Target="http://www.sec.gov/Archives/edgar/data/1520006/000152000617000188/a20170630mtdr10q-exhibit33.htm" TargetMode="External"/><Relationship Id="rId59" Type="http://schemas.openxmlformats.org/officeDocument/2006/relationships/hyperlink" Target="http://www.sec.gov/Archives/edgar/data/1520006/000152000617000188/a20170630mtdr10q-exhibit34.htm" TargetMode="External"/><Relationship Id="rId60" Type="http://schemas.openxmlformats.org/officeDocument/2006/relationships/hyperlink" Target="http://www.sec.gov/Archives/edgar/data/1520006/000152000618000051/a20171231mtdr8k-amendedbyl.htm" TargetMode="External"/><Relationship Id="rId61" Type="http://schemas.openxmlformats.org/officeDocument/2006/relationships/hyperlink" Target="http://www.sec.gov/Archives/edgar/data/1520006/000152000622000090/matthairfordadvisoragreeme.htm" TargetMode="External"/><Relationship Id="rId62" Type="http://schemas.openxmlformats.org/officeDocument/2006/relationships/hyperlink" Target="http://www.sec.gov/Archives/edgar/data/1520006/000152000622000090/davidlancasteradvisor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2022-04-29T21:04:30Z</dcterms:created>
  <dcterms:modified xsi:type="dcterms:W3CDTF">2022-04-29T21:04:30Z</dcterms:modified>
</cp:coreProperties>
</file>