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542925</wp:posOffset>
            </wp:positionV>
            <wp:extent cx="5854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508635</wp:posOffset>
            </wp:positionV>
            <wp:extent cx="5854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50"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42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r>
      <w:tr>
        <w:trPr>
          <w:trHeight w:val="148"/>
        </w:trPr>
        <w:tc>
          <w:tcPr>
            <w:tcW w:w="426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5400 LBJ Freeway, Suite 1500</w:t>
            </w:r>
          </w:p>
        </w:tc>
        <w:tc>
          <w:tcPr>
            <w:tcW w:w="3000" w:type="dxa"/>
            <w:vAlign w:val="bottom"/>
          </w:tcPr>
          <w:p>
            <w:pPr>
              <w:spacing w:after="0"/>
              <w:rPr>
                <w:sz w:val="24"/>
                <w:szCs w:val="24"/>
                <w:color w:val="auto"/>
              </w:rPr>
            </w:pPr>
          </w:p>
        </w:tc>
      </w:tr>
      <w:tr>
        <w:trPr>
          <w:trHeight w:val="245"/>
        </w:trPr>
        <w:tc>
          <w:tcPr>
            <w:tcW w:w="4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190"/>
        </w:trPr>
        <w:tc>
          <w:tcPr>
            <w:tcW w:w="42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(972) 371-5200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4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8"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7"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20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1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225" w:right="499" w:bottom="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79" w:lineRule="exact"/>
        <w:rPr>
          <w:sz w:val="20"/>
          <w:szCs w:val="20"/>
          <w:color w:val="auto"/>
        </w:rPr>
      </w:pPr>
    </w:p>
    <w:p>
      <w:pPr>
        <w:ind w:right="25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6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$5,506,467,014.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2026, there were 124,249,941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111760</wp:posOffset>
            </wp:positionV>
            <wp:extent cx="2700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of this Annual Report on Form 10-K, to the extent not set forth herein, is incorporated by reference to the registrant’s definitive proxy statement relating to the 2026 Annual Meeting of Shareholders, which will be filed with the Securities and Exchange Commission within 120 days after the end of the fiscal year to which this Annual Report on Form 10-K relates.</w:t>
      </w:r>
    </w:p>
    <w:p>
      <w:pPr>
        <w:spacing w:after="0" w:line="41" w:lineRule="exact"/>
        <w:rPr>
          <w:sz w:val="20"/>
          <w:szCs w:val="20"/>
          <w:color w:val="auto"/>
        </w:rPr>
      </w:pPr>
    </w:p>
    <w:p>
      <w:pPr>
        <w:ind w:left="20"/>
        <w:spacing w:after="0"/>
        <w:tabs>
          <w:tab w:leader="none" w:pos="4020" w:val="left"/>
          <w:tab w:leader="none" w:pos="8800" w:val="left"/>
        </w:tabs>
        <w:rPr>
          <w:sz w:val="20"/>
          <w:szCs w:val="20"/>
          <w:color w:val="auto"/>
        </w:rPr>
      </w:pPr>
      <w:r>
        <w:rPr>
          <w:rFonts w:ascii="Times New Roman" w:cs="Times New Roman" w:eastAsia="Times New Roman" w:hAnsi="Times New Roman"/>
          <w:sz w:val="18"/>
          <w:szCs w:val="18"/>
          <w:color w:val="auto"/>
        </w:rPr>
        <w:t>Auditor Name: KPMG LLP</w:t>
      </w:r>
      <w:r>
        <w:rPr>
          <w:sz w:val="20"/>
          <w:szCs w:val="20"/>
          <w:color w:val="auto"/>
        </w:rPr>
        <w:tab/>
      </w:r>
      <w:r>
        <w:rPr>
          <w:rFonts w:ascii="Times New Roman" w:cs="Times New Roman" w:eastAsia="Times New Roman" w:hAnsi="Times New Roman"/>
          <w:sz w:val="18"/>
          <w:szCs w:val="18"/>
          <w:color w:val="auto"/>
        </w:rPr>
        <w:t>Auditor Location: Dallas, TX</w:t>
      </w:r>
      <w:r>
        <w:rPr>
          <w:sz w:val="20"/>
          <w:szCs w:val="20"/>
          <w:color w:val="auto"/>
        </w:rPr>
        <w:tab/>
      </w:r>
      <w:r>
        <w:rPr>
          <w:rFonts w:ascii="Times New Roman" w:cs="Times New Roman" w:eastAsia="Times New Roman" w:hAnsi="Times New Roman"/>
          <w:sz w:val="17"/>
          <w:szCs w:val="17"/>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1367790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6"/>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gridSpan w:val="1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6"/>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0"/>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Business</w:t>
            </w:r>
          </w:p>
        </w:tc>
        <w:tc>
          <w:tcPr>
            <w:tcW w:w="8400" w:type="dxa"/>
            <w:vAlign w:val="bottom"/>
            <w:gridSpan w:val="19"/>
          </w:tcPr>
          <w:p>
            <w:pPr>
              <w:spacing w:after="0"/>
              <w:rPr>
                <w:sz w:val="16"/>
                <w:szCs w:val="16"/>
                <w:color w:val="auto"/>
              </w:rPr>
            </w:pPr>
          </w:p>
        </w:tc>
        <w:tc>
          <w:tcPr>
            <w:tcW w:w="1060" w:type="dxa"/>
            <w:vAlign w:val="bottom"/>
            <w:gridSpan w:val="4"/>
          </w:tcPr>
          <w:p>
            <w:pPr>
              <w:jc w:val="right"/>
              <w:ind w:right="20"/>
              <w:spacing w:after="0" w:line="17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1A.</w:t>
            </w:r>
          </w:p>
        </w:tc>
        <w:tc>
          <w:tcPr>
            <w:tcW w:w="58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8180" w:type="dxa"/>
            <w:vAlign w:val="bottom"/>
            <w:gridSpan w:val="17"/>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1B.</w:t>
            </w:r>
          </w:p>
        </w:tc>
        <w:tc>
          <w:tcPr>
            <w:tcW w:w="58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3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680" w:type="dxa"/>
            <w:vAlign w:val="bottom"/>
            <w:gridSpan w:val="10"/>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1C.</w:t>
            </w:r>
          </w:p>
        </w:tc>
        <w:tc>
          <w:tcPr>
            <w:tcW w:w="58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1240" w:type="dxa"/>
            <w:vAlign w:val="bottom"/>
            <w:gridSpan w:val="6"/>
          </w:tcPr>
          <w:p>
            <w:pPr>
              <w:spacing w:after="0"/>
              <w:rPr>
                <w:sz w:val="18"/>
                <w:szCs w:val="18"/>
                <w:color w:val="auto"/>
              </w:rPr>
            </w:pPr>
          </w:p>
        </w:tc>
        <w:tc>
          <w:tcPr>
            <w:tcW w:w="6680" w:type="dxa"/>
            <w:vAlign w:val="bottom"/>
            <w:gridSpan w:val="10"/>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2.</w:t>
            </w:r>
          </w:p>
        </w:tc>
        <w:tc>
          <w:tcPr>
            <w:tcW w:w="580" w:type="dxa"/>
            <w:vAlign w:val="bottom"/>
            <w:gridSpan w:val="2"/>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920" w:type="dxa"/>
            <w:vAlign w:val="bottom"/>
            <w:gridSpan w:val="16"/>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3.</w:t>
            </w:r>
          </w:p>
        </w:tc>
        <w:tc>
          <w:tcPr>
            <w:tcW w:w="1060" w:type="dxa"/>
            <w:vAlign w:val="bottom"/>
            <w:gridSpan w:val="5"/>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0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4.</w:t>
            </w:r>
          </w:p>
        </w:tc>
        <w:tc>
          <w:tcPr>
            <w:tcW w:w="1060" w:type="dxa"/>
            <w:vAlign w:val="bottom"/>
            <w:gridSpan w:val="5"/>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1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5.</w:t>
            </w:r>
          </w:p>
        </w:tc>
        <w:tc>
          <w:tcPr>
            <w:tcW w:w="64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6.</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gridSpan w:val="2"/>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160" w:type="dxa"/>
            <w:vAlign w:val="bottom"/>
            <w:gridSpan w:val="2"/>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Selected Financial Data</w:t>
            </w:r>
          </w:p>
        </w:tc>
        <w:tc>
          <w:tcPr>
            <w:tcW w:w="7540" w:type="dxa"/>
            <w:vAlign w:val="bottom"/>
            <w:gridSpan w:val="1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7.</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1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80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7A.</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820" w:type="dxa"/>
            <w:vAlign w:val="bottom"/>
            <w:gridSpan w:val="2"/>
          </w:tcPr>
          <w:p>
            <w:pPr>
              <w:spacing w:after="0"/>
              <w:rPr>
                <w:sz w:val="18"/>
                <w:szCs w:val="18"/>
                <w:color w:val="auto"/>
              </w:rPr>
            </w:pPr>
          </w:p>
        </w:tc>
        <w:tc>
          <w:tcPr>
            <w:tcW w:w="380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8.</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8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080" w:type="dxa"/>
            <w:vAlign w:val="bottom"/>
            <w:gridSpan w:val="2"/>
          </w:tcPr>
          <w:p>
            <w:pPr>
              <w:spacing w:after="0"/>
              <w:rPr>
                <w:sz w:val="18"/>
                <w:szCs w:val="18"/>
                <w:color w:val="auto"/>
              </w:rPr>
            </w:pPr>
          </w:p>
        </w:tc>
        <w:tc>
          <w:tcPr>
            <w:tcW w:w="462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9.</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10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8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9A.</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1460" w:type="dxa"/>
            <w:vAlign w:val="bottom"/>
            <w:gridSpan w:val="3"/>
            <w:shd w:val="clear" w:color="auto" w:fill="0000FF"/>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4380" w:type="dxa"/>
            <w:vAlign w:val="bottom"/>
            <w:gridSpan w:val="10"/>
          </w:tcPr>
          <w:p>
            <w:pPr>
              <w:spacing w:after="0"/>
              <w:rPr>
                <w:sz w:val="18"/>
                <w:szCs w:val="18"/>
                <w:color w:val="auto"/>
              </w:rPr>
            </w:pP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9B.</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540" w:type="dxa"/>
            <w:vAlign w:val="bottom"/>
            <w:gridSpan w:val="12"/>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10.</w:t>
            </w: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62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74"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11.</w:t>
            </w:r>
          </w:p>
        </w:tc>
        <w:tc>
          <w:tcPr>
            <w:tcW w:w="1240" w:type="dxa"/>
            <w:vAlign w:val="bottom"/>
            <w:gridSpan w:val="6"/>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40" w:type="dxa"/>
            <w:vAlign w:val="bottom"/>
            <w:gridSpan w:val="4"/>
            <w:shd w:val="clear" w:color="auto" w:fill="0000FF"/>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8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spacing w:after="0"/>
              <w:rPr>
                <w:sz w:val="18"/>
                <w:szCs w:val="18"/>
                <w:color w:val="auto"/>
              </w:rPr>
            </w:pPr>
          </w:p>
        </w:tc>
        <w:tc>
          <w:tcPr>
            <w:tcW w:w="1460" w:type="dxa"/>
            <w:vAlign w:val="bottom"/>
            <w:gridSpan w:val="3"/>
          </w:tcPr>
          <w:p>
            <w:pPr>
              <w:spacing w:after="0"/>
              <w:rPr>
                <w:sz w:val="18"/>
                <w:szCs w:val="18"/>
                <w:color w:val="auto"/>
              </w:rPr>
            </w:pP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12.</w:t>
            </w:r>
          </w:p>
        </w:tc>
        <w:tc>
          <w:tcPr>
            <w:tcW w:w="1240" w:type="dxa"/>
            <w:vAlign w:val="bottom"/>
            <w:gridSpan w:val="6"/>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13.</w:t>
            </w:r>
          </w:p>
        </w:tc>
        <w:tc>
          <w:tcPr>
            <w:tcW w:w="1240" w:type="dxa"/>
            <w:vAlign w:val="bottom"/>
            <w:gridSpan w:val="6"/>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40" w:type="dxa"/>
            <w:vAlign w:val="bottom"/>
            <w:gridSpan w:val="4"/>
            <w:shd w:val="clear" w:color="auto" w:fill="0000FF"/>
          </w:tcPr>
          <w:p>
            <w:pPr>
              <w:spacing w:after="0"/>
              <w:rPr>
                <w:sz w:val="2"/>
                <w:szCs w:val="2"/>
                <w:color w:val="auto"/>
              </w:rPr>
            </w:pPr>
          </w:p>
        </w:tc>
        <w:tc>
          <w:tcPr>
            <w:tcW w:w="4620" w:type="dxa"/>
            <w:vAlign w:val="bottom"/>
            <w:gridSpan w:val="5"/>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14.</w:t>
            </w:r>
          </w:p>
        </w:tc>
        <w:tc>
          <w:tcPr>
            <w:tcW w:w="1240" w:type="dxa"/>
            <w:vAlign w:val="bottom"/>
            <w:gridSpan w:val="6"/>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60" w:type="dxa"/>
            <w:vAlign w:val="bottom"/>
            <w:gridSpan w:val="9"/>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860" w:type="dxa"/>
            <w:vAlign w:val="bottom"/>
          </w:tcPr>
          <w:p>
            <w:pPr>
              <w:spacing w:after="0"/>
              <w:rPr>
                <w:sz w:val="19"/>
                <w:szCs w:val="19"/>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15.</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74" w:lineRule="exact"/>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240" w:type="dxa"/>
            <w:vAlign w:val="bottom"/>
            <w:gridSpan w:val="6"/>
            <w:shd w:val="clear" w:color="auto" w:fill="0000FF"/>
          </w:tcPr>
          <w:p>
            <w:pPr>
              <w:spacing w:after="0"/>
              <w:rPr>
                <w:sz w:val="2"/>
                <w:szCs w:val="2"/>
                <w:color w:val="auto"/>
              </w:rPr>
            </w:pPr>
          </w:p>
        </w:tc>
        <w:tc>
          <w:tcPr>
            <w:tcW w:w="7740" w:type="dxa"/>
            <w:vAlign w:val="bottom"/>
            <w:gridSpan w:val="15"/>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2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774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1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All statements, other than statements of historical fact, included in this Annual Report regarding our strategy, future operations, estimated revenues and losses, projected costs, prospects, plans and objectives of management are forward-looking statements. Such statements are generally identifiable by the terminology used such as “anticipate,” “believe,” “continue,” “could,” “estimate,” “expect,” “forecasted,” “hypothetical,” “intend,” “may,” “might,” “plan,” “potential,” “predict,” “project,” “seek,” “should,” “would” or other similar words, although not all forward-looking statements contain such identifying words.</w:t>
      </w:r>
    </w:p>
    <w:p>
      <w:pPr>
        <w:spacing w:after="0" w:line="84"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“Item 1A. Risk Factors” in this Annual Report, as well as the following factors, among others: general economic conditions, including the effects of inflation and interest rates; tariffs and trade tensions;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or the construction, expansion or operation of our midstream assets;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conditions, environmental conditions and natural disasters; disruption from our acquisitions making it more difficult to maintain business and operational relationships; significant transaction costs associated with our acquisitions; the risk of litigation and/or regulatory actions related to our acquisitions; evolving cybersecurity risks; 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spacing w:after="0" w:line="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NGLs;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Inflation Reduction Act of 2022 (the “IRA”);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One Big Beautiful Bill Act of 2025 (the “OBBBA”);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Annual Report or in our other filings with the SEC that are not historical.</w:t>
      </w:r>
    </w:p>
    <w:p>
      <w:pPr>
        <w:spacing w:after="0" w:line="9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In this Annual Report, (i) references to “we,” “our” or the “Company” refer to Matador Resources Company and its subsidiaries as a whole (unless the context indicates otherwise), (ii) references to “Matador” refer solely to Matador Resources Company, (iii) references to the “Ameredev Acquisition” refer to the acquisition of Ameredev Stateline II, LLC from affiliates of EnCap Investments L.P., including (a) certain oil and natural gas producing properties and undeveloped acreage located in Lea County, New Mexico and Loving and Winkler Counties, Texas, and (b) an approximate 19% stake in the parent company of Piñon Midstream, LLC, which was completed by a subsidiary of the Company on September 18, 2024, (iv) references to the “Advance Acquisition” refer to the acquisition of Advance Energy Partners Holdings, LLC from affiliates of EnCap Investments L.P., including certain oil and natural gas producing properties, undeveloped acreage and midstream assets located primarily in Lea County, New Mexico and Ward County, Texas, that was completed by a subsidiary of the Company on April 12, 2023, and the acquisition of additional interests from affiliates of EnCap Investments L.P., including overriding royalty interests and royalty interests in certain oil and natural gas properties located primarily in Lea County, New Mexico on December 1, 2023, (v) references to “San Mateo” refer to San Mateo Midstream, LLC, collectively with its subsidiaries (including, as of December 18, 2024, Pronto), and (vi) references to “Pronto” refer to Pronto Midstream, LLC, together with its subsidiary. For certain oil and natural gas terms used in this Annual Report, see the “Glossary of Oil and Natural Gas Terms” included in this Annual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spacing w:after="0" w:line="7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a Texas corporation founded in July 2003 by Joseph Wm. Foran, Chairman and Chief Executive Officer. Mr. Foran began his career as an oil and natural gas independent in 1983 when he founded Foran Oil Company with $270,000 in contributed capital from 17 friends and family members. Foran Oil Company was later contributed to Matador Petroleum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Corporation upon its formation by Mr. Foran in 1988. Mr. Foran served as Chairman and Chief Executive Officer of that company from its inception until it was sold in June 2003 to Tom Brown Inc., in an all-cash transaction for an enterprise value of approximately $388.5 million.</w:t>
      </w:r>
    </w:p>
    <w:p>
      <w:pPr>
        <w:spacing w:after="0" w:line="5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On February 2, 2012, our common stock began trading on the New York Stock Exchange (the “NYSE”) under the symbol “MTDR.” Prior to trading on the NYSE, there was no established public trading market for our common stock.</w:t>
      </w:r>
    </w:p>
    <w:p>
      <w:pPr>
        <w:spacing w:after="0" w:line="54"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spacing w:after="0" w:line="54" w:lineRule="exact"/>
        <w:rPr>
          <w:sz w:val="20"/>
          <w:szCs w:val="20"/>
          <w:color w:val="auto"/>
        </w:rPr>
      </w:pPr>
    </w:p>
    <w:p>
      <w:pPr>
        <w:ind w:left="660" w:right="6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our exploration and development activities primarily on unconventional plays, including the Wolfcamp and Bone Spring plays in the Delaware Basin;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develop additional oil and natural gas plays as necessary to maintain a balanced portfolio of oil and natural gas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operational and cost efficiencies;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midstream opportunities that support and enhance our exploration and development activities and that generate value for San Mateo and Matador;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financial discipline;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capital to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opportunistic acquisitions, divestitures and joint ventures;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energy that society needs in a manner that is safe, protects the environment and is consistent with the oil and natural gas industry’s best practices.</w:t>
      </w:r>
    </w:p>
    <w:p>
      <w:pPr>
        <w:spacing w:after="0" w:line="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successful execution of our business strategies led to increases in our oil and natural gas production and proved oil and natural gas reserves in 2025. We improved the capital efficiency of our drilling and completion operations and achieved several key operational milestones throughout the year (as further described below in “—Exploration and Production Segment—Southeast New Mexico and West Texas—Delaware Basin”). We also secured firm transportation on Energy Transfer’s Hugh Brinson Pipeline, which is expected to come online in the fourth quarter of 2026, to move 500,000 MMBtu per day of natural gas production out of the Permian Basin to East Texas and markets along the Gulf Coast where demand and pricing have historically been significantly higher than at the Waha Hub.</w:t>
      </w:r>
    </w:p>
    <w:p>
      <w:pPr>
        <w:spacing w:after="0" w:line="7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 addition, we achieved several key capital resources objectives during the year, including generating free cash flow, paying down a portion of the borrowings that funded the Ameredev Acquisition, increasing our quarterly cash dividend and earning performance incentives from Five Point Infrastructure, LLC or its affiliates (previously, Five Point Energy LLC) (“Five Point”), our joint venture partner in San Mateo.</w:t>
      </w:r>
    </w:p>
    <w:p>
      <w:pPr>
        <w:spacing w:after="0" w:line="6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San Mateo also achieved important milestones in 2025, including the construction of an additional natural gas processing plant with a designed inlet capacity of 200 MMcf per day, including a nitrogen rejection unit and additional related facilities, to expand its Marlan cryogenic natural gas processing plant (the “Marlan Processing Plant”). The Marlan Processing Plant expansion came online in the second quarter of 2025 and increased San Mateo’s total natural gas cryogenic processing capacity 38% to 720 MMcf per day.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Highlights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Oil, Natural Gas and Oil Equivalent Production</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we achieved record oil, natural gas and average daily oil equivalent production. In 2025, we produced 43.7 million Bbl of oil, an increase of 20%, as compared to 36.5 million Bbl of oil produced in 2024. We also produced 191.3 Bcf of natural gas, an increase of 23% from 155.8 Bcf of natural gas produced in 2024. Our average daily oil equivalent production for the year ended December 31, 2025 was 207,070 BOE per day, including 119,723 Bbl of oil per day and 524.1 MMcf of natural gas per day, an increase of 21%, as compared to 170,751 BOE per day, including 99,808 Bbl of oil per day and 425.7 MMcf of natural gas per day, for the year ended December 31, 2024. The increase in oil and natural gas production was primarily attributable to our ongoing delineation and development drilling activities in the Delaware Basin throughout 2025, which offset our declining production in the Eagle Ford shale in South Texas that was divested in the first quarter of 2025. Oil production comprised 58% of our total production (using a conversion ratio of one Bbl of oil per six Mcf of natural gas) for each of the years ended December 31, 2025 and 2024.</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Oil, Natural Gas and Oil Equivalent Reserves</w:t>
      </w:r>
    </w:p>
    <w:p>
      <w:pPr>
        <w:spacing w:after="0" w:line="11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At December 31, 2025, our estimated total proved oil and natural gas reserves were 667.0 million BOE, including 376.0 million Bbl of oil and 1.75 Tcf of natural gas, an increase of 9% from 611.5 million BOE, including 361.8 million Bbl of oil and 1.50 Tcf of natural gas, at December 31, 2024. The Standardized Measure of our total proved oil and natural gas reserves decreased 5% from $7.38 billion at December 31, 2024 to $6.99 billion at December 31, 2025. The PV-10 of our total proved oil and natural gas reserves decreased 11% from $9.23 billion at December 31, 2024 to $8.24 billion at December 31, 2025. The decreases in our Standardized Measure and PV-10 were primarily a result of the lower unweighted arithmetic average oil and natural gas prices used to estimate proved reserves at December 31, 2025, as compared to December 31, 2024, partially offset by a 9% increase in our total proved oil and natural gas reserves at December 31, 2025, as compared to December 31, 2024. PV-10 is a non-GAAP financial measure. For a reconciliation of PV-10 to Standardized Measure, see “—Estimated Proved Reserves.”</w:t>
      </w:r>
    </w:p>
    <w:p>
      <w:pPr>
        <w:spacing w:after="0" w:line="8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2025, estimated proved developed reserves included 223.0 million Bbl of oil and 1.11 Tcf of natural gas, and estimated proved undeveloped reserves included 153.0 million Bbl of oil and 636.6 Bcf of natural gas. Proved developed reserves and proved oil reserves comprised 61% and 56%, respectively, of our total proved oil and natural gas reserves at December 31, 2025. Proved developed reserves and proved oil reserves comprised 60% and 59%, respectively, of our total proved oil and natural gas reserves at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Highlights</w:t>
      </w:r>
    </w:p>
    <w:p>
      <w:pPr>
        <w:spacing w:after="0" w:line="11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We expect the Delaware Basin will continue to be our primary area of focus in 2026.</w:t>
      </w:r>
    </w:p>
    <w:p>
      <w:pPr>
        <w:spacing w:after="0" w:line="7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We completed and began producing oil and natural gas from 258 gross (129.3 net) horizontal wells in the Delaware Basin in 2025, including 151 gross (121.2 net) operated and 107 gross (8.1 net) non-operated wells. At December 31, 2025, our total acreage position in the Delaware Basin was approximately 354,600 gross (212,500 net) acres, primarily in Lea and Eddy Counties, New Mexico and Loving, Ward and Winkler Counties, Texas. We have focused our Delaware Basin operations on the following asset areas: the Stateline, Rustler Breaks and Arrowhead asset areas in Eddy County, New Mexico, the Antelope Ridge, Ranger and Twin Lakes asset areas in Lea County, New Mexico and the West Texas asset area in Loving, Ward and Winkler Counties, Texas. Our Delaware Basin properties are the most significant component of our asset portfolio. We expect our Delaware Basin production to increase in 2026 as we continue the delineation and development of these asset areas.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2025, we achieved several operational highlights in the Delaware Basin. These highlights (as further described below in “—Exploration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Segment—Southeast New Mexico and West Texas—Delaware Basin”) included:</w:t>
      </w:r>
    </w:p>
    <w:p>
      <w:pPr>
        <w:spacing w:after="0" w:line="99"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well performance and cost efficiencies through large-scale batch developments. For example, during the second half of 2025, we turned to sales a 17-well batch development, one of the largest developments in our history, on our John Callahan unit in the Antelope Ridge asset area in Lea County, New Mexico targeting multiple horizons in the Bone Springs and Wolfcamp formations;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drilling and completion costs per lateral foot, including increased efficiencies and capital savings through the continued use of Simul-Frac and Trimul-Frac;</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drilling of longer laterals, with average completed lateral length for operated wells turned to sales in 2025 of approximately 10,400 feet; and</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drilling, completing and equipping wells (“D/C/E capital expenditures”) for 2025 of $1.53 billion, which was within our estimated range for 2025 D/C/E capital expenditures of $1.47 to $1.55 billion, as provided on October 21,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and Financing Highlights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2025, we achieved several significant and important capital resources objectives, which included:</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of free cash flow in all four quarters of 2025;</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dividend policy two times during 2025, pursuant to which we increased the quarterly cash dividend from $0.25 per share of common stock in the fourth quarter of 2024 to $0.375 per share of common stock;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$136.7 million in cash distributions from San Mateo and $13.0 million in performance incentives directly from Five Point;</w:t>
      </w:r>
    </w:p>
    <w:p>
      <w:pPr>
        <w:spacing w:after="0" w:line="117"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in April 2025 of a share repurchase program (the “Share Repurchase Program”) authorizing the repurchase of up to $400.0 million of common stock, and the purchase of 1,351,328 shares of common stock under the Share Repurchase Program in 2025 at a weighted average price of $41.31 per common share for a total cost of $55.8 million;</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San Mateo’s secured revolving credit facility (the “San Mateo Credit Facility”) in December 2025 to increase the lender commitments from $850.0 million to $1.10 billion, and to amend the accordion feature to provide for potential increases in lender commitments of up to $1.35 billion;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upgrade to our long-term issuer default rating by Fitch Ratings from ‘BB-’ to ‘BB’.</w:t>
      </w:r>
    </w:p>
    <w:p>
      <w:pPr>
        <w:spacing w:after="0" w:line="117"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Operations—Liquidity and Capital Resources”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Midstream Highlights</w:t>
      </w:r>
    </w:p>
    <w:p>
      <w:pPr>
        <w:spacing w:after="0" w:line="119"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Matador conducts its midstream operations primarily through San Mateo, which is owned 51% by us and 49% by our joint venture partner, Five Point.</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San Mateo achieved strong operating results in 2025, highlighted by (i) free cash flow generation, (ii) expansion of the Marlan Processing Plant (iii) increased midstream services revenues, including those from third-party customers, and (iv) increased natural gas gathering and processing volumes.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2025, San Mateo’s midstream system included:</w:t>
      </w:r>
    </w:p>
    <w:p>
      <w:pPr>
        <w:spacing w:after="0" w:line="158" w:lineRule="exact"/>
        <w:rPr>
          <w:sz w:val="20"/>
          <w:szCs w:val="20"/>
          <w:color w:val="auto"/>
        </w:rPr>
      </w:pPr>
    </w:p>
    <w:p>
      <w:pPr>
        <w:ind w:left="420" w:right="200" w:hanging="331"/>
        <w:spacing w:after="0" w:line="266" w:lineRule="auto"/>
        <w:tabs>
          <w:tab w:leader="none" w:pos="4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Natural Gas Assets</w:t>
      </w:r>
      <w:r>
        <w:rPr>
          <w:rFonts w:ascii="Times New Roman" w:cs="Times New Roman" w:eastAsia="Times New Roman" w:hAnsi="Times New Roman"/>
          <w:sz w:val="18"/>
          <w:szCs w:val="18"/>
          <w:color w:val="auto"/>
        </w:rPr>
        <w:t>: 720 MMcf per day of designed natural gas cryogenic processing capacity and approximately 340 miles of natural gas gathering pipelines in Eddy and Lea Counties, New Mexico and Loving County, Texas, including 43 miles of large diameter natural gas gathering lines spanning from the Stateline asset area to the southern portion of the Arrowhead asset area (the “Greater Stebbins Area”);</w:t>
      </w:r>
    </w:p>
    <w:p>
      <w:pPr>
        <w:spacing w:after="0" w:line="108" w:lineRule="exact"/>
        <w:rPr>
          <w:rFonts w:ascii="Times New Roman" w:cs="Times New Roman" w:eastAsia="Times New Roman" w:hAnsi="Times New Roman"/>
          <w:sz w:val="18"/>
          <w:szCs w:val="18"/>
          <w:color w:val="auto"/>
        </w:rPr>
      </w:pPr>
    </w:p>
    <w:p>
      <w:pPr>
        <w:ind w:left="420" w:hanging="331"/>
        <w:spacing w:after="0" w:line="266" w:lineRule="auto"/>
        <w:tabs>
          <w:tab w:leader="none" w:pos="4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Oil Assets</w:t>
      </w:r>
      <w:r>
        <w:rPr>
          <w:rFonts w:ascii="Times New Roman" w:cs="Times New Roman" w:eastAsia="Times New Roman" w:hAnsi="Times New Roman"/>
          <w:sz w:val="18"/>
          <w:szCs w:val="18"/>
          <w:color w:val="auto"/>
        </w:rPr>
        <w:t>: three oil central delivery points (“CDP”) with over 100,000 Bbl of designed oil throughput capacity and approximately 120 miles of oil gathering and transportation pipelines in Eddy County, New Mexico and Loving County, Texas, as well as a 400,000-acre joint development area with Plains Marketing, L.P. (“Plains”) to gather our and other producers’ oil production in Eddy County, New Mexico; and</w:t>
      </w:r>
    </w:p>
    <w:p>
      <w:pPr>
        <w:spacing w:after="0" w:line="67" w:lineRule="exact"/>
        <w:rPr>
          <w:rFonts w:ascii="Times New Roman" w:cs="Times New Roman" w:eastAsia="Times New Roman" w:hAnsi="Times New Roman"/>
          <w:sz w:val="18"/>
          <w:szCs w:val="18"/>
          <w:color w:val="auto"/>
        </w:rPr>
      </w:pPr>
    </w:p>
    <w:p>
      <w:pPr>
        <w:ind w:left="420" w:right="140" w:hanging="331"/>
        <w:spacing w:after="0" w:line="282" w:lineRule="auto"/>
        <w:tabs>
          <w:tab w:leader="none" w:pos="4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Produced Water Assets</w:t>
      </w:r>
      <w:r>
        <w:rPr>
          <w:rFonts w:ascii="Times New Roman" w:cs="Times New Roman" w:eastAsia="Times New Roman" w:hAnsi="Times New Roman"/>
          <w:sz w:val="18"/>
          <w:szCs w:val="18"/>
          <w:color w:val="auto"/>
        </w:rPr>
        <w:t>: 16 commercial salt water disposal wells and associated facilities with designed produced water disposal capacity of 475,000 Bbl per day and approximately 195 miles of produced water gathering pipelines in Eddy County, New Mexico and Loving County, Texas.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Practices</w:t>
      </w:r>
    </w:p>
    <w:p>
      <w:pPr>
        <w:spacing w:after="0" w:line="16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are committed to creating value for our shareholders in a responsible manner. Our aim is to reliably and profitably provide the oil and gas that society needs in a manner that is safe, protects the environment and is consistent with the industry’s best practices and the highest applicable regulatory and legal standards. We also communicate our stewardship efforts in our annual Sustainability Report using quantitative metrics aligned with standards developed by the Sustainability Accounting Standards Board (SASB).</w:t>
      </w:r>
    </w:p>
    <w:p>
      <w:pPr>
        <w:spacing w:after="0" w:line="7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Highlights from our sustainability efforts are noted below. The data utilized in calculating the below metrics is subject to certain reporting rules, regulatory reviews, definitions, calculation methodologies, estimates, adjustments and other factors. The emissions-related metrics for 2025 were not readily available prior to the filing of this Annual Report and, therefore, are presented as related to our 2024 operations. As of the date of this Annual Report, we are not aware of any material changes to the emissions-related metrics subsequent to the publishing of the 2024 Sustainability Report, assuming the calculation methodology remains consistent for the 2025 reporting year. All other metrics are presented as related to our 2025 operations. The metrics reflect both Matador’s gross operated exploration and production operations and gross operated midstream operations (which includes San Mateo) on a consolidated basis, except where otherwise noted or immaterial in scope.</w:t>
      </w:r>
    </w:p>
    <w:p>
      <w:pPr>
        <w:spacing w:after="0" w:line="8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Matador’s direct greenhouse gas emissions intensity by 65% in 2024, as compared to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Matador’s methane emissions intensity by 88% in 2024, as compared to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Matador’s flaring intensity by 84% in 2024, as compared to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non-fresh water in 98% of total water consumption in 2025;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recycled produced water for 72% of total water consumption in hydraulic fracturing operations in 2025;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transported 99% of operated produced water and 97% of operated produced oil by pipeline in 2025;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approximately 26,800 hours of employee continuing education, equating to approximately 56 hours per employee in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and Production Segment</w:t>
      </w:r>
    </w:p>
    <w:p>
      <w:pPr>
        <w:spacing w:after="0" w:line="121"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Our current operations are focused primarily on the oil and liquids-rich portion of the Wolfcamp and Bone Spring plays in the Delaware Basin in Southeast New Mexico and West Texas. We also have operations in the Haynesville shale and Cotton Valley plays in Northwest Louisiana. During 2025, we devoted most of our efforts and most of our capital expenditures to our drilling and completion operations and midstream operations in the Wolfcamp and Bone Spring plays in the Delaware Basin. Since our inception, our exploration and development efforts have concentrated primarily on known hydrocarbon-producing basins with well-established production histories offering the potential for multiple-zone completions.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certain summary data for each of our operating areas as of and for the year ended December 31,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Producing</w:t>
            </w:r>
          </w:p>
        </w:tc>
        <w:tc>
          <w:tcPr>
            <w:tcW w:w="1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Identified</w:t>
            </w:r>
          </w:p>
        </w:tc>
        <w:tc>
          <w:tcPr>
            <w:tcW w:w="2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Net Proved</w:t>
            </w:r>
          </w:p>
        </w:tc>
        <w:tc>
          <w:tcPr>
            <w:tcW w:w="1040" w:type="dxa"/>
            <w:vAlign w:val="bottom"/>
          </w:tcPr>
          <w:p>
            <w:pPr>
              <w:spacing w:after="0"/>
              <w:rPr>
                <w:sz w:val="16"/>
                <w:szCs w:val="16"/>
                <w:color w:val="auto"/>
              </w:rPr>
            </w:pPr>
          </w:p>
        </w:tc>
      </w:tr>
      <w:tr>
        <w:trPr>
          <w:trHeight w:val="239"/>
        </w:trPr>
        <w:tc>
          <w:tcPr>
            <w:tcW w:w="3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Wells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Drilling Locations</w:t>
            </w:r>
            <w:r>
              <w:rPr>
                <w:rFonts w:ascii="Times New Roman" w:cs="Times New Roman" w:eastAsia="Times New Roman" w:hAnsi="Times New Roman"/>
                <w:sz w:val="18"/>
                <w:szCs w:val="18"/>
                <w:b w:val="1"/>
                <w:bCs w:val="1"/>
                <w:color w:val="auto"/>
                <w:w w:val="99"/>
                <w:vertAlign w:val="superscript"/>
              </w:rPr>
              <w:t>(1)</w:t>
            </w:r>
          </w:p>
        </w:tc>
        <w:tc>
          <w:tcPr>
            <w:tcW w:w="2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Reserves</w:t>
            </w:r>
            <w:r>
              <w:rPr>
                <w:rFonts w:ascii="Times New Roman" w:cs="Times New Roman" w:eastAsia="Times New Roman" w:hAnsi="Times New Roman"/>
                <w:sz w:val="18"/>
                <w:szCs w:val="18"/>
                <w:b w:val="1"/>
                <w:bCs w:val="1"/>
                <w:color w:val="auto"/>
                <w:w w:val="95"/>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Avg. Daily</w:t>
            </w:r>
          </w:p>
        </w:tc>
      </w:tr>
      <w:tr>
        <w:trPr>
          <w:trHeight w:val="184"/>
        </w:trPr>
        <w:tc>
          <w:tcPr>
            <w:tcW w:w="31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Production</w:t>
            </w:r>
          </w:p>
        </w:tc>
      </w:tr>
      <w:tr>
        <w:trPr>
          <w:trHeight w:val="228"/>
        </w:trPr>
        <w:tc>
          <w:tcPr>
            <w:tcW w:w="312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(BOE/d)</w:t>
            </w:r>
            <w:r>
              <w:rPr>
                <w:rFonts w:ascii="Times New Roman" w:cs="Times New Roman" w:eastAsia="Times New Roman" w:hAnsi="Times New Roman"/>
                <w:sz w:val="18"/>
                <w:szCs w:val="18"/>
                <w:b w:val="1"/>
                <w:bCs w:val="1"/>
                <w:color w:val="auto"/>
                <w:w w:val="99"/>
                <w:vertAlign w:val="superscript"/>
              </w:rPr>
              <w:t>(3)</w:t>
            </w: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03"/>
        </w:trPr>
        <w:tc>
          <w:tcPr>
            <w:tcW w:w="312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Delaware Basin</w:t>
            </w:r>
            <w:r>
              <w:rPr>
                <w:rFonts w:ascii="Times New Roman" w:cs="Times New Roman" w:eastAsia="Times New Roman" w:hAnsi="Times New Roman"/>
                <w:sz w:val="18"/>
                <w:szCs w:val="18"/>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354,600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212,500</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1,137.1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203,330</w:t>
            </w: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12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Eagle Ford</w:t>
            </w:r>
            <w:r>
              <w:rPr>
                <w:rFonts w:ascii="Times New Roman" w:cs="Times New Roman" w:eastAsia="Times New Roman" w:hAnsi="Times New Roman"/>
                <w:sz w:val="18"/>
                <w:szCs w:val="18"/>
                <w:color w:val="auto"/>
                <w:vertAlign w:val="superscript"/>
              </w:rPr>
              <w:t>(5)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5"/>
        </w:trPr>
        <w:tc>
          <w:tcPr>
            <w:tcW w:w="3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Haynesville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3,534</w:t>
            </w:r>
          </w:p>
        </w:tc>
      </w:tr>
      <w:tr>
        <w:trPr>
          <w:trHeight w:val="210"/>
        </w:trPr>
        <w:tc>
          <w:tcPr>
            <w:tcW w:w="3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Cotton Valley</w:t>
            </w:r>
            <w:r>
              <w:rPr>
                <w:rFonts w:ascii="Times New Roman" w:cs="Times New Roman" w:eastAsia="Times New Roman" w:hAnsi="Times New Roman"/>
                <w:sz w:val="18"/>
                <w:szCs w:val="18"/>
                <w:color w:val="auto"/>
                <w:vertAlign w:val="superscript"/>
              </w:rPr>
              <w:t>(6)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r>
      <w:tr>
        <w:trPr>
          <w:trHeight w:val="196"/>
        </w:trPr>
        <w:tc>
          <w:tcPr>
            <w:tcW w:w="3120" w:type="dxa"/>
            <w:vAlign w:val="bottom"/>
          </w:tcPr>
          <w:p>
            <w:pPr>
              <w:ind w:left="800"/>
              <w:spacing w:after="0" w:line="196" w:lineRule="exact"/>
              <w:rPr>
                <w:sz w:val="20"/>
                <w:szCs w:val="20"/>
                <w:color w:val="auto"/>
              </w:rPr>
            </w:pPr>
            <w:r>
              <w:rPr>
                <w:rFonts w:ascii="Times New Roman" w:cs="Times New Roman" w:eastAsia="Times New Roman" w:hAnsi="Times New Roman"/>
                <w:sz w:val="14"/>
                <w:szCs w:val="14"/>
                <w:color w:val="auto"/>
              </w:rPr>
              <w:t>Area Total</w:t>
            </w:r>
            <w:r>
              <w:rPr>
                <w:rFonts w:ascii="Times New Roman" w:cs="Times New Roman" w:eastAsia="Times New Roman" w:hAnsi="Times New Roman"/>
                <w:sz w:val="18"/>
                <w:szCs w:val="18"/>
                <w:color w:val="auto"/>
                <w:vertAlign w:val="superscript"/>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3,635</w:t>
            </w:r>
          </w:p>
        </w:tc>
      </w:tr>
      <w:tr>
        <w:trPr>
          <w:trHeight w:val="228"/>
        </w:trPr>
        <w:tc>
          <w:tcPr>
            <w:tcW w:w="31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373,100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229,800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1,194.3</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667,047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207,070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40" w:hanging="331"/>
        <w:spacing w:after="0" w:line="262"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and engineered drilling locations. These locations have been identified for potential future drilling and were not producing at December 31, 2025.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2025, approximately 76% of these identified drilling locations in the Delaware Basin were expected to be horizontal laterals with lateral lengths of approximately two miles or greater, and approximately 91% are expected to have lateral lengths of approximately 1.5 miles or greater. At December 31, 2025, these engineered drilling locations included 522 gross (255 net) operated and non-operated locations to which we have assigned proved undeveloped reserves, primarily in the Wolfcamp or Bone Spring plays, but also in the Brushy Canyon and Avalon formations, in the Delaware Basin. At December 31, 2025, we had assigned no proved undeveloped reserves to our leasehold in Northwest Louisiana.</w:t>
      </w:r>
    </w:p>
    <w:p>
      <w:pPr>
        <w:spacing w:after="0" w:line="254" w:lineRule="exact"/>
        <w:rPr>
          <w:rFonts w:ascii="Times New Roman" w:cs="Times New Roman" w:eastAsia="Times New Roman" w:hAnsi="Times New Roman"/>
          <w:sz w:val="14"/>
          <w:szCs w:val="14"/>
          <w:color w:val="auto"/>
        </w:rPr>
      </w:pPr>
    </w:p>
    <w:p>
      <w:pPr>
        <w:jc w:val="both"/>
        <w:ind w:left="460" w:right="160" w:hanging="331"/>
        <w:spacing w:after="0" w:line="281"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55" w:lineRule="exact"/>
        <w:rPr>
          <w:rFonts w:ascii="Times New Roman" w:cs="Times New Roman" w:eastAsia="Times New Roman" w:hAnsi="Times New Roman"/>
          <w:sz w:val="14"/>
          <w:szCs w:val="14"/>
          <w:color w:val="auto"/>
        </w:rPr>
      </w:pPr>
    </w:p>
    <w:p>
      <w:pPr>
        <w:ind w:left="460" w:right="120" w:hanging="331"/>
        <w:spacing w:after="0" w:line="302"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and proved reserves reported in two streams: oil and natural gas, including both dry and liquids-rich natural gas. Estimated using a conversion ratio of one Bbl of oil per six Mcf of natural gas.</w:t>
      </w:r>
    </w:p>
    <w:p>
      <w:pPr>
        <w:spacing w:after="0" w:line="53"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potential future engineered drilling locations in the Wolfcamp, Bone Spring, Brushy Canyon, Yeso and Avalon plays on our acreage in the Delaware Basin at December 31, 2025.</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sold its remaining South Texas assets in the Eagle Ford shale.</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109" w:lineRule="exact"/>
        <w:rPr>
          <w:rFonts w:ascii="Times New Roman" w:cs="Times New Roman" w:eastAsia="Times New Roman" w:hAnsi="Times New Roman"/>
          <w:sz w:val="14"/>
          <w:szCs w:val="14"/>
          <w:color w:val="auto"/>
        </w:rPr>
      </w:pPr>
    </w:p>
    <w:p>
      <w:pPr>
        <w:ind w:left="460" w:right="140" w:hanging="331"/>
        <w:spacing w:after="0" w:line="302"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spacing w:after="0" w:line="5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active both as an operator and as a non-operating, co-working interest owner with various industry participants. At December 31, 2025, we operated a significant majority of our acreage in the Delaware Basin in Southeast New Mexico and West Texas. In those wells where we are not the operator, our working interests are often relatively small. At December 31, 2025, we also operated approximately 51% of our Northwest Louisiana acreage.</w:t>
      </w:r>
    </w:p>
    <w:p>
      <w:pPr>
        <w:spacing w:after="0" w:line="6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While we do not always have direct access to our operating partners’ drilling plans with respect to future well locations on non-operated properties, we do attempt to maintain ongoing communications with the technical staff of these operators in an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effort to understand their drilling plans for purposes of our capital expenditure budget and our booking of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Southeast New Mexico and West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Delaware Basin</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had focused on relatively conventional reservoir targets, but the combination of advanced formation evaluation, 3-D seismic technology, horizontal drilling and hydraulic fracturing technology has enhanced the development potential of this basin, particularly in the organic rich shales, or source rocks, of the Wolfcamp formation and in the low permeability sand and carbonate reservoirs of the Bone Spring, Brushy Canyon and Avalon formations.</w:t>
      </w:r>
    </w:p>
    <w:p>
      <w:pPr>
        <w:spacing w:after="0" w:line="75"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In the western part of the Permian Basin, also known as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and Bone Spring (First, Second and Third Sand and Carbonate) and several intervals within the Wolfcamp shale, often identified as Wolfcamp A through D.</w:t>
      </w:r>
    </w:p>
    <w:p>
      <w:pPr>
        <w:spacing w:after="0" w:line="7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At December 31, 2025, our total acreage position in Southeast New Mexico and West Texas was approximately 354,600 gross (212,500 net) acres, primarily in Lea and Eddy Counties, New Mexico and Loving, Ward and Winkler Counties, Texas. These acreage totals included approximately 75,200 gross (42,800 net) acres in our Ranger asset area in Lea County, 61,400 gross (26,300 net) acres in our Arrowhead asset area in Eddy County, 47,000 gross (26,600 net) acres in our Rustler Breaks asset area in Eddy County, 77,000 gross (59,000 net) acres in our Antelope Ridge asset area in Lea County, 2,900 gross (2,900 net) acres in our Stateline asset area in Eddy County, 57,000 gross (32,100 net) acres in our Twin Lakes asset area in Lea County and 33,500 gross (22,300 net) acres in our West Texas asset area in Loving, Ward and Winkler Counties at December 31, 2025. We consider the vast majority of our Delaware Basin acreage position to be prospective for oil and liquids-rich targets in the Bone Spring and Wolfcamp formations. Other potential targets on certain portions of our acreage include the Brushy Canyon and Avalon formations, as well as the Abo, Strawn, Devonian, Penn Shale, Atoka, Yeso and Morrow formations. At December 31, 2025, our acreage position in the Delaware Basin was approximately 81% held by existing production. Excluding the Twin Lakes asset area, our acreage position in the Delaware Basin was approximately 90% held by existing production at December 31, 2025.</w:t>
      </w:r>
    </w:p>
    <w:p>
      <w:pPr>
        <w:spacing w:after="0" w:line="86"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we continued the delineation and development of our Delaware Basin acreage. We completed and began producing oil and natural gas from 258 gross (129.3 net) horizontal wells in the Delaware Basin, including 151 gross (121.2 net) operated horizontal wells and 107 gross (8.1 net) non-operated horizontal wells, throughout our various asset areas. At December 31, 2025, we had tested a number of different producing horizons at various locations across our acreage position, including the Brushy Canyon, two benches of the Avalon, two benches of the First Bone Spring, the Second Bone Spring Carbonate, three benches of the Second Bone Spring Sand, three benches of the Third Bone Spring Carbonate, two benches of the Third Bone Spring Sand, four benches of the Wolfcamp A, including the X, Y and Z sands and the more organic, lower section of the Wolfcamp A, three benches of the Wolfcamp B, the Wolfcamp D, the Strawn and the Morrow.</w:t>
      </w:r>
    </w:p>
    <w:p>
      <w:pPr>
        <w:spacing w:after="0" w:line="81" w:lineRule="exact"/>
        <w:rPr>
          <w:sz w:val="20"/>
          <w:szCs w:val="20"/>
          <w:color w:val="auto"/>
        </w:rPr>
      </w:pPr>
    </w:p>
    <w:p>
      <w:pPr>
        <w:jc w:val="both"/>
        <w:ind w:right="22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2025, approximately 99% of our estimated total proved oil and natural gas reserves, or 662.2 million BOE, was attributable to the Delaware Basin, including approximately 376.0 million Bbl of oil and 1.72 Tcf of natural gas, a 9% increase, as compared to 606.2 million BOE for the year ended December 31, 2024. Our Delaware Basin proved reserves at December 31, 2025 and 2024 comprised approximately 100% of our proved oil reserves and 98% of our proved natural gas reserves.</w:t>
      </w:r>
    </w:p>
    <w:p>
      <w:pPr>
        <w:spacing w:after="0" w:line="72"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At December 31, 2025, we had identified 5,295 gross (1,802 net) engineered locations for potential future drilling on our Delaware Basin acreage, primarily in the Wolfcamp and Bone Spring plays, but also including the shallower Brushy Canyon, Yeso and Avalon formations. At December 31, 2025, these locations had a total net lateral length of approximately 19.1 million feet, or 3,801 miles, an increase of 4% as compared to the total net lateral length of approximately 18.3 million feet, or 3,680 miles, as of December 31, 2024. These locations include 2,492 gross (1,599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specified locations given our current acreage position. At December 31, 2025, approximately 76% of these identified drilling locations are expected to have horizontal lateral lengths of approximately two miles or greater and approximately 91% are expected to have horizontal lateral lengths of approximately 1.5 miles or greater.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2025,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2025, the majority of our estimated locations were based on the assumption of 160-acre well spacing. As we explore and develop our Delaware Basin acreage further, we anticipate that we may identify additional locations for future drilling. At December 31, 2025, these potential future drilling locations included 522 gross (255 net) operated and non-operated locations in the Delaware Basin, primarily in the Wolfcamp and Bone Spring plays, but also in the Brushy Canyon and Avalon, to which we have assigned proved undeveloped reserves.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Antelope Ridge Asset Area - Lea County, New Mexico</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Antelope Ridge asset area, we turned to sales 84 gross (73.2 net) operated wells and 27 gross (0.5 net) non-operated wells during 2025.</w:t>
      </w:r>
    </w:p>
    <w:p>
      <w:pPr>
        <w:spacing w:after="0" w:line="11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second half of 2025, we turned to sales 17 gross (13.7 net) operated wells on our John Callahan unit in the Antelope Ridge asset area in Lea County, which is one of the largest developments in our history. These wells, which included four First Bone Spring, three Third Bone Spring, one Third Bone Spring Carbonate, three Wolfcamp A-XY, three Wolfcamp A and three Wolfcamp B completions, have produced in aggregate approximately 2.1 million BOE in approximately four months of production. These 17 wells had average completed lateral lengths of approximately 10,300 feet.</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We turned to sales an additional 67 gross (59.5 net) operated Antelope Ridge wells. These 67 wells, which included six First Bone Spring, six Second Bone Spring, 12 Third Bone Spring, eight Third Bone Spring Carbonate, 20 Wolfcamp A-XY, eight Wolfcamp A and seven Wolfcamp B completions, have produced in aggregate approximately 9.0 million BOE in an average of approximately seven months of production. These 67 wells had average completed lateral lengths of approximately 10,600 feet.</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Ranger and Twin Lakes Asset Areas - Lea County, New Mexico</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Ranger asset area, we turned to sales nine gross (7.5 net) operated wells and 22 gross (2.8 net) non-operated wells during 2025.</w:t>
      </w:r>
    </w:p>
    <w:p>
      <w:pPr>
        <w:spacing w:after="0" w:line="104"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In total, these nine Ranger operated wells, which included five Second Bone Spring and four Wolfcamp D completions, have produced in aggregate approximately 0.7 million BOE in an average of approximately five months of production. These nine wells had average completed lateral lengths of approximately 10,600 feet.</w:t>
      </w:r>
    </w:p>
    <w:p>
      <w:pPr>
        <w:spacing w:after="0" w:line="6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the Twin Lakes asset area, we turned to sales one gross (0.5 net) operated well, and we did not turn to sales or participate in any non-operated wells during 2025.</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Arrowhead Asset Area - Eddy County, New Mexico</w:t>
      </w:r>
    </w:p>
    <w:p>
      <w:pPr>
        <w:spacing w:after="0" w:line="92" w:lineRule="exact"/>
        <w:rPr>
          <w:sz w:val="20"/>
          <w:szCs w:val="20"/>
          <w:color w:val="auto"/>
        </w:rPr>
      </w:pPr>
    </w:p>
    <w:p>
      <w:pPr>
        <w:jc w:val="both"/>
        <w:ind w:right="120" w:firstLine="405"/>
        <w:spacing w:after="0" w:line="250" w:lineRule="auto"/>
        <w:rPr>
          <w:sz w:val="20"/>
          <w:szCs w:val="20"/>
          <w:color w:val="auto"/>
        </w:rPr>
      </w:pPr>
      <w:r>
        <w:rPr>
          <w:rFonts w:ascii="Times New Roman" w:cs="Times New Roman" w:eastAsia="Times New Roman" w:hAnsi="Times New Roman"/>
          <w:sz w:val="18"/>
          <w:szCs w:val="18"/>
          <w:color w:val="auto"/>
        </w:rPr>
        <w:t>We turned to sales 22 gross (12.0 net) operated wells in the Arrowhead asset area during 2025. These wells, which included 14 Second Bone Spring and eight Wolfcamp A-XY completions, have produced in aggregate approximately 5.5 million BOE in approximately seven months of production. These 22 wells had average completed lateral lengths of approximately 10,000 feet.</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turned to sales 21 gross (2.4 net) non-operated wells in the Arrowhead asset area during 2025.</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Rustler Breaks Asset Area - Eddy County, New Mexico</w:t>
      </w:r>
    </w:p>
    <w:p>
      <w:pPr>
        <w:spacing w:after="0" w:line="106"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We turned to sales 26 gross (19.3 net) operated wells in the Rustler Breaks asset area during 2025. In total, these 26 Rustler Breaks wells, which included seven First Bone Spring, five Second Bone Spring, four Third Bone Spring, six Third Bone Spring Carbonate, three Wolfcamp A-XY and one Wolfcamp B completions, have produced in aggregate approximately 4.3 million BOE in an average of approximately six months of production. These 26 wells had average completed lateral lengths of approximately 10,100 feet.</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turned to sales 36 gross (2.2 net) non-operated wells in the Rustler Breaks asset area during 2025.</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Stateline Asset Area - Eddy County, New Mexico</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conduct any operated or non-operated drilling and completion activities on our leasehold properties in the Stateline asset area during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West Texas Asset Area - Loving, Ward and Winkler Counties, Texas</w:t>
      </w:r>
    </w:p>
    <w:p>
      <w:pPr>
        <w:spacing w:after="0" w:line="106" w:lineRule="exact"/>
        <w:rPr>
          <w:sz w:val="20"/>
          <w:szCs w:val="20"/>
          <w:color w:val="auto"/>
        </w:rPr>
      </w:pPr>
    </w:p>
    <w:p>
      <w:pPr>
        <w:jc w:val="both"/>
        <w:ind w:right="100" w:firstLine="405"/>
        <w:spacing w:after="0" w:line="250" w:lineRule="auto"/>
        <w:rPr>
          <w:sz w:val="20"/>
          <w:szCs w:val="20"/>
          <w:color w:val="auto"/>
        </w:rPr>
      </w:pPr>
      <w:r>
        <w:rPr>
          <w:rFonts w:ascii="Times New Roman" w:cs="Times New Roman" w:eastAsia="Times New Roman" w:hAnsi="Times New Roman"/>
          <w:sz w:val="18"/>
          <w:szCs w:val="18"/>
          <w:color w:val="auto"/>
        </w:rPr>
        <w:t>We turned to sales nine gross (8.7 net) operated wells in the West Texas asset area during 2025. In total, these nine West Texas wells, which included two Third Bone Spring, one Wolfcamp A and six Wolfcamp B completions, have produced in aggregate approximately 0.4 million BOE in approximately three months of production. These nine wells had average completed lateral lengths of approximately 10,100 feet.</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turned to sales one gross (0.2 net) non-operated well in the West Texas asset area during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South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Eagle Ford Shale and Other Formations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2025, the Company sold its remaining South Texas assets in the Eagle Ford shale for $22.2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Northwest Louisiana — Haynesville Shale, Cotton Valley and Other Formations</w:t>
      </w:r>
    </w:p>
    <w:p>
      <w:pPr>
        <w:spacing w:after="0" w:line="11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We did not conduct any operated drilling and completion activities on our leasehold properties in Northwest Louisiana during 2025, although we did participate in the drilling and completion of 12 gross (0.1 net) non-operated Haynesville shale wells that were turned to sales in 2025.</w:t>
      </w:r>
    </w:p>
    <w:p>
      <w:pPr>
        <w:spacing w:after="0" w:line="5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At December 31, 2025, we held approximately 18,500 gross (17,300 net) acres in Northwest Louisiana, including 16,200 gross (8,900 net) acres in the Haynesville shale play and 15,800 gross (14,800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(4,700 net) acres that we consider to be in the core area of the Haynesville shale play. All of our leasehold in the Haynesville and Cotton Valley plays in Northwest Louisiana was held by existing production at December 31, 2025.</w:t>
      </w:r>
    </w:p>
    <w:p>
      <w:pPr>
        <w:spacing w:after="0" w:line="7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approximately 2% of our average daily oil equivalent production, or 3,635 BOE per day, including one Bbl of oil per day and 21.8 MMcf of natural gas per day, was attributable to our leasehold interests in Northwest Louisiana, while for the year ended December 31, 2024, approximately 2% of our average daily oil equivalent production, or 3,492 BOE per day, including three Bbl of oil per day and 21.0 MMcf of natural gas per day, was attributable to our properties in Northwest Louisiana. For the year ended December 31, 2025, approximately 4% of our daily natural gas production, or 21.8 MMcf of natural gas per day, was attributable to our leasehold interests in Northwest Louisiana, while for the year ended December 31, 2024, approximately 5% of our daily natural gas production, or 21.0 MMcf of natural gas per day, was attributable to these properties. At December 31, 2025, less than 1% of our estimated total proved reserves, or 4.8 million BOE, was attributable to our properties in Northwest Louisiana.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Midstream Segment</w:t>
      </w:r>
    </w:p>
    <w:p>
      <w:pPr>
        <w:spacing w:after="0" w:line="121"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midstream segment conducts midstream operations in support of, and provides flow assurance for, our exploration, development and production operations and provides natural gas processing, oil transportation services, oil, natural gas and produced water gathering services and produced water disposal services to third parties.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Southeast New Mexico and West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Delaware Basin</w:t>
      </w:r>
    </w:p>
    <w:p>
      <w:pPr>
        <w:spacing w:after="0" w:line="119"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On February 17, 2017, we announced the formation of San Mateo, a strategic joint venture with Five Point. The midstream assets that were contributed to San Mateo included (i) San Mateo’s Black River cryogenic natural gas processing plant in Eddy County, New Mexico (the “Black River Processing Plant”) (before its expansions); (ii) one salt water disposal well and a related commercial salt water disposal facility in the Rustler Breaks asset area; (iii) three salt water disposal wells and related commercial salt water disposal facilities in the West Texas asset area; and (iv) substantially all related oil, natural gas and produced water gathering systems and pipelines in both the Rustler Breaks asset area and in Loving County, Texas (collectively, the “Delaware Midstream Assets”). We received $171.5 million in connection with the formation of San Mateo and earned all of the potential $73.5 million in performance incentives through January 31, 2023. In connection with the formation of San Mateo, we dedicated to San Mateo current and certain future leasehold interests in the Rustler Breaks asset area and the Wolf portion of the West Texas asset area pursuant to 15-year, fixed fee oil, natural gas and produced water gathering and produced water disposal agreements. In addition, we dedicated current and certain future leasehold interests in the Rustler Breaks asset area to San Mateo pursuant to a 15-year, fixed fee natural gas processing agreement.</w:t>
      </w:r>
    </w:p>
    <w:p>
      <w:pPr>
        <w:spacing w:after="0" w:line="86"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On February 25, 2019, we announced the formation of San Mateo Midstream II, LLC (“San Mateo II”), a strategic joint venture with Five Point designed to expand our midstream operations in the Delaware Basin, specifically 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 company’s proportionate interest in San Mateo. In addition, we earned $108.2 million in performance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incentives through September 30, 2024. In connection with the formation of San Mateo II, we dedicated to San Mateo II acreage in the Greater Stebbins Area and the Stateline asset area pursuant to 15-year, fixed-fee oil transportation, oil, natural gas and produced water gathering, natural gas processing and produced water disposal agreements.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Effective October 1, 2020, San Mateo II merged with and into San Mateo. The Company and Five Point own 51% and 49% of San Mateo, respectively. San Mateo provides firm service to us, while also being a midstream service provider to other customers in and around our Stateline, West Texas and Rustler Breaks asset areas and the Greater Stebbins Area. We retain operational control of San Mateo and continue to operate the Delaware Midstream Assets, the expanded Black River Processing Plant and the other midstream facilities that have been developed in the Greater Stebbins Area and the Stateline asset area.</w:t>
      </w:r>
    </w:p>
    <w:p>
      <w:pPr>
        <w:spacing w:after="0" w:line="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On June 30, 2022, we acquired Pronto, including the Marlan Processing Plant (prior to expansion), three compressor stations and approximately 45 miles of natural gas gathering pipelines in Lea and Eddy Counties, New Mexico.</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13, 2023, we completed the Advance Acquisition, which included one commercial salt water disposal well, approximately 28 miles of water gathering assets and approximately 17 miles of natural gas gathering pipelines.</w:t>
      </w:r>
    </w:p>
    <w:p>
      <w:pPr>
        <w:spacing w:after="0" w:line="5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September 18, 2024, we completed the Ameredev Acquisition, which included approximately 180 miles of natural gas gathering, water gathering and oil transportation and gathering pipeline assets.</w:t>
      </w:r>
    </w:p>
    <w:p>
      <w:pPr>
        <w:spacing w:after="0" w:line="5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December 18, 2024, we completed a transaction with Five Point in which we contributed Pronto, a wholly-owned subsidiary of the Company, to San Mateo, and Five Point made a cash contribution to San Mateo of $171.5 million (the “Pronto Transaction”). In connection with the Pronto Transaction, we received a special distribution from San Mateo of approximately $219.8 million. In addition, we have the potential to earn up to $75.0 million in incentive payments from Five Point over a five-year period, of which $13.0 million and $1.3 million was paid by Five Point during the years ended December 31, 2025 and 2024, respectively. San Mateo continues to be owned 51% by us and 49% by Five Point.</w:t>
      </w:r>
    </w:p>
    <w:p>
      <w:pPr>
        <w:spacing w:after="0" w:line="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Pronto Transaction, Matador dedicated to San Mateo its current and certain future leasehold interests in the Ranger and Antelope Ridge asset areas pursuant to 15-year, fixed fee natural gas gathering, compression, treating and processing agreements whereby San Mateo will gather, compress, treat and process natural gas produced from our operated wells in northern Lea County, New Mexico. In addition, San Mateo entered into certain agreements with Northwind Midstream Partners LLC (“Northwind”), previously an affiliate of Five Point, whereby Northwind will treat certain sour gas gathered and delivered by San Mateo in northern Lea County, New Mexico. Under these agreements, Northwind will redeliver the treated sweet gas from San Mateo and other third-party customers to San Mateo for processing.</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Black River Processing Plant and associated gathering system (the “Black River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2025, was also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7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March 2024, we completed our natural gas pipeline connections between Pronto and the Black River Gathering System and between Pronto and Matador’s acreage obtained in the Advance Acquisition. These connector pipelines provide further flow assurance and options for Matador and third-party customer natural gas.</w:t>
      </w:r>
    </w:p>
    <w:p>
      <w:pPr>
        <w:spacing w:after="0" w:line="6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Subsequent to the Pronto Transaction, San Mateo now owns and operates the expanded Marlan Processing Plant, which has a designed inlet capacity of 260 MMcf of natural gas per day, and operates Pronto’s six compressor stations and approximately 150 miles of natural gas gathering pipelines in Lea and Eddy Counties, New Mexico. The expanded Marlan Processing Plant came online in the second quarter of 2025 and increased San Mateo’s total natural gas cryogenic processing capacity to 720 MMcf of natural gas per day.</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31, 2025, San Mateo had approximately 43 miles of large diameter natural gas gathering pipelines between the Black River Processing Plant and the Stateline asset area (approximately 24 miles) and the Greater Stebbins Area (approximately 19 miles). At December 31, 2025, San Mateo was gathering or transporting almost all our operated natural gas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production via pipeline in the Stateline asset area, the Greater Stebbins Area, the Rustler Breaks asset area and the Wolf portion of our West Texas asset area.</w:t>
      </w:r>
    </w:p>
    <w:p>
      <w:pPr>
        <w:spacing w:after="0" w:line="5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addition, at December 31, 2025, San Mateo had NGL pipeline connections at the Black River Processing Plant to the NGL pipelines owned by EPIC Y-Grade Pipeline LP and Enterprise Products Partners L.P. These NGL connections provide several significant benefits to us and other San Mateo customers compared to transporting NGLs by truck. San Mateo’s customers receive (i) firm NGL takeaway out of the Delaware Basin, (ii) increased NGL 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spacing w:after="0" w:line="7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the Wolf portion of the West Texas asset area in Loving County, Texas, San Mateo gathers our natural gas production with the natural gas gathering system we retained following the sale of our wholly-owned subsidiary that owned certain natural gas gathering and processing assets in the West Texas asset area, including a cryogenic natural gas processing plant and approximately six miles of high-pressure gathering pipelines.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At December 31, 2025, San Mateo’s natural gas gathering systems included natural gas gathering pipelines and related compression and treating systems. During the year ended December 31, 2025, San Mateo gathered an average of approximately 517 MMcf of natural gas per day, an increase of 21% as compared to 426 MMcf of natural gas per day gathered during the year ended December 31, 2024. In addition, during the year ended December 31, 2025, San Mateo processed approximately 502 MMcf of natural gas per day at the Black River Processing Plant, an increase of 25%, as compared to 403 MMcf of natural gas per day processed during the year ended December 31, 2024.</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Crude Oil Gathering and Transportation Assets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San Mateo and Plains have entered into a strategic relationship to gather and transport crude oil for upstream producers in Eddy County, New Mexico and have agreed to work together through a joint tariff arrangement and related transactions to offer producers located within a joint development area crude oil transportation services from the wellhead to Midland, Texas with access to other end markets.</w:t>
      </w:r>
    </w:p>
    <w:p>
      <w:pPr>
        <w:spacing w:after="0" w:line="6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At December 31, 2025, San Mateo had (i) a crude oil gathering and transportation system in the Greater Stebbins Area that was connected to the existing interconnect in the Rustler Breaks asset area totaling approximately 80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West Texas asset area, the “San Mateo Oil Pipeline Systems”) in service, at December 31, 2025, we estimated almost all of our oil production from the Stateline, West Texas and Rustler Breaks asset areas and the Greater Stebbins Area was transported by pipeline.</w:t>
      </w:r>
    </w:p>
    <w:p>
      <w:pPr>
        <w:spacing w:after="0" w:line="7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2025, the San Mateo Oil Pipeline Systems included crude oil gathering and transportation pipelines from points of origin in Eddy County, New Mexico and Loving County, Texas to interconnects with Plains and two trucking facilities. During the year ended December 31, 2025, the San Mateo Oil Pipeline Systems had throughput of approximately 52,900 Bbl of oil per day, an increase of 1%, as compared to throughput of approximately 52,600 Bbl of oil per day during the year ended December 31, 2024.</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Produced Water Gathering and Disposal Assets</w:t>
      </w:r>
    </w:p>
    <w:p>
      <w:pPr>
        <w:spacing w:after="0" w:line="11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At December 31, 2025, San Mateo had four commercial salt water disposal wells and associated facilities in the Greater Stebbins Area, nine commercial salt water disposal wells and associated facilities in the Rustler Breaks asset area, three commercial salt water disposal wells and associated facilities in the West Texas asset area and produced water gathering systems in the Stateline, Rustler Breaks and West Texas asset areas and the Greater Stebbins Area. At December 31, 2025, San Mateo had designed disposal capacity of approximately 475,000 Bbl of produced water per day. In addition, at December 31, 2025, Matador had three commercial salt water disposal wells and associated facilities with a designed inlet capacity of 87,500 Bbl of produced water per day.</w:t>
      </w:r>
    </w:p>
    <w:p>
      <w:pPr>
        <w:spacing w:after="0" w:line="79"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San Mateo handled approximately 418,000 Bbl of produced water per day, a decrease of 10%, as compared to approximately 462,400 Bbl of produced water per day handled during the year ended December 31, 2024, primarily due to lower volumes from Matador and third-party customers.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Northwest Louisiana</w:t>
      </w:r>
    </w:p>
    <w:p>
      <w:pPr>
        <w:spacing w:after="0" w:line="11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In Northwest Louisiana, we have midstream assets that gather natural gas from most of our operated leases. Our midstream assets in Northwest Louisiana are not part of San Mateo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Summary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certain unaudited production and operating data for the years ended December 31, 2025,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Production Data:</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Production Volumes: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Oil (MBbl)</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27,542</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Natural gas (Bcf)</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r>
      <w:tr>
        <w:trPr>
          <w:trHeight w:val="210"/>
        </w:trPr>
        <w:tc>
          <w:tcPr>
            <w:tcW w:w="7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48,112</w:t>
            </w:r>
          </w:p>
        </w:tc>
      </w:tr>
      <w:tr>
        <w:trPr>
          <w:trHeight w:val="203"/>
        </w:trPr>
        <w:tc>
          <w:tcPr>
            <w:tcW w:w="7700" w:type="dxa"/>
            <w:vAlign w:val="bottom"/>
          </w:tcPr>
          <w:p>
            <w:pPr>
              <w:ind w:left="1000"/>
              <w:spacing w:after="0" w:line="202" w:lineRule="exact"/>
              <w:rPr>
                <w:sz w:val="20"/>
                <w:szCs w:val="20"/>
                <w:color w:val="auto"/>
              </w:rPr>
            </w:pPr>
            <w:r>
              <w:rPr>
                <w:rFonts w:ascii="Times New Roman" w:cs="Times New Roman" w:eastAsia="Times New Roman" w:hAnsi="Times New Roman"/>
                <w:sz w:val="14"/>
                <w:szCs w:val="14"/>
                <w:color w:val="auto"/>
              </w:rPr>
              <w:t>Average daily production (BOE/d)</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131,813</w:t>
            </w:r>
          </w:p>
        </w:tc>
      </w:tr>
      <w:tr>
        <w:trPr>
          <w:trHeight w:val="203"/>
        </w:trPr>
        <w:tc>
          <w:tcPr>
            <w:tcW w:w="7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Average Sales Prices: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Oil, without realized derivatives (per Bbl)</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Oil, with realized derivatives (per Bbl)</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Natural gas, without realized derivatives (per Mcf)</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Natural gas, with realized derivatives (per Mcf)</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195"/>
        </w:trPr>
        <w:tc>
          <w:tcPr>
            <w:tcW w:w="77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Operating Expenses (per BOE):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operating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Transportation and processing</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Midstream operating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Taxes other than income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r>
      <w:tr>
        <w:trPr>
          <w:trHeight w:val="188"/>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113"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production volumes, sales prices and production costs for the year ended December 31, 2025 from our operating areas, which we consider to be distinct fields for purposes of accounting for production.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240" w:type="dxa"/>
            <w:vAlign w:val="bottom"/>
          </w:tcPr>
          <w:p>
            <w:pPr>
              <w:spacing w:after="0"/>
              <w:rPr>
                <w:sz w:val="12"/>
                <w:szCs w:val="12"/>
                <w:color w:val="auto"/>
              </w:rPr>
            </w:pPr>
          </w:p>
        </w:tc>
        <w:tc>
          <w:tcPr>
            <w:tcW w:w="286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Texas</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Delaware Basin</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Eagle Ford</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Haynesville</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Cotton Valley</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Annual Net Production Volumes</w:t>
            </w: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(MBbl)</w:t>
            </w:r>
          </w:p>
        </w:tc>
        <w:tc>
          <w:tcPr>
            <w:tcW w:w="14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43,664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43,699</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(Bcf)</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191.3</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9"/>
                <w:szCs w:val="9"/>
                <w:color w:val="auto"/>
              </w:rPr>
              <w:t>(3)</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74,216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75,581</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Percentage of total annual net production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Net Daily Production Volumes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(Bbl/d)</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119,628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119,723</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(MMcf/d)</w:t>
            </w:r>
          </w:p>
        </w:tc>
        <w:tc>
          <w:tcPr>
            <w:tcW w:w="14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524.1</w:t>
            </w:r>
          </w:p>
        </w:tc>
        <w:tc>
          <w:tcPr>
            <w:tcW w:w="0" w:type="dxa"/>
            <w:vAlign w:val="bottom"/>
          </w:tcPr>
          <w:p>
            <w:pPr>
              <w:spacing w:after="0"/>
              <w:rPr>
                <w:sz w:val="1"/>
                <w:szCs w:val="1"/>
                <w:color w:val="auto"/>
              </w:rPr>
            </w:pPr>
          </w:p>
        </w:tc>
      </w:tr>
      <w:tr>
        <w:trPr>
          <w:trHeight w:val="202"/>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(BOE/d)</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203,330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3,534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207,070</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r>
              <w:rPr>
                <w:rFonts w:ascii="Times New Roman" w:cs="Times New Roman" w:eastAsia="Times New Roman" w:hAnsi="Times New Roman"/>
                <w:sz w:val="9"/>
                <w:szCs w:val="9"/>
                <w:b w:val="1"/>
                <w:bCs w:val="1"/>
                <w:color w:val="auto"/>
              </w:rPr>
              <w:t>(4)</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(per Bbl)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64.99</w:t>
            </w: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(per Mcf)</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(per BOE)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42.85</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Production Costs</w:t>
            </w:r>
            <w:r>
              <w:rPr>
                <w:rFonts w:ascii="Times New Roman" w:cs="Times New Roman" w:eastAsia="Times New Roman" w:hAnsi="Times New Roman"/>
                <w:sz w:val="9"/>
                <w:szCs w:val="9"/>
                <w:b w:val="1"/>
                <w:bCs w:val="1"/>
                <w:color w:val="auto"/>
              </w:rPr>
              <w:t>(5)</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Lease operating, transportation and processing (per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33.02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BOE)</w:t>
            </w:r>
          </w:p>
        </w:tc>
        <w:tc>
          <w:tcPr>
            <w:tcW w:w="14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41 gross (32.3 net) wells from the Eagle Ford formation that were divested in the first quarter of 2025.</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hanging="331"/>
        <w:spacing w:after="0" w:line="271" w:lineRule="auto"/>
        <w:tabs>
          <w:tab w:leader="none" w:pos="4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reported in two streams: oil and natural gas, including both dry and liquids-rich natural gas. Estimated using a conversion ratio of one Bbl of oil per six Mcf of natural gas.</w:t>
      </w:r>
    </w:p>
    <w:p>
      <w:pPr>
        <w:spacing w:after="0" w:line="27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impact of derivative settlements.</w:t>
      </w:r>
    </w:p>
    <w:p>
      <w:pPr>
        <w:spacing w:after="0" w:line="10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midstream operating expenses, ad valorem taxes and oil and natural gas production taxes.</w:t>
      </w:r>
    </w:p>
    <w:p>
      <w:pPr>
        <w:spacing w:after="0" w:line="1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production volumes, sales prices and production costs for the year ended December 31, 2024 from our operating areas, which we consider to be distinct fields for purposes of accounting for production.</w:t>
      </w:r>
    </w:p>
    <w:tbl>
      <w:tblPr>
        <w:tblLayout w:type="fixed"/>
        <w:tblInd w:w="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Southeast</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240" w:type="dxa"/>
            <w:vAlign w:val="bottom"/>
          </w:tcPr>
          <w:p>
            <w:pPr>
              <w:spacing w:after="0"/>
              <w:rPr>
                <w:sz w:val="12"/>
                <w:szCs w:val="12"/>
                <w:color w:val="auto"/>
              </w:rPr>
            </w:pPr>
          </w:p>
        </w:tc>
        <w:tc>
          <w:tcPr>
            <w:tcW w:w="286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Delaware Basin</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line="202" w:lineRule="exact"/>
              <w:rPr>
                <w:sz w:val="20"/>
                <w:szCs w:val="20"/>
                <w:color w:val="auto"/>
              </w:rPr>
            </w:pPr>
            <w:r>
              <w:rPr>
                <w:rFonts w:ascii="Times New Roman" w:cs="Times New Roman" w:eastAsia="Times New Roman" w:hAnsi="Times New Roman"/>
                <w:sz w:val="14"/>
                <w:szCs w:val="14"/>
                <w:b w:val="1"/>
                <w:bCs w:val="1"/>
                <w:color w:val="auto"/>
              </w:rPr>
              <w:t>Eagle Ford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Haynesville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line="202" w:lineRule="exact"/>
              <w:rPr>
                <w:sz w:val="20"/>
                <w:szCs w:val="20"/>
                <w:color w:val="auto"/>
              </w:rPr>
            </w:pPr>
            <w:r>
              <w:rPr>
                <w:rFonts w:ascii="Times New Roman" w:cs="Times New Roman" w:eastAsia="Times New Roman" w:hAnsi="Times New Roman"/>
                <w:sz w:val="14"/>
                <w:szCs w:val="14"/>
                <w:b w:val="1"/>
                <w:bCs w:val="1"/>
                <w:color w:val="auto"/>
              </w:rPr>
              <w:t>Cotton Valley</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Annual Net Production Volumes</w:t>
            </w: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(MBbl)</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36,530</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(Bcf)</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155.8</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60,856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62,495</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Percentage of total annual net production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Net Daily Production Volumes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(Bbl/d)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99,808</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 (MMcf/d)</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425.7</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(BOE/d)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166,273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170,751</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Average Sales Prices</w:t>
            </w:r>
            <w:r>
              <w:rPr>
                <w:rFonts w:ascii="Times New Roman" w:cs="Times New Roman" w:eastAsia="Times New Roman" w:hAnsi="Times New Roman"/>
                <w:sz w:val="18"/>
                <w:szCs w:val="18"/>
                <w:b w:val="1"/>
                <w:bCs w:val="1"/>
                <w:color w:val="auto"/>
                <w:vertAlign w:val="superscript"/>
              </w:rPr>
              <w:t>(4)</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75.89</w:t>
            </w: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(per BOE)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50.31</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Production Costs</w:t>
            </w:r>
            <w:r>
              <w:rPr>
                <w:rFonts w:ascii="Times New Roman" w:cs="Times New Roman" w:eastAsia="Times New Roman" w:hAnsi="Times New Roman"/>
                <w:sz w:val="18"/>
                <w:szCs w:val="18"/>
                <w:b w:val="1"/>
                <w:bCs w:val="1"/>
                <w:color w:val="auto"/>
                <w:vertAlign w:val="superscript"/>
              </w:rPr>
              <w:t>(5)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 operating, transportation and processing (per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BOE)</w:t>
            </w:r>
          </w:p>
        </w:tc>
        <w:tc>
          <w:tcPr>
            <w:tcW w:w="16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460" w:right="180" w:hanging="331"/>
        <w:spacing w:after="0" w:line="302" w:lineRule="auto"/>
        <w:tabs>
          <w:tab w:leader="none" w:pos="4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61 gross (41.0 net) wells from the Eagle Ford formation that were divested in 2024 and one well producing oil from the Austin Chalk formation in La Salle County, Texas that was divested in November 2024.</w:t>
      </w:r>
    </w:p>
    <w:p>
      <w:pPr>
        <w:spacing w:after="0" w:line="40"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122" w:lineRule="exact"/>
        <w:rPr>
          <w:rFonts w:ascii="Times New Roman" w:cs="Times New Roman" w:eastAsia="Times New Roman" w:hAnsi="Times New Roman"/>
          <w:sz w:val="14"/>
          <w:szCs w:val="14"/>
          <w:color w:val="auto"/>
        </w:rPr>
      </w:pPr>
    </w:p>
    <w:p>
      <w:pPr>
        <w:ind w:left="460" w:hanging="331"/>
        <w:spacing w:after="0" w:line="271" w:lineRule="auto"/>
        <w:tabs>
          <w:tab w:leader="none" w:pos="4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reported in two streams: oil and natural gas, including both dry and liquids-rich natural gas. Estimated using a conversion ratio of one Bbl of oil per six Mcf of natural gas.</w:t>
      </w:r>
    </w:p>
    <w:p>
      <w:pPr>
        <w:spacing w:after="0" w:line="27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impact of derivative settlements.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midstream operating expenses, ad valorem taxes and oil and natural gas production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production volumes, sales prices and production costs for the year ended December 31, 2023 from our operating areas, which we consider to be distinct fields for purposes of accounting for production.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240" w:type="dxa"/>
            <w:vAlign w:val="bottom"/>
          </w:tcPr>
          <w:p>
            <w:pPr>
              <w:spacing w:after="0"/>
              <w:rPr>
                <w:sz w:val="12"/>
                <w:szCs w:val="12"/>
                <w:color w:val="auto"/>
              </w:rPr>
            </w:pPr>
          </w:p>
        </w:tc>
        <w:tc>
          <w:tcPr>
            <w:tcW w:w="286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Delaware Basin</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line="202" w:lineRule="exact"/>
              <w:rPr>
                <w:sz w:val="20"/>
                <w:szCs w:val="20"/>
                <w:color w:val="auto"/>
              </w:rPr>
            </w:pPr>
            <w:r>
              <w:rPr>
                <w:rFonts w:ascii="Times New Roman" w:cs="Times New Roman" w:eastAsia="Times New Roman" w:hAnsi="Times New Roman"/>
                <w:sz w:val="14"/>
                <w:szCs w:val="14"/>
                <w:b w:val="1"/>
                <w:bCs w:val="1"/>
                <w:color w:val="auto"/>
              </w:rPr>
              <w:t>Eagle Ford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Haynesville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line="202" w:lineRule="exact"/>
              <w:rPr>
                <w:sz w:val="20"/>
                <w:szCs w:val="20"/>
                <w:color w:val="auto"/>
              </w:rPr>
            </w:pPr>
            <w:r>
              <w:rPr>
                <w:rFonts w:ascii="Times New Roman" w:cs="Times New Roman" w:eastAsia="Times New Roman" w:hAnsi="Times New Roman"/>
                <w:sz w:val="14"/>
                <w:szCs w:val="14"/>
                <w:b w:val="1"/>
                <w:bCs w:val="1"/>
                <w:color w:val="auto"/>
              </w:rPr>
              <w:t>Cotton Valley</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Annual Net Production Volumes</w:t>
            </w: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(MBbl)</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27,542</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(Bcf)</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123.4</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46,253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48,112</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Percentage of total annual net production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Net Daily Production Volumes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(Bbl/d)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74,697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75,457</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 (MMcf/d)</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338.1</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(BOE/d)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126,720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131,813</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Average Sales Prices</w:t>
            </w:r>
            <w:r>
              <w:rPr>
                <w:rFonts w:ascii="Times New Roman" w:cs="Times New Roman" w:eastAsia="Times New Roman" w:hAnsi="Times New Roman"/>
                <w:sz w:val="18"/>
                <w:szCs w:val="18"/>
                <w:b w:val="1"/>
                <w:bCs w:val="1"/>
                <w:color w:val="auto"/>
                <w:vertAlign w:val="superscript"/>
              </w:rPr>
              <w:t>(4)</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74.53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77.88</w:t>
            </w: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(per BOE)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52.91</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Production Costs</w:t>
            </w:r>
            <w:r>
              <w:rPr>
                <w:rFonts w:ascii="Times New Roman" w:cs="Times New Roman" w:eastAsia="Times New Roman" w:hAnsi="Times New Roman"/>
                <w:sz w:val="18"/>
                <w:szCs w:val="18"/>
                <w:b w:val="1"/>
                <w:bCs w:val="1"/>
                <w:color w:val="auto"/>
                <w:vertAlign w:val="superscript"/>
              </w:rPr>
              <w:t>(5)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 operating, transportation and processing (per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32.56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BOE)</w:t>
            </w:r>
          </w:p>
        </w:tc>
        <w:tc>
          <w:tcPr>
            <w:tcW w:w="16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440" w:hanging="311"/>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well producing oil from the Austin Chalk formation in La Salle County, Texas.</w:t>
      </w:r>
    </w:p>
    <w:p>
      <w:pPr>
        <w:spacing w:after="0" w:line="10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 and also includes one well producing from the Frio formation in Orange County, Texas that was divested in September 2023.</w:t>
      </w:r>
    </w:p>
    <w:p>
      <w:pPr>
        <w:spacing w:after="0" w:line="122" w:lineRule="exact"/>
        <w:rPr>
          <w:rFonts w:ascii="Times New Roman" w:cs="Times New Roman" w:eastAsia="Times New Roman" w:hAnsi="Times New Roman"/>
          <w:sz w:val="14"/>
          <w:szCs w:val="14"/>
          <w:color w:val="auto"/>
        </w:rPr>
      </w:pPr>
    </w:p>
    <w:p>
      <w:pPr>
        <w:ind w:left="460" w:right="40" w:hanging="331"/>
        <w:spacing w:after="0" w:line="271" w:lineRule="auto"/>
        <w:tabs>
          <w:tab w:leader="none" w:pos="4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reported in two streams: oil and natural gas, including both dry and liquids-rich natural gas. Estimated using a conversion ratio of one Bbl of oil per six Mcf of natural gas.</w:t>
      </w:r>
    </w:p>
    <w:p>
      <w:pPr>
        <w:spacing w:after="0" w:line="27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impact of derivative settlements.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midstream operating expenses, ad valorem taxes and oil and natural gas production taxes.</w:t>
      </w:r>
    </w:p>
    <w:p>
      <w:pPr>
        <w:spacing w:after="0" w:line="113"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total oil equivalent production of approximately 75.6 million BOE for the year ended December 31, 2025 increased 21% from our total oil equivalent production of approximately 62.5 million BOE for the year ended December 31, 2024. This increased production was primarily attributable to our delineation and development operations in the Delaware Basin throughout 2025, which offset our declining production in the Eagle Ford shale that was divested in the first quarter of 2025. Our average daily oil equivalent production for the year ended December 31, 2025 was 207,070 BOE per day, as compared to 170,751 BOE per day for the year ended December 31, 2024. Our average daily oil production for the year ended December 31, 2025 was 119,723 Bbl of oil per day, an increase of 20% from 99,808 Bbl of oil per day for the year ended December 31, 2024. Our average daily natural gas production for the year ended December 31, 2025 was 524.1 MMcf of natural gas per day, an increase of 23% from 425.7 MMcf of natural gas per day for the year ended December 31, 2024.</w:t>
      </w:r>
    </w:p>
    <w:p>
      <w:pPr>
        <w:spacing w:after="0" w:line="8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Our total oil equivalent production of approximately 62.5 million BOE for the year ended December 31, 2024 increased 30% from our total oil equivalent production of approximately 48.1 million BOE for the year ended December 31, 2023. This increased production was primarily due to the Ameredev Acquisition and to our delineation and development operations in the Delaware Basin throughout 2024, which offset our declining production in the Eagle Ford shale. Our average daily oil equivalent production for the year ended December 31, 2024 was 170,751 BOE per day, as compared to</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131,813 BOE per day for the year ended December 31, 2023. Our average daily oil production for the year ended December 31, 2024 was 99,808 Bbl of oil per day, an increase of 32% from 75,457 Bbl of oil per day for the year ended December 31, 2023. Our average daily natural gas production for the year ended December 31, 2024 was 425.7 MMcf of natural gas per day, an increase of 26% from 338.1 MMcf of natural gas per day for the year ended December 31, 2023.</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Producing Wells</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relating to producing wells at December 31, 2025. Wells are classified as oil wells or natural gas wells according to their predominant production stream. We had an approximate average working interest of 85% in all wells that we operated at December 31, 2025. For wells where we are not the operator, our working interests range from less than 1% to approximately 52% and average approximately 9%. In the table below, gross wells are the total number of producing wells in which we own a working interest and net wells represent the total of our fractional working interests owned in the gross wells.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Oil Wells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Natural Gas Wells</w:t>
            </w:r>
          </w:p>
        </w:tc>
        <w:tc>
          <w:tcPr>
            <w:tcW w:w="15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Wells</w:t>
            </w:r>
          </w:p>
        </w:tc>
      </w:tr>
      <w:tr>
        <w:trPr>
          <w:trHeight w:val="23"/>
        </w:trPr>
        <w:tc>
          <w:tcPr>
            <w:tcW w:w="62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6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1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r>
      <w:tr>
        <w:trPr>
          <w:trHeight w:val="203"/>
        </w:trPr>
        <w:tc>
          <w:tcPr>
            <w:tcW w:w="628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Delaware Basin</w:t>
            </w:r>
            <w:r>
              <w:rPr>
                <w:rFonts w:ascii="Times New Roman" w:cs="Times New Roman" w:eastAsia="Times New Roman" w:hAnsi="Times New Roman"/>
                <w:sz w:val="18"/>
                <w:szCs w:val="18"/>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5"/>
              </w:rPr>
              <w:t>1,046.9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1,137.1</w:t>
            </w:r>
          </w:p>
        </w:tc>
      </w:tr>
      <w:tr>
        <w:trPr>
          <w:trHeight w:val="20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5"/>
        </w:trPr>
        <w:tc>
          <w:tcPr>
            <w:tcW w:w="6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Haynesville</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10"/>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Cotton Valley</w:t>
            </w:r>
            <w:r>
              <w:rPr>
                <w:rFonts w:ascii="Times New Roman" w:cs="Times New Roman" w:eastAsia="Times New Roman" w:hAnsi="Times New Roman"/>
                <w:sz w:val="18"/>
                <w:szCs w:val="18"/>
                <w:color w:val="auto"/>
                <w:vertAlign w:val="superscript"/>
              </w:rPr>
              <w:t>(2)</w:t>
            </w: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189"/>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Area 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228"/>
        </w:trPr>
        <w:tc>
          <w:tcPr>
            <w:tcW w:w="62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1,046.9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9" w:lineRule="exact"/>
        <w:rPr>
          <w:sz w:val="20"/>
          <w:szCs w:val="20"/>
          <w:color w:val="auto"/>
        </w:rPr>
      </w:pPr>
    </w:p>
    <w:p>
      <w:pPr>
        <w:ind w:left="440" w:hanging="311"/>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199 gross (76.4 net) vertical wells that were primarily acquired in multiple transactions.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Proved Reserves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following table sets forth our estimated proved oil and natural gas reserves at December 31, 2025, 2024 and 2023. Our production and proved reserves are reported in two streams: oil and natural gas, including both dry and liquids-rich natural gas. Where we produce liquids-rich natural gas, primarily in the Delaware Basin,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At December 31,</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Estimated Proved Reserves Data:</w:t>
            </w:r>
            <w:r>
              <w:rPr>
                <w:rFonts w:ascii="Times New Roman" w:cs="Times New Roman" w:eastAsia="Times New Roman" w:hAnsi="Times New Roman"/>
                <w:sz w:val="18"/>
                <w:szCs w:val="18"/>
                <w:b w:val="1"/>
                <w:bCs w:val="1"/>
                <w:color w:val="auto"/>
                <w:vertAlign w:val="superscript"/>
              </w:rPr>
              <w:t>(2)</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proved reserves: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375,980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361,842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272,277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1,746.4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1,498.2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1,126.8</w:t>
            </w:r>
          </w:p>
        </w:tc>
        <w:tc>
          <w:tcPr>
            <w:tcW w:w="0" w:type="dxa"/>
            <w:vAlign w:val="bottom"/>
          </w:tcPr>
          <w:p>
            <w:pPr>
              <w:spacing w:after="0"/>
              <w:rPr>
                <w:sz w:val="1"/>
                <w:szCs w:val="1"/>
                <w:color w:val="auto"/>
              </w:rPr>
            </w:pPr>
          </w:p>
        </w:tc>
      </w:tr>
      <w:tr>
        <w:trPr>
          <w:trHeight w:val="228"/>
        </w:trPr>
        <w:tc>
          <w:tcPr>
            <w:tcW w:w="7780" w:type="dxa"/>
            <w:vAlign w:val="bottom"/>
            <w:tcBorders>
              <w:bottom w:val="single" w:sz="8" w:color="CCEEFF"/>
            </w:tcBorders>
            <w:shd w:val="clear" w:color="auto" w:fill="CCEEFF"/>
          </w:tcPr>
          <w:p>
            <w:pPr>
              <w:ind w:left="1120"/>
              <w:spacing w:after="0" w:line="202"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667,047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611,536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460,070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Estimated proved developed reserves: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223,028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206,269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161,642</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1,109.8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963.2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782.7</w:t>
            </w:r>
          </w:p>
        </w:tc>
        <w:tc>
          <w:tcPr>
            <w:tcW w:w="0" w:type="dxa"/>
            <w:vAlign w:val="bottom"/>
          </w:tcPr>
          <w:p>
            <w:pPr>
              <w:spacing w:after="0"/>
              <w:rPr>
                <w:sz w:val="1"/>
                <w:szCs w:val="1"/>
                <w:color w:val="auto"/>
              </w:rPr>
            </w:pPr>
          </w:p>
        </w:tc>
      </w:tr>
      <w:tr>
        <w:trPr>
          <w:trHeight w:val="228"/>
        </w:trPr>
        <w:tc>
          <w:tcPr>
            <w:tcW w:w="7780" w:type="dxa"/>
            <w:vAlign w:val="bottom"/>
            <w:tcBorders>
              <w:bottom w:val="single" w:sz="8" w:color="CCEEFF"/>
            </w:tcBorders>
            <w:shd w:val="clear" w:color="auto" w:fill="CCEEFF"/>
          </w:tcPr>
          <w:p>
            <w:pPr>
              <w:ind w:left="1120"/>
              <w:spacing w:after="0" w:line="202"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407,987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366,797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292,097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120"/>
              <w:spacing w:after="0"/>
              <w:rPr>
                <w:sz w:val="20"/>
                <w:szCs w:val="20"/>
                <w:color w:val="auto"/>
              </w:rPr>
            </w:pPr>
            <w:r>
              <w:rPr>
                <w:rFonts w:ascii="Times New Roman" w:cs="Times New Roman" w:eastAsia="Times New Roman" w:hAnsi="Times New Roman"/>
                <w:sz w:val="14"/>
                <w:szCs w:val="14"/>
                <w:color w:val="auto"/>
              </w:rPr>
              <w:t>Percent developed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63.5 %</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proved undeveloped reserves: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152,952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155,573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110,635</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636.6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535.0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344.0</w:t>
            </w:r>
          </w:p>
        </w:tc>
        <w:tc>
          <w:tcPr>
            <w:tcW w:w="0" w:type="dxa"/>
            <w:vAlign w:val="bottom"/>
          </w:tcPr>
          <w:p>
            <w:pPr>
              <w:spacing w:after="0"/>
              <w:rPr>
                <w:sz w:val="1"/>
                <w:szCs w:val="1"/>
                <w:color w:val="auto"/>
              </w:rPr>
            </w:pPr>
          </w:p>
        </w:tc>
      </w:tr>
      <w:tr>
        <w:trPr>
          <w:trHeight w:val="203"/>
        </w:trPr>
        <w:tc>
          <w:tcPr>
            <w:tcW w:w="7780" w:type="dxa"/>
            <w:vAlign w:val="bottom"/>
          </w:tcPr>
          <w:p>
            <w:pPr>
              <w:ind w:left="1120"/>
              <w:spacing w:after="0" w:line="202"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259,060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244,740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167,973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Standardized Measure</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(in millions)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6,986.6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7,376.6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6,113.5</w:t>
            </w:r>
          </w:p>
        </w:tc>
        <w:tc>
          <w:tcPr>
            <w:tcW w:w="0" w:type="dxa"/>
            <w:vAlign w:val="bottom"/>
          </w:tcPr>
          <w:p>
            <w:pPr>
              <w:spacing w:after="0"/>
              <w:rPr>
                <w:sz w:val="1"/>
                <w:szCs w:val="1"/>
                <w:color w:val="auto"/>
              </w:rPr>
            </w:pPr>
          </w:p>
        </w:tc>
      </w:tr>
      <w:tr>
        <w:trPr>
          <w:trHeight w:val="24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PV-10</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(in millions)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8,237.8</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9,233.8</w:t>
            </w:r>
          </w:p>
        </w:tc>
        <w:tc>
          <w:tcPr>
            <w:tcW w:w="10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7,704.1</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in table may not total due to rounding.</w:t>
      </w:r>
    </w:p>
    <w:p>
      <w:pPr>
        <w:spacing w:after="0" w:line="109" w:lineRule="exact"/>
        <w:rPr>
          <w:rFonts w:ascii="Times New Roman" w:cs="Times New Roman" w:eastAsia="Times New Roman" w:hAnsi="Times New Roman"/>
          <w:sz w:val="14"/>
          <w:szCs w:val="14"/>
          <w:color w:val="auto"/>
        </w:rPr>
      </w:pPr>
    </w:p>
    <w:p>
      <w:pPr>
        <w:ind w:left="460" w:right="20" w:hanging="331"/>
        <w:spacing w:after="0" w:line="271" w:lineRule="auto"/>
        <w:tabs>
          <w:tab w:leader="none" w:pos="4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2025 were $61.82 per Bbl for oil and $3.39 per MMBtu for natural gas, for the 12 months ended December 31, 2024 were $71.96 per Bbl for oil and $2.13 per MMBtu for natural gas and for the 12 months ended December 31, 2023 were $74.70 per Bbl for oil and $2.64 per MMBtu for natural gas. These prices were adjusted by property for quality, energy content, regional price differentials, transportation fees, marketing deductions and other factors affecting the price received at the wellhead.</w:t>
      </w:r>
    </w:p>
    <w:p>
      <w:pPr>
        <w:spacing w:after="0" w:line="63"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122" w:lineRule="exact"/>
        <w:rPr>
          <w:rFonts w:ascii="Times New Roman" w:cs="Times New Roman" w:eastAsia="Times New Roman" w:hAnsi="Times New Roman"/>
          <w:sz w:val="14"/>
          <w:szCs w:val="14"/>
          <w:color w:val="auto"/>
        </w:rPr>
      </w:pPr>
    </w:p>
    <w:p>
      <w:pPr>
        <w:ind w:left="460" w:right="40" w:hanging="331"/>
        <w:spacing w:after="0" w:line="302" w:lineRule="auto"/>
        <w:tabs>
          <w:tab w:leader="none" w:pos="4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Standardized Measure represents the present value of estimated future net cash flows from proved reserves, less estimated future development, production, plugging and abandonment and income tax expenses, discounted at 10% to reflect the timing of future cash flows. Standardized Measure is not an estimate of the fair market value of our properties.</w:t>
      </w:r>
    </w:p>
    <w:p>
      <w:pPr>
        <w:spacing w:after="0" w:line="53" w:lineRule="exact"/>
        <w:rPr>
          <w:rFonts w:ascii="Times New Roman" w:cs="Times New Roman" w:eastAsia="Times New Roman" w:hAnsi="Times New Roman"/>
          <w:sz w:val="14"/>
          <w:szCs w:val="14"/>
          <w:color w:val="auto"/>
        </w:rPr>
      </w:pPr>
    </w:p>
    <w:p>
      <w:pPr>
        <w:ind w:left="460" w:right="40" w:hanging="331"/>
        <w:spacing w:after="0" w:line="265" w:lineRule="auto"/>
        <w:tabs>
          <w:tab w:leader="none" w:pos="4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2025, 2024 and 2023 may be reconciled to our Standardized Measure of discounted future net cash flows at such dates by adding the discounted future income taxes associated with such reserves to the Standardized Measure. The discounted future income taxes at December 31, 2025, 2024 and 2023 were $1.25 billion, $1.86 billion and $1.59 billion, respectively.</w:t>
      </w:r>
    </w:p>
    <w:p>
      <w:pPr>
        <w:spacing w:after="0" w:line="85"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Our estimated total proved oil and natural gas reserves increased 9% from 611.5 million BOE at December 31, 2024 to 667.0 million BOE at December 31, 2025. Our proved oil and natural gas reserves increased by 131.1 million BOE and we produced 75.6 million BOE during the year ended December 31, 2025. This increase in proved oil and natural gas reserves was primarily attributable to our delineation and development operations in the Delaware Basin during 2025. We increased our total proved oil and natural gas reserves by 3.3 million BOE as a result of acquisitions, divestitures and trades during 2025. We also added 135.0 million BOE in proved oil and natural gas reserves through extensions and discoveries during 2025, of which 23.0 million BOE resulted from new well locations turned to sales during 2025 to establish proved developed reserves and 112.0 million BOE resulted from new proved undeveloped locations identified as a result of drilling activities on our existing acreage in the Delaware Basin during 2025. Additionally, we realized approximately 7.2 million BOE in net downward revisions of prior estimates of proved reserves in 2025, which primarily included the removal of 22.8 million BOE in proved undeveloped reserves that were not developed or were no longer expected to be developed within five years of their initial booking resulting primarily from changes in development plans for certain of our properties in the Delaware Basin, and 5.6 million BOE resulting from pricing updates, including the 14% decrease in oil prices, which was partially offset by the 59% increase in natural gas prices used to estimate total proved reserves at December 31, 2025, as compared to December 31, 2024, and 2.9 million BOE in expense updates. As we continue to develop our Delaware Basin assets, we may reclassify some or all of the 22.8 million BOE to proved reserves at a future date. These downward revisions at December 31, 2025 were partially offset by positive forecast updates of 24.1 million BOE.</w:t>
      </w:r>
    </w:p>
    <w:p>
      <w:pPr>
        <w:spacing w:after="0" w:line="8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Our proved oil reserves grew 4% from approximately 361.8 million Bbl at December 31, 2024 to approximately 376.0 million Bbl at December 31, 2025. Our proved natural gas reserves increased 17% from 1.50 Tcf at December 31, 2024 to 1.75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Tcf at December 31, 2025. Our proved reserves to production ratio at December 31, 2025 was 8.8, a decrease of 10% from 9.8 at December 31, 2024.</w:t>
      </w:r>
    </w:p>
    <w:p>
      <w:pPr>
        <w:spacing w:after="0" w:line="11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Standardized Measure of our total proved oil and natural gas reserves decreased 5% from $7.38 billion at December 31, 2024 to $6.99 billion at December 31, 2025. The PV-10 of our total proved oil and natural gas reserves decreased 11% from $9.23 billion at December 31, 2024 to $8.24 billion at December 31, 2025. The decreases in our Standardized Measure and PV-10 are primarily a result of the lower unweighted arithmetic average oil prices, which were partially offset by the higher unweighted arithmetic average natural gas prices used to estimate proved reserves at December 31, 2025, as compared to December 31, 2024, partially offset by a 9% increase in our total proved oil and natural gas reserves at December 31, 2025, as compared to December 31, 2024. The unweighted arithmetic averages of first-day-of-the-month oil and natural gas prices used to estimate proved reserves at December 31, 2025 were $61.82 per Bbl and $3.39 per MMBtu, a decrease of 14% and an increase of 59%, respectively, as compared to average oil and natural gas prices of $71.96 per Bbl and $2.13 per MMBtu used to estimate proved reserves at December 31, 2024. Our total proved reserves were made up of 56% oil and 44% natural gas at December 31, 2025 and 59% oil and 41% natural gas at December 31, 2024. PV-10 is a non-GAAP financial measure. For a reconciliation of PV-10 to Standardized Measure, see the preceding table.</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changes in our estimated proved developed reserves at December 31,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Proved</w:t>
            </w:r>
          </w:p>
        </w:tc>
      </w:tr>
      <w:tr>
        <w:trPr>
          <w:trHeight w:val="146"/>
        </w:trPr>
        <w:tc>
          <w:tcPr>
            <w:tcW w:w="1006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Developed</w:t>
            </w:r>
          </w:p>
        </w:tc>
      </w:tr>
      <w:tr>
        <w:trPr>
          <w:trHeight w:val="196"/>
        </w:trPr>
        <w:tc>
          <w:tcPr>
            <w:tcW w:w="1006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r>
      <w:tr>
        <w:trPr>
          <w:trHeight w:val="202"/>
        </w:trPr>
        <w:tc>
          <w:tcPr>
            <w:tcW w:w="1006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(MBOE)</w:t>
            </w:r>
            <w:r>
              <w:rPr>
                <w:rFonts w:ascii="Times New Roman" w:cs="Times New Roman" w:eastAsia="Times New Roman" w:hAnsi="Times New Roman"/>
                <w:sz w:val="18"/>
                <w:szCs w:val="18"/>
                <w:b w:val="1"/>
                <w:bCs w:val="1"/>
                <w:color w:val="auto"/>
                <w:w w:val="96"/>
                <w:vertAlign w:val="superscript"/>
              </w:rPr>
              <w:t>(1)</w:t>
            </w:r>
          </w:p>
        </w:tc>
      </w:tr>
      <w:tr>
        <w:trPr>
          <w:trHeight w:val="203"/>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366,797</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22,982</w:t>
            </w:r>
          </w:p>
        </w:tc>
      </w:tr>
      <w:tr>
        <w:trPr>
          <w:trHeight w:val="210"/>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acquisitions of minerals-in-place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Revisions of prior estimates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12,799</w:t>
            </w:r>
          </w:p>
        </w:tc>
      </w:tr>
      <w:tr>
        <w:trPr>
          <w:trHeight w:val="210"/>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Production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(75,575)</w:t>
            </w:r>
          </w:p>
        </w:tc>
      </w:tr>
      <w:tr>
        <w:trPr>
          <w:trHeight w:val="196"/>
        </w:trPr>
        <w:tc>
          <w:tcPr>
            <w:tcW w:w="10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Conversion of proved undeveloped to proved developed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77,565</w:t>
            </w:r>
          </w:p>
        </w:tc>
      </w:tr>
      <w:tr>
        <w:trPr>
          <w:trHeight w:val="228"/>
        </w:trPr>
        <w:tc>
          <w:tcPr>
            <w:tcW w:w="10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407,987</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9"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4"/>
          <w:szCs w:val="14"/>
          <w:color w:val="auto"/>
        </w:rPr>
        <w:t>(1)</w:t>
        <w:tab/>
        <w:t>Estimated using a conversion ratio of one Bbl of oil per six Mcf of natural gas.</w:t>
      </w:r>
    </w:p>
    <w:p>
      <w:pPr>
        <w:spacing w:after="0" w:line="3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proved developed oil and natural gas reserves increased 11% from 366.8 million BOE at December 31, 2024 to 408.0 million BOE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Our proved developed oil and natural gas reserves increased by 116.8 million BOE and we produced 75.6 million BOE during the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2025, resulting in a net increase of 41.2 million BOE. We added 23.0 million BOE in proved developed reserves through extensions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discoveries during 2025, which resulted from new well locations drilled during 2025 to establish proved reserves. In addition, during 2025,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77.6 million BOE of our proved undeveloped reserves to proved developed reserves primarily through our development activities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Basin. We also increased our proved developed reserves by 3.4 million BOE at December 31, 2025 as a result of net property acquisitions,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divestitures and trades completed during 2025. Additionally, we realized approximately 12.8 million BOE in net upward revisions of prior estimates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developed reserves in 2025, including positive forecast updates of 16.7 million BOE and ownership updates of 3.2 million BOE. These upward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revisions were partially offset by downward revisions of 4.2 million BOE and 2.9 million BOE attributable to certain pricing and expense updates used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 proved developed reserves at December 31, 2025 and 2024, respectively.</w:t>
      </w:r>
    </w:p>
    <w:p>
      <w:pPr>
        <w:spacing w:after="0" w:line="9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Our proved developed oil reserves increased 8% from 206.3 million Bbl at December 31, 2024 to 223.0 million Bbl at December 31, 2025. Our proved developed natural gas reserves increased 15% from 963.2 Bcf at December 31, 2024 to 1.11 Tcf at December 31, 2025. Proved developed reserves constituted 61% of our total proved oil and natural gas reserves at December 31, 2025, as compared to 60% at December 31, 2024.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changes in our estimated proved undeveloped reserves at December 31,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Proved</w:t>
            </w:r>
          </w:p>
        </w:tc>
      </w:tr>
      <w:tr>
        <w:trPr>
          <w:trHeight w:val="146"/>
        </w:trPr>
        <w:tc>
          <w:tcPr>
            <w:tcW w:w="1006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Undeveloped</w:t>
            </w:r>
          </w:p>
        </w:tc>
      </w:tr>
      <w:tr>
        <w:trPr>
          <w:trHeight w:val="196"/>
        </w:trPr>
        <w:tc>
          <w:tcPr>
            <w:tcW w:w="1006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r>
      <w:tr>
        <w:trPr>
          <w:trHeight w:val="202"/>
        </w:trPr>
        <w:tc>
          <w:tcPr>
            <w:tcW w:w="1006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(MBOE)</w:t>
            </w:r>
            <w:r>
              <w:rPr>
                <w:rFonts w:ascii="Times New Roman" w:cs="Times New Roman" w:eastAsia="Times New Roman" w:hAnsi="Times New Roman"/>
                <w:sz w:val="18"/>
                <w:szCs w:val="18"/>
                <w:b w:val="1"/>
                <w:bCs w:val="1"/>
                <w:color w:val="auto"/>
                <w:w w:val="96"/>
                <w:vertAlign w:val="superscript"/>
              </w:rPr>
              <w:t>(1)</w:t>
            </w:r>
          </w:p>
        </w:tc>
      </w:tr>
      <w:tr>
        <w:trPr>
          <w:trHeight w:val="203"/>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244,740</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111,990</w:t>
            </w:r>
          </w:p>
        </w:tc>
      </w:tr>
      <w:tr>
        <w:trPr>
          <w:trHeight w:val="210"/>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divestitures of minerals-in-place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Revisions of prior estimates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(20,012)</w:t>
            </w:r>
          </w:p>
        </w:tc>
      </w:tr>
      <w:tr>
        <w:trPr>
          <w:trHeight w:val="203"/>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Conversion of proved undeveloped to proved developed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(77,565)</w:t>
            </w:r>
          </w:p>
        </w:tc>
      </w:tr>
      <w:tr>
        <w:trPr>
          <w:trHeight w:val="203"/>
        </w:trPr>
        <w:tc>
          <w:tcPr>
            <w:tcW w:w="10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259,060</w:t>
            </w:r>
          </w:p>
        </w:tc>
      </w:tr>
      <w:tr>
        <w:trPr>
          <w:trHeight w:val="21"/>
        </w:trPr>
        <w:tc>
          <w:tcPr>
            <w:tcW w:w="10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4"/>
          <w:szCs w:val="14"/>
          <w:color w:val="auto"/>
        </w:rPr>
        <w:t>(1)</w:t>
        <w:tab/>
        <w:t>Estimated using a conversion ratio of one Bbl of oil per six Mcf of natural gas.</w:t>
      </w:r>
    </w:p>
    <w:p>
      <w:pPr>
        <w:spacing w:after="0" w:line="11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proved undeveloped oil and natural gas reserves increased 6% from 244.7 million BOE at December 31, 2024 to 259.1 million at December 31, 2025. We added 112.0 million BOE in proved undeveloped reserves through extensions and discoveries during 2025, which resulted primarily from new proved undeveloped locations identified as a result of drilling activities on our existing acreage in the Delaware Basin during 2025. We also decreased our proved undeveloped reserves by 0.1 million BOE at December 31, 2025 as a result of net property acquisitions, divestitures and trades completed during 2025. Additionally, we realized approximately 20.0 million BOE in net downward revisions of prior estimates of proved undeveloped reserves in 2025, which included the removal of 22.8 million BOE in proved undeveloped reserves that were not developed or were no longer expected to be developed within five years of their initial booking resulting primarily from changes in development plans for certain of our properties in the Delaware Basin and the removal of 3.2 million BOE and 1.4 million BOE for certain ownership and pricing updates at December 31, 2025 and 2024, respectively. These downward revisions were partially offset by positive forecast updates of 7.4 million BOE.</w:t>
      </w:r>
    </w:p>
    <w:p>
      <w:pPr>
        <w:spacing w:after="0" w:line="80"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2025, we had no proved undeveloped reserves in our estimates that remained undeveloped for five years or more following their initial booking, and we currently have plans to use anticipated capital resources to develop the proved undeveloped reserves remaining as of December 31, 2025 within five years of booking these reserves. The following table sets forth, since 2022, proved undeveloped reserves converted to proved developed reserves during each year and the investments associated with these conversions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31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20" w:type="dxa"/>
            <w:vAlign w:val="bottom"/>
          </w:tcPr>
          <w:p>
            <w:pPr>
              <w:spacing w:after="0"/>
              <w:rPr>
                <w:sz w:val="16"/>
                <w:szCs w:val="16"/>
                <w:color w:val="auto"/>
              </w:rPr>
            </w:pPr>
          </w:p>
        </w:tc>
        <w:tc>
          <w:tcPr>
            <w:tcW w:w="31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in Conversion</w:t>
            </w:r>
          </w:p>
        </w:tc>
        <w:tc>
          <w:tcPr>
            <w:tcW w:w="0" w:type="dxa"/>
            <w:vAlign w:val="bottom"/>
          </w:tcPr>
          <w:p>
            <w:pPr>
              <w:spacing w:after="0"/>
              <w:rPr>
                <w:sz w:val="1"/>
                <w:szCs w:val="1"/>
                <w:color w:val="auto"/>
              </w:rPr>
            </w:pPr>
          </w:p>
        </w:tc>
      </w:tr>
      <w:tr>
        <w:trPr>
          <w:trHeight w:val="82"/>
        </w:trPr>
        <w:tc>
          <w:tcPr>
            <w:tcW w:w="64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 Proved Undeveloped</w:t>
            </w:r>
          </w:p>
        </w:tc>
        <w:tc>
          <w:tcPr>
            <w:tcW w:w="0" w:type="dxa"/>
            <w:vAlign w:val="bottom"/>
          </w:tcPr>
          <w:p>
            <w:pPr>
              <w:spacing w:after="0"/>
              <w:rPr>
                <w:sz w:val="1"/>
                <w:szCs w:val="1"/>
                <w:color w:val="auto"/>
              </w:rPr>
            </w:pPr>
          </w:p>
        </w:tc>
      </w:tr>
      <w:tr>
        <w:trPr>
          <w:trHeight w:val="109"/>
        </w:trPr>
        <w:tc>
          <w:tcPr>
            <w:tcW w:w="64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vMerge w:val="restart"/>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Reserves to Proved</w:t>
            </w: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(MBbl)</w:t>
            </w:r>
          </w:p>
        </w:tc>
        <w:tc>
          <w:tcPr>
            <w:tcW w:w="1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(Bcf)</w:t>
            </w:r>
          </w:p>
        </w:tc>
        <w:tc>
          <w:tcPr>
            <w:tcW w:w="11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9"/>
                <w:szCs w:val="9"/>
                <w:b w:val="1"/>
                <w:bCs w:val="1"/>
                <w:color w:val="auto"/>
              </w:rPr>
              <w:t>(1)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Developed Reserves</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jc w:val="right"/>
              <w:ind w:right="6028"/>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434,336</w:t>
            </w:r>
          </w:p>
        </w:tc>
        <w:tc>
          <w:tcPr>
            <w:tcW w:w="0" w:type="dxa"/>
            <w:vAlign w:val="bottom"/>
          </w:tcPr>
          <w:p>
            <w:pPr>
              <w:spacing w:after="0"/>
              <w:rPr>
                <w:sz w:val="1"/>
                <w:szCs w:val="1"/>
                <w:color w:val="auto"/>
              </w:rPr>
            </w:pPr>
          </w:p>
        </w:tc>
      </w:tr>
      <w:tr>
        <w:trPr>
          <w:trHeight w:val="195"/>
        </w:trPr>
        <w:tc>
          <w:tcPr>
            <w:tcW w:w="6420" w:type="dxa"/>
            <w:vAlign w:val="bottom"/>
          </w:tcPr>
          <w:p>
            <w:pPr>
              <w:jc w:val="right"/>
              <w:ind w:right="6028"/>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34,928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441,671</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jc w:val="right"/>
              <w:ind w:right="6028"/>
              <w:spacing w:after="0"/>
              <w:rPr>
                <w:sz w:val="20"/>
                <w:szCs w:val="20"/>
                <w:color w:val="auto"/>
              </w:rPr>
            </w:pPr>
            <w:r>
              <w:rPr>
                <w:rFonts w:ascii="Times New Roman" w:cs="Times New Roman" w:eastAsia="Times New Roman" w:hAnsi="Times New Roman"/>
                <w:sz w:val="14"/>
                <w:szCs w:val="14"/>
                <w:color w:val="auto"/>
              </w:rPr>
              <w:t>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685,163</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jc w:val="right"/>
              <w:ind w:right="6028"/>
              <w:spacing w:after="0"/>
              <w:rPr>
                <w:sz w:val="20"/>
                <w:szCs w:val="20"/>
                <w:color w:val="auto"/>
              </w:rPr>
            </w:pPr>
            <w:r>
              <w:rPr>
                <w:rFonts w:ascii="Times New Roman" w:cs="Times New Roman" w:eastAsia="Times New Roman" w:hAnsi="Times New Roman"/>
                <w:sz w:val="14"/>
                <w:szCs w:val="14"/>
                <w:color w:val="auto"/>
              </w:rPr>
              <w:t>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51,666</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77,565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1,013,114</w:t>
            </w:r>
          </w:p>
        </w:tc>
        <w:tc>
          <w:tcPr>
            <w:tcW w:w="0" w:type="dxa"/>
            <w:vAlign w:val="bottom"/>
          </w:tcPr>
          <w:p>
            <w:pPr>
              <w:spacing w:after="0"/>
              <w:rPr>
                <w:sz w:val="1"/>
                <w:szCs w:val="1"/>
                <w:color w:val="auto"/>
              </w:rPr>
            </w:pPr>
          </w:p>
        </w:tc>
      </w:tr>
      <w:tr>
        <w:trPr>
          <w:trHeight w:val="228"/>
        </w:trPr>
        <w:tc>
          <w:tcPr>
            <w:tcW w:w="6420" w:type="dxa"/>
            <w:vAlign w:val="bottom"/>
            <w:tcBorders>
              <w:bottom w:val="single" w:sz="8" w:color="CCEEFF"/>
            </w:tcBorders>
            <w:shd w:val="clear" w:color="auto" w:fill="CCEEFF"/>
          </w:tcPr>
          <w:p>
            <w:pPr>
              <w:jc w:val="right"/>
              <w:ind w:right="5828"/>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127,530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205,494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2,574,284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 Estimated using a conversion ratio of one Bbl of oil per six Mcf of natural gas.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0" w:firstLine="648"/>
        <w:spacing w:after="0" w:line="268" w:lineRule="auto"/>
        <w:rPr>
          <w:sz w:val="20"/>
          <w:szCs w:val="20"/>
          <w:color w:val="auto"/>
        </w:rPr>
      </w:pPr>
      <w:r>
        <w:rPr>
          <w:rFonts w:ascii="Times New Roman" w:cs="Times New Roman" w:eastAsia="Times New Roman" w:hAnsi="Times New Roman"/>
          <w:sz w:val="18"/>
          <w:szCs w:val="18"/>
          <w:color w:val="auto"/>
        </w:rPr>
        <w:t>The following table sets forth additional summary information by operating area with respect to our estimated net proved reserves at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Proved Reserves</w:t>
            </w:r>
            <w:r>
              <w:rPr>
                <w:rFonts w:ascii="Times New Roman" w:cs="Times New Roman" w:eastAsia="Times New Roman" w:hAnsi="Times New Roman"/>
                <w:sz w:val="18"/>
                <w:szCs w:val="18"/>
                <w:b w:val="1"/>
                <w:bCs w:val="1"/>
                <w:color w:val="auto"/>
                <w:w w:val="98"/>
                <w:vertAlign w:val="superscript"/>
              </w:rPr>
              <w:t>(1)</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360" w:type="dxa"/>
            <w:vAlign w:val="bottom"/>
          </w:tcPr>
          <w:p>
            <w:pPr>
              <w:spacing w:after="0"/>
              <w:rPr>
                <w:sz w:val="10"/>
                <w:szCs w:val="10"/>
                <w:color w:val="auto"/>
              </w:rPr>
            </w:pPr>
          </w:p>
        </w:tc>
        <w:tc>
          <w:tcPr>
            <w:tcW w:w="128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Oil</w:t>
            </w:r>
          </w:p>
        </w:tc>
        <w:tc>
          <w:tcPr>
            <w:tcW w:w="100" w:type="dxa"/>
            <w:vAlign w:val="bottom"/>
          </w:tcPr>
          <w:p>
            <w:pPr>
              <w:spacing w:after="0"/>
              <w:rPr>
                <w:sz w:val="10"/>
                <w:szCs w:val="10"/>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Oil Equivalent</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Standardized</w:t>
            </w:r>
          </w:p>
        </w:tc>
        <w:tc>
          <w:tcPr>
            <w:tcW w:w="200" w:type="dxa"/>
            <w:vAlign w:val="bottom"/>
          </w:tcPr>
          <w:p>
            <w:pPr>
              <w:spacing w:after="0"/>
              <w:rPr>
                <w:sz w:val="10"/>
                <w:szCs w:val="10"/>
                <w:color w:val="auto"/>
              </w:rPr>
            </w:pPr>
          </w:p>
        </w:tc>
        <w:tc>
          <w:tcPr>
            <w:tcW w:w="11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PV-10</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Measure</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8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(MBbl)</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(Bcf)</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ind w:right="228"/>
              <w:spacing w:after="0" w:line="196" w:lineRule="exact"/>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18"/>
                <w:szCs w:val="18"/>
                <w:b w:val="1"/>
                <w:bCs w:val="1"/>
                <w:color w:val="auto"/>
                <w:vertAlign w:val="superscript"/>
              </w:rPr>
              <w:t>(4)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Delaware Basin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1,717.6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662,248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6,969.0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8,217.0</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Haynesville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Cotton Valley</w:t>
            </w:r>
            <w:r>
              <w:rPr>
                <w:rFonts w:ascii="Times New Roman" w:cs="Times New Roman" w:eastAsia="Times New Roman" w:hAnsi="Times New Roman"/>
                <w:sz w:val="18"/>
                <w:szCs w:val="18"/>
                <w:color w:val="auto"/>
                <w:vertAlign w:val="superscript"/>
              </w:rPr>
              <w:t>(5)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Area Total</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375,980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8,237.8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in table may not total due to rounding.</w:t>
      </w:r>
    </w:p>
    <w:p>
      <w:pPr>
        <w:spacing w:after="0" w:line="109" w:lineRule="exact"/>
        <w:rPr>
          <w:rFonts w:ascii="Times New Roman" w:cs="Times New Roman" w:eastAsia="Times New Roman" w:hAnsi="Times New Roman"/>
          <w:sz w:val="14"/>
          <w:szCs w:val="14"/>
          <w:color w:val="auto"/>
        </w:rPr>
      </w:pPr>
    </w:p>
    <w:p>
      <w:pPr>
        <w:ind w:left="460" w:right="240" w:hanging="331"/>
        <w:spacing w:after="0" w:line="302" w:lineRule="auto"/>
        <w:tabs>
          <w:tab w:leader="none" w:pos="4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w:t>
      </w:r>
    </w:p>
    <w:p>
      <w:pPr>
        <w:spacing w:after="0" w:line="53" w:lineRule="exact"/>
        <w:rPr>
          <w:rFonts w:ascii="Times New Roman" w:cs="Times New Roman" w:eastAsia="Times New Roman" w:hAnsi="Times New Roman"/>
          <w:sz w:val="14"/>
          <w:szCs w:val="14"/>
          <w:color w:val="auto"/>
        </w:rPr>
      </w:pPr>
    </w:p>
    <w:p>
      <w:pPr>
        <w:ind w:left="460" w:hanging="331"/>
        <w:spacing w:after="0" w:line="266" w:lineRule="auto"/>
        <w:tabs>
          <w:tab w:leader="none" w:pos="4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2025 may be reconciled to our Standardized Measure of discounted future net cash flows at such date by adding the discounted future income taxes associated with such reserves to the Standardized Measure. The discounted future income taxes at December 31, 2025 were approximately $1.25 billion.</w:t>
      </w:r>
    </w:p>
    <w:p>
      <w:pPr>
        <w:spacing w:after="0" w:line="7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Used to Establish Reserves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term “reasonable certainty” means a high degree of confidence that the quantities of oil and/or natural gas will be recovered.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80"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electric logs, radioactivity logs, core analyses, geologic maps and available pressure and production data, seismic data and well test data. Reserves for proved developed producing wells were estimated using production performance methods. Certain new producing properties with little production history were forecasted using a combination of production performance and analogy to offset production. Non-producing reserves estimates for both developed and undeveloped properties were forecasted using either analogy and/or volumetric methods.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Reserves Estimation Process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maintain an internal staff of petroleum engineers and geoscience professionals to ensure the integrity, accuracy and timeliness of the data used in our reserves estimation process. Individual asset teams are responsible for the day-to-day management of the oil and natural gas activities for each team’s asset area. These asset teams are staffed with reservoir engineers who prepare reserves estimates at the end of each calendar quarter for the assets they manage. Our Vice President of Reservoir Engineering and the Reserves Team was primarily responsible for overseeing the preparation of our reserves estimates in 2025. He received Bachelor of Science degrees in both Petroleum Engineering and Mechanical Engineering from Texas Tech University, is a licensed Professional Engineer in the state of Texas and has over ten years of industry experience. Our Vice President of Reservoir Engineering and the Reserves Team works under the direct supervision of our Executive Vice President of Reservoir Engineering and Senior Asset Manager, who received a Bachelor of Science degree in Petroleum</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Engineering from Texas A&amp;M University and has over 15 years of industry experience. The Company has established internal controls over its reserves estimation processes and procedures to support the accurate and timely preparation and disclosure of reserves estimates in accordance with SEC and GAAP requirements. These controls include oversight of the reserves estimation processes by our internal reserves group as well as accounting and finance personnel. Following the preparation of our reserves estimates, these estimates are audited for their reasonableness by Netherland, Sewell &amp; Associates, Inc., independent reservoir engineers. Members of our executive committee and members of the Operations and Engineering Committee of our Board of Directors (the “Board”) review the reserves report and our reserves estimation process, and the independent audit of our reserves is reviewed by other members of the Board as well.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Acreage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approximate acreage in which we held a leasehold, mineral or other interest at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7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Developed Acres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Undeveloped Acres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 Acres</w:t>
            </w:r>
          </w:p>
        </w:tc>
        <w:tc>
          <w:tcPr>
            <w:tcW w:w="780" w:type="dxa"/>
            <w:vAlign w:val="bottom"/>
          </w:tcPr>
          <w:p>
            <w:pPr>
              <w:spacing w:after="0"/>
              <w:rPr>
                <w:sz w:val="16"/>
                <w:szCs w:val="16"/>
                <w:color w:val="auto"/>
              </w:rPr>
            </w:pPr>
          </w:p>
        </w:tc>
      </w:tr>
      <w:tr>
        <w:trPr>
          <w:trHeight w:val="23"/>
        </w:trPr>
        <w:tc>
          <w:tcPr>
            <w:tcW w:w="35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780" w:type="dxa"/>
            <w:vAlign w:val="bottom"/>
          </w:tcPr>
          <w:p>
            <w:pPr>
              <w:spacing w:after="0"/>
              <w:rPr>
                <w:sz w:val="2"/>
                <w:szCs w:val="2"/>
                <w:color w:val="auto"/>
              </w:rPr>
            </w:pPr>
          </w:p>
        </w:tc>
      </w:tr>
      <w:tr>
        <w:trPr>
          <w:trHeight w:val="190"/>
        </w:trPr>
        <w:tc>
          <w:tcPr>
            <w:tcW w:w="3500" w:type="dxa"/>
            <w:vAlign w:val="bottom"/>
          </w:tcPr>
          <w:p>
            <w:pPr>
              <w:spacing w:after="0"/>
              <w:rPr>
                <w:sz w:val="16"/>
                <w:szCs w:val="16"/>
                <w:color w:val="auto"/>
              </w:rPr>
            </w:pPr>
          </w:p>
        </w:tc>
        <w:tc>
          <w:tcPr>
            <w:tcW w:w="178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0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8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95"/>
        </w:trPr>
        <w:tc>
          <w:tcPr>
            <w:tcW w:w="3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Delaware Basin</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284,700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171,200</w:t>
            </w:r>
          </w:p>
        </w:tc>
        <w:tc>
          <w:tcPr>
            <w:tcW w:w="1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69,900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212,500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95"/>
        </w:trPr>
        <w:tc>
          <w:tcPr>
            <w:tcW w:w="3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Haynesville</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w:t>
            </w:r>
          </w:p>
        </w:tc>
      </w:tr>
      <w:tr>
        <w:trPr>
          <w:trHeight w:val="21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Cotton Valley</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w:t>
            </w:r>
          </w:p>
        </w:tc>
      </w:tr>
      <w:tr>
        <w:trPr>
          <w:trHeight w:val="196"/>
        </w:trPr>
        <w:tc>
          <w:tcPr>
            <w:tcW w:w="35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Area Total</w:t>
            </w:r>
            <w:r>
              <w:rPr>
                <w:rFonts w:ascii="Times New Roman" w:cs="Times New Roman" w:eastAsia="Times New Roman" w:hAnsi="Times New Roman"/>
                <w:sz w:val="18"/>
                <w:szCs w:val="18"/>
                <w:color w:val="auto"/>
                <w:vertAlign w:val="superscript"/>
              </w:rPr>
              <w:t>(1)</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18,500</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17,300</w:t>
            </w:r>
          </w:p>
        </w:tc>
      </w:tr>
      <w:tr>
        <w:trPr>
          <w:trHeight w:val="214"/>
        </w:trPr>
        <w:tc>
          <w:tcPr>
            <w:tcW w:w="35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303,200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188,500</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69,900</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41,300</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373,100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300" w:hanging="331"/>
        <w:spacing w:after="0" w:line="282" w:lineRule="auto"/>
        <w:tabs>
          <w:tab w:leader="none" w:pos="4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Undeveloped Acreage Expiration</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approximate number of gross and net undeveloped acres at December 31, 2025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2031 and beyond totals 3,400 net acres, all of which is in the Delaware Basin. All of our leasehold in the Haynesville and Cotton Valley plays in Northwest Louisiana was held by existing production at December 31,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14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Acres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Acres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Acres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620" w:type="dxa"/>
            <w:vAlign w:val="bottom"/>
          </w:tcPr>
          <w:p>
            <w:pPr>
              <w:spacing w:after="0"/>
              <w:rPr>
                <w:sz w:val="16"/>
                <w:szCs w:val="16"/>
                <w:color w:val="auto"/>
              </w:rPr>
            </w:pPr>
          </w:p>
        </w:tc>
      </w:tr>
      <w:tr>
        <w:trPr>
          <w:trHeight w:val="203"/>
        </w:trPr>
        <w:tc>
          <w:tcPr>
            <w:tcW w:w="1940" w:type="dxa"/>
            <w:vAlign w:val="bottom"/>
          </w:tcPr>
          <w:p>
            <w:pPr>
              <w:spacing w:after="0"/>
              <w:rPr>
                <w:sz w:val="17"/>
                <w:szCs w:val="17"/>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Expiring 2026</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 2027</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 2028</w:t>
            </w:r>
          </w:p>
        </w:tc>
        <w:tc>
          <w:tcPr>
            <w:tcW w:w="19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Expiring 2029</w:t>
            </w:r>
          </w:p>
        </w:tc>
        <w:tc>
          <w:tcPr>
            <w:tcW w:w="17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Expiring 2030</w:t>
            </w:r>
          </w:p>
        </w:tc>
      </w:tr>
      <w:tr>
        <w:trPr>
          <w:trHeight w:val="23"/>
        </w:trPr>
        <w:tc>
          <w:tcPr>
            <w:tcW w:w="19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90"/>
        </w:trPr>
        <w:tc>
          <w:tcPr>
            <w:tcW w:w="1940" w:type="dxa"/>
            <w:vAlign w:val="bottom"/>
          </w:tcPr>
          <w:p>
            <w:pPr>
              <w:spacing w:after="0"/>
              <w:rPr>
                <w:sz w:val="16"/>
                <w:szCs w:val="16"/>
                <w:color w:val="auto"/>
              </w:rPr>
            </w:pPr>
          </w:p>
        </w:tc>
        <w:tc>
          <w:tcPr>
            <w:tcW w:w="11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23"/>
        </w:trPr>
        <w:tc>
          <w:tcPr>
            <w:tcW w:w="194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Southeast New Mexico/West</w:t>
            </w: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r>
      <w:tr>
        <w:trPr>
          <w:trHeight w:val="20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6"/>
        </w:trPr>
        <w:tc>
          <w:tcPr>
            <w:tcW w:w="1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Delaware Basin</w:t>
            </w:r>
            <w:r>
              <w:rPr>
                <w:rFonts w:ascii="Times New Roman" w:cs="Times New Roman" w:eastAsia="Times New Roman" w:hAnsi="Times New Roman"/>
                <w:sz w:val="9"/>
                <w:szCs w:val="9"/>
                <w:color w:val="auto"/>
              </w:rPr>
              <w:t>(1)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221"/>
        </w:trPr>
        <w:tc>
          <w:tcPr>
            <w:tcW w:w="1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120" w:hanging="331"/>
        <w:spacing w:after="0" w:line="302" w:lineRule="auto"/>
        <w:tabs>
          <w:tab w:leader="none" w:pos="4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60% of the acreage expiring in the Delaware Basin in the next five years is associated with our Twin Lakes asset area in northern Lea County, New Mexico. We expect to hold or extend portions of certain expiring acreage in the Delaware Basin through our future drilling activities or by paying an additional lease bonus, where applicable.</w:t>
      </w:r>
    </w:p>
    <w:p>
      <w:pPr>
        <w:spacing w:after="0" w:line="58"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in most cases until the cessation of production in commercial quantities. We also have options to extend some of our leases through additional lease bonus payments prior to the expiration of the primary term of such lease.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2025, our leases are primarily fee and state leases with primary terms of three to five years and federal leases with primary terms of ten years. We believe that our lease terms are similar to our competitors’ lease terms as they relate to both primary term and royalty interests. At December 31, 2025, less than 1% of our proved oil and natural gas reserves would be impacted by the expirations of this undeveloped acreage.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Results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drilling activity for the years ended December 31, 2025,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r>
      <w:tr>
        <w:trPr>
          <w:trHeight w:val="196"/>
        </w:trPr>
        <w:tc>
          <w:tcPr>
            <w:tcW w:w="6380" w:type="dxa"/>
            <w:vAlign w:val="bottom"/>
          </w:tcPr>
          <w:p>
            <w:pPr>
              <w:spacing w:after="0"/>
              <w:rPr>
                <w:sz w:val="17"/>
                <w:szCs w:val="17"/>
                <w:color w:val="auto"/>
              </w:rPr>
            </w:pPr>
          </w:p>
        </w:tc>
        <w:tc>
          <w:tcPr>
            <w:tcW w:w="100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c>
          <w:tcPr>
            <w:tcW w:w="10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7"/>
                <w:szCs w:val="17"/>
                <w:color w:val="auto"/>
              </w:rPr>
            </w:pPr>
          </w:p>
        </w:tc>
        <w:tc>
          <w:tcPr>
            <w:tcW w:w="98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Wells</w:t>
            </w: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195"/>
        </w:trPr>
        <w:tc>
          <w:tcPr>
            <w:tcW w:w="63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Productive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210"/>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Dry</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Exploration Wells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Productive</w:t>
            </w:r>
            <w:r>
              <w:rPr>
                <w:rFonts w:ascii="Times New Roman" w:cs="Times New Roman" w:eastAsia="Times New Roman" w:hAnsi="Times New Roman"/>
                <w:sz w:val="18"/>
                <w:szCs w:val="18"/>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5"/>
        </w:trPr>
        <w:tc>
          <w:tcPr>
            <w:tcW w:w="63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Dry</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Wells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3"/>
        </w:trPr>
        <w:tc>
          <w:tcPr>
            <w:tcW w:w="638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Productive</w:t>
            </w:r>
            <w:r>
              <w:rPr>
                <w:rFonts w:ascii="Times New Roman" w:cs="Times New Roman" w:eastAsia="Times New Roman" w:hAnsi="Times New Roman"/>
                <w:sz w:val="18"/>
                <w:szCs w:val="18"/>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203"/>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Dry</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0" w:lineRule="exact"/>
        <w:rPr>
          <w:sz w:val="20"/>
          <w:szCs w:val="20"/>
          <w:color w:val="auto"/>
        </w:rPr>
      </w:pPr>
    </w:p>
    <w:p>
      <w:pPr>
        <w:ind w:left="440" w:hanging="311"/>
        <w:spacing w:after="0"/>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these wells are extension wells.</w:t>
      </w:r>
    </w:p>
    <w:p>
      <w:pPr>
        <w:spacing w:after="0" w:line="10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three gross (1.5 net) vertical wells in 2024 and one gross (0.5 net) vertical well in 2023. We did not drill any vertical wells in 2025.</w:t>
      </w:r>
    </w:p>
    <w:p>
      <w:pPr>
        <w:spacing w:after="0" w:line="113"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2025, we had a total of 150 gross (52.1 net) development wells and 11 gross (1.0 net) exploration wells that were in the process of being drilled, being completed or awaiting completion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Customers</w:t>
      </w:r>
    </w:p>
    <w:p>
      <w:pPr>
        <w:spacing w:after="0" w:line="12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generally deducted from the price received for crude oil and liquids.</w:t>
      </w:r>
    </w:p>
    <w:p>
      <w:pPr>
        <w:spacing w:after="0" w:line="75"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or third parties’ processing facilities to extract liquid hydrocarbons from the natural gas. We are then paid for the extracted NGLs based on either a negotiated percentage of the proceeds that are generated from the sale of NGLs or other negotiated pricing arrangements using then-current market pricing less fixed rate processing, transportation and fractionation fees.</w:t>
      </w:r>
    </w:p>
    <w:p>
      <w:pPr>
        <w:spacing w:after="0" w:line="7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prices we receive for our oil, natural gas and NGL production fluctuate widely. Factors that, directly or indirectly, cause price fluctuations include: the domestic and foreign supply of, and demand for, oil, natural gas and NGLs; the actions of the Organization of Petroleum Exporting Countries, Russia and certain other oil-exporting countries (“OPEC+”) and state-controlled oil companies; the prices and availability of competitors’ supplies of oil and natural gas; the price and quantity of foreign imports and exports; the impact of U.S. dollar exchange rates; domestic and foreign governmental regulations and taxes; speculative trading of, and other financial market conditions affecting, oil and natural gas futures contracts; the availability, proximity and capacity of gathering, processing and transportation systems for oil, natural gas and NGLs and gathering and disposal systems for produced water; the availability of refining capacity; the prices and availability of alternative fuel and energy sources; weather conditions and natural disasters, including floods, fires, tornadoes, droughts, hurricanes, tropical storms and severe cold weather; political conditions or conflicts in or affecting oil, natural gas and NGL producing regions or countries, including the United States, the Middle East, South America, Russia, Ukraine and China; the ongoing military conflicts between Russia and Ukraine and in the Middle East, as well as the related actions of U.S. and other governments and governmental organizations relating to oil, natural gas and NGLs, including through sanctions, embargoes, import restrictions and commodity price caps; the threat of terrorism and the impact of military action and civil unrest; public pressure on, and legislative and regulatory interest within, federal, state and local governments to stop, significantly limit or regulate oil, natural gas and NGL operations, including hydraulic fracturing, flaring, venting and produced water handling and disposal activities; the level of global oil, natural gas and NGL inventories and exploration and production activity; the impact of energy conservation efforts; technological advances affecting energy consumption; tariffs, trade restrictions and other supply chain constraints; and overall worldwide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or unscheduled maintenance, as well as maintenance and repairs involving our own well operations. These situations, if they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occur, curtail our production capabilities and ability to maintain a steady source of revenue. See “Risk Factors—Risks Related to our Financial Condition— 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68"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prices we receive for our oil and natural gas production often reflect a discount to the relevant benchmark prices, such as the NYMEX West Texas Intermediate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7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we had three significant purchasers that accounted for approximately 72%, 79% and 76%,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endeavor to ensure that title to our properties is in accordance with standards generally accepted in the oil and natural gas industry. While we rely upon the judgment of oil and natural gas lease brokers and landmen in ascertaining title for certain leasehold and mineral interest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 expiration of various time periods in order to avoid lease termination. See “Risk Factors—Risks Related to our Financial Condition—We may incur losses or costs as a result of title deficiencies in the properties in which we invest.”</w:t>
      </w:r>
    </w:p>
    <w:p>
      <w:pPr>
        <w:spacing w:after="0" w:line="8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with production in and markets for a particular area could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The oil and natural gas industry is highly competitive. We compete with major and independent oil and natural gas companies for exploration and development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their areas of operations, and such companies may have legacy relationships with producers in those areas and may have a longer history of efficiency and reliability.</w:t>
      </w:r>
    </w:p>
    <w:p>
      <w:pPr>
        <w:spacing w:after="0" w:line="8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pacing w:after="0" w:line="7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ability to drill and explore for oil and natural gas, acquire properties and provide competitive midstream services will depend upon our ability to conduct operations, evaluate and select suitable properties and consummate transactions in this highly competitive environment. In addition, many of our competitors may have a longer history of operations.</w:t>
      </w:r>
    </w:p>
    <w:p>
      <w:pPr>
        <w:spacing w:after="0" w:line="68" w:lineRule="exact"/>
        <w:rPr>
          <w:sz w:val="20"/>
          <w:szCs w:val="20"/>
          <w:color w:val="auto"/>
        </w:rPr>
      </w:pPr>
    </w:p>
    <w:p>
      <w:pPr>
        <w:ind w:right="460" w:firstLine="445"/>
        <w:spacing w:after="0" w:line="261" w:lineRule="auto"/>
        <w:rPr>
          <w:sz w:val="20"/>
          <w:szCs w:val="20"/>
          <w:color w:val="auto"/>
        </w:rPr>
      </w:pPr>
      <w:r>
        <w:rPr>
          <w:rFonts w:ascii="Times New Roman" w:cs="Times New Roman" w:eastAsia="Times New Roman" w:hAnsi="Times New Roman"/>
          <w:sz w:val="18"/>
          <w:szCs w:val="18"/>
          <w:color w:val="auto"/>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Emissions Mitigation</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work to maximize the percentage of natural gas we capture from the production of each of our wells. Newly drilled wells are connected to natural gas pipelines that we expect to have sufficient reliability and capacity to support our production operations. We connect many of our wells to San Mateo’s natural gas gathering systems. This greatly reduces the need to flare natural gas. We design our production facilities and use advanced natural gas capture and control equipment during production, including the use of vapor recovery units (“VRU”), to maximize natural gas capture. VRUs enable us to collect and compress natural gas from lower pressure sources that might otherwise be flared. This reduces emissions and increases the volumes of natural gas that we can sell. When possible, we use centralized tank batteries and commingle production from multiple wells to take advantage of economies of scale to use these VRUs and other specialized equipment in our production facilities.</w:t>
      </w:r>
    </w:p>
    <w:p>
      <w:pPr>
        <w:spacing w:after="0" w:line="81"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Our field employees monitor our facilities and inspect for any necessary repairs or maintenance. In addition, we have implemented a leak detection and repair program that involves scheduled inspections for natural gas capture. These inspections are bolstered by our use of optical gas imaging cameras, which help to identify potential emissions that may not be visible to the naked eye. We have also implemented real-time remote monitoring of vapor control systems through Supervisory Control and Data Acquisition (“SCADA”) equipment at a number of our larger production facilities. These inspections are being conducted regularly, both by our staff and by third-party contractors, more frequently and at more locations than federal and state regulations require.</w:t>
      </w:r>
    </w:p>
    <w:p>
      <w:pPr>
        <w:spacing w:after="0" w:line="79"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Additionally, we connect many of our production facilities to electric grid power. Connecting to grid power allows us to forego using internal combustion-powered generators on-site, which further reduces emissions.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Water Management</w:t>
      </w:r>
    </w:p>
    <w:p>
      <w:pPr>
        <w:spacing w:after="0" w:line="11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Using improving technologies, where feasible, we are able to take produced water from our existing wells and from third-party systems, treat the water and then reuse that water in our completions operations on new wells. Use of recycled water saves significant amounts of fresh water that would otherwise have been used for hydraulic fracturing operations. As well as conserving fresh water, our use of recycled water in our completions operations reduces the amount of produced water that must be disposed. It also results in significant cost savings and efficiencies. In addition to using recycled water where feasible, we also use other sources of non-fresh water, which reduces the volume of fresh water used for our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Land Stewardship</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When feasible, we attempt to reduce our surface footprint by batch drilling wells and drilling longer laterals, both of which result in fewer required drilling pads, and by working with the various regulatory agencies, including the New Mexico Oil Conservation Division (the “NMOCD”) and the U.S. Department of Interior Bureau of Land Management (“BLM”), to obtain approval to commingle production from different wells into centralized tank batteries. We also take steps to ensure we conduct our operations in locations that minimize any potential disturbance to the habitats around which we operate. As part of that effort, we have entered into voluntary agreements with the U.S. Fish and Wildlife Service (the “USFWS”) and the Center of Excellence for Hazardous Materials Management to observe operational restrictions designed to protect certain wildlife. Additionally, for our federal locations and as otherwise warranted, we conduct wildlife, biology and archeology surveys and undertake reviews for caves, karsts and potential hydrology considerations.</w:t>
      </w:r>
    </w:p>
    <w:p>
      <w:pPr>
        <w:spacing w:after="0" w:line="84"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During 2025, 97% of our gross operated oil production and 99% of our gross operated water production were connected to pipelines. In addition to the financial benefits to us and our stakeholders of connecting oil and produced water to pipelines, these pipeline connections have many other benefits, including the reduction in the number of trucks needed to transport the oil and produced water.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Regulation</w:t>
      </w:r>
    </w:p>
    <w:p>
      <w:pPr>
        <w:spacing w:after="0" w:line="1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7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states in which we operate require permits for drilling operations, drilling bonds and reports concerning operations and impose other requirements relating to the exploration, development and production of oil and natural gas. The states in which we operate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and setbacks, the surface use and restoration of properties upon which wells are drilled, the prohibition, restriction or limitation of emissions, venting or flaring natural gas, the sourcing and disposal of water used and produced in the drilling and completion process, the seismicity that may be related to salt water disposal wells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 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spacing w:after="0" w:line="8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BLM leases contain relatively standardized terms and require compliance with detailed regulations and orders, which are subject to change.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w:t>
      </w:r>
    </w:p>
    <w:p>
      <w:pPr>
        <w:spacing w:after="0" w:line="8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Oil and natural gas exploration and production activities on federal lands are also subject to the National Environmental Policy Act (“NEPA”). NEPA requires federal agencies, including the Department of Interior, to evaluate major agency actions having the potential to significantly impact the environment. In the course of such evaluations, an agency will prepare an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environmental assessment of impacts that are “reasonably foreseeable” and have a “reasonably close causal relationship” to the agency action under review and, if necessary, will prepare a more detailed environmental impact statement that may be made available for public review and comment. The NEPA evaluation process at the Department of the Interior has followed regulations issued by the Council on Environmental Quality (“CEQ”) for many years. However, recent court rulings, including a 2024 decision by the United States Court of Appeals for the District of Columbia, have held that CEQ lacks legal authority to issue binding regulations governing the NEPA process. In addition, CEQ rescinded its NEPA regulations in February 2025, and as a result, each government agency impacted by NEPA is establishing its own processes and procedures. This process, including any additional requirements or procedures that may be included in the process or litigation over the sufficiency of the process, has the potential to delay or even halt development of future oil and natural gas projects subject to review under NEPA.</w:t>
      </w:r>
    </w:p>
    <w:p>
      <w:pPr>
        <w:spacing w:after="0" w:line="8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2019, 2020 and 2021, an environmental group filed multiple lawsuits in federal district courts in New Mexico and the District of Columbia challenging certain BLM lease sales, including lease sales in which we purchased leases in New Mexico (the “Lease Sale Litigation”). The Lease Sale Litigation challenged the BLM’s decision to hold the lease sales based on alleged defects in the NEPA reviews conducted in conjunction with those sales. These lawsuits were dismissed in 2021 and 2022. In connection with these dismissals, in February 2022, the BLM announced an internal policy of delaying approval of drilling permits associated with the leases that were subject to the Lease Sale Litigation, including the dismissed New Mexico case, while the BLM conducted additional NEPA analyses. In September 2025, the BLM issued a Supplemental NEPA Analysis, which has not yet been finalized, proposing to uphold the previously issued leases. The outcome of BLM’s NEPA review and any future litigation regarding the leases at issue and any related drilling permits is uncertain. In addition, in February 2023, the Tenth Circuit Court of Appeals ruled that certain BLM drilling permits for wells in the Chaco region of New Mexico were issued without adequate NEPA review, and BLM agreed to conduct additional NEPA analysis in response to this litigation. Each of these pending lawsuits and NEPA reviews, as well as any process changes that the BLM may implement in response, could delay lease sales and the approval of drilling permits, though the ultimate impact is uncertain.</w:t>
      </w:r>
    </w:p>
    <w:p>
      <w:pPr>
        <w:spacing w:after="0" w:line="8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November 2022, the Environmental Protection Agency (the “EPA”) suggested increasing the value of the social cost of greenhouse gases from $51 per metric ton to $190 per metric ton, and in December 2023, the EPA used $190 per metric ton as the social cost of greenhouse gases in its final rule revising New Source Performance Standards (“NSPS”) and Emission Guidelines for greenhouse gas and volatile organic compound emissions in the oil and gas sector. As part of this final rulemaking, the EPA published a peer-reviewed report on the updated social cost of greenhouse gases estimates. However, in January 2025, the Trump administration revoked the Biden administration’s executive order regarding the social cost of greenhouse gases, withdrew the social cost of greenhouse gases estimates and directed the EPA administrator to consider issuing guidance eliminating the social cost of carbon calculation from any federal permitting or regulatory decision. In March 2025, the EPA administrator announced that the EPA is reconsidering the social cost of greenhouse gases estimates, and in May 2025, the White House Office of Management and Budget directed agencies to limit their consideration of greenhouse gas emissions only to that plainly required in their governing statutes. Future EPA rulemakings may reestablish the previous social cost of greenhouse gases estimates or incorporate new estimates developed in the future and potentially result in more stringent rules and regulations affecting the oil and gas sector.</w:t>
      </w:r>
    </w:p>
    <w:p>
      <w:pPr>
        <w:spacing w:after="0" w:line="8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On February 18, 2026, the EPA published a final rule rescinding its prior 2009 finding that six greenhouse gases in the atmosphere—carbon dioxide, methane, nitrous oxide, hydrofluorocarbons, perfluorocarbons and sulfur hexafluoride—may reasonably be anticipated to endanger public health and welfare under the Clean Air Act (the “CAA”), commonly known as the “Endangerment Finding,” which underpins the EPA’s regulation of greenhouse gas emissions. The rescission has been challenged in court, which could result in the rescission being stayed, overturned or limited in scope or effect. If the rescission remains in effect, the EPA may seek in the future to repeal or lessen the stringency of regulations affecting the oil and natural gas industry that are based, at least in part, on the Endangerment Finding. Further, it is possible that efforts to regulate greenhouse gases at the national level in the United States, which could include reconsidering the Endangerment Finding, could occur in the future. The ultimate outcome and long-term effect of the rescission of the Endangerment Finding, as well as its impact on regulation of the oil and natural gas industry, remains uncertain.</w:t>
      </w:r>
    </w:p>
    <w:p>
      <w:pPr>
        <w:spacing w:after="0" w:line="70" w:lineRule="exact"/>
        <w:rPr>
          <w:sz w:val="20"/>
          <w:szCs w:val="20"/>
          <w:color w:val="auto"/>
        </w:rPr>
      </w:pPr>
    </w:p>
    <w:p>
      <w:pPr>
        <w:ind w:right="200" w:firstLine="445"/>
        <w:spacing w:after="0"/>
        <w:rPr>
          <w:sz w:val="20"/>
          <w:szCs w:val="20"/>
          <w:color w:val="auto"/>
        </w:rPr>
      </w:pPr>
      <w:r>
        <w:rPr>
          <w:rFonts w:ascii="Times New Roman" w:cs="Times New Roman" w:eastAsia="Times New Roman" w:hAnsi="Times New Roman"/>
          <w:sz w:val="18"/>
          <w:szCs w:val="18"/>
          <w:color w:val="auto"/>
        </w:rPr>
        <w:t>In April 2024, the BLM finalized a new rule designed to reduce natural gas waste through limitation of certain oil and natural gas production activities and the imposition of more stringent royalty obligations on natural gas that is “avoidably lost” during operations. Enforcement of the rule in Texas, North Dakota, Montana, Wyoming, and Utah was enjoined by the North Dakota federal district court, and the appeal of that injunction to the U.S. Court of Appeals for the Eighth Circuit has been held in abeyance since February 14, 2025. The Department of the Interior announced it is evaluating whether to suspend, revise, or rescind the 2024 waste rule, and in November 2025, announced that it will delay enforcement of provisions of the rule that had been scheduled to take effect in December 2025. The ultimate outcome of this process, including possible financial costs and any adverse impacts on our oil and natural gas operations, is uncertain.</w:t>
      </w:r>
    </w:p>
    <w:p>
      <w:pPr>
        <w:spacing w:after="0" w:line="77"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The impact of these and similar federal actions related to the oil and natural gas industry remains unclear, and should limitations or prohibitions be imposed or continue to be applied, our oil and natural gas operations on federal lands could be adversely impacted. See “Risk Factors—Risks Related to Laws and Regulations—Approximately 33% of our leasehold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Regulation</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San Mateo’s crude oil gathering and transportation system in the Rustler Breaks asset area in Eddy County, New Mexico and the Greater Stebbins Area (the “Rustler Breaks Oil Pipeline System”), which includes approximately 70 miles of various diameter crude oil pipelines from origin points in Eddy County, New Mexico to an interconnect with Plains, is subject to FERC jurisdiction. Our crude oil gathering and transportation pipelines with origin points from Lea County, New Mexico to various interconnections with third parties (the “Trophy Pipeline System”) are also subject to FERC jurisdiction. We believe that the other crude oil pipelines in our gathering systems meet the traditional tests FERC has used to establish a pipeline’s status as an intrastate facility not subject to FERC jurisdiction.</w:t>
      </w:r>
    </w:p>
    <w:p>
      <w:pPr>
        <w:spacing w:after="0" w:line="7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75"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Rustler Breaks Oil Pipeline System and the Trophy Pipeline System are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w:t>
      </w:r>
    </w:p>
    <w:p>
      <w:pPr>
        <w:spacing w:after="0" w:line="81"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72"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spacing w:after="0" w:line="7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Pipeline and Hazardous Materials Safety Administration (the “PHMSA”) imposes pipeline safety requirements on regulated pipelines and gathering lines pursuant to its authority under the Natural Gas Pipeline Safety Act and the Hazardous Liquid Pipeline Safety Act, each as amended. The Rustler Breaks Oil Pipeline System and the Trophy Pipeline System are subject to PHMSA oversight. The Department of Transportation, through PHMSA, has established rules regarding integrity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management programs for interstate oil pipelines, including the Rustler Breaks Oil Pipeline System and the Trophy Pipeline System. In recent years, pursuant to these laws and the Pipeline Safety, Regulatory Certainty, and Job Creation Act of 2011 and PIPES Act of 2016,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To enact the changes outlined in the notice of proposed rulemaking, PHMSA enacted three separate rules (together known as the “Mega Rule”). The first part of the Mega Rule was finalized in October 2019 and requires operators of gas transmission pipelines constructed before 1970 to determine the material strength of their lines by reconfirming the maximum allowable operating pressure. In addition, the rule updates reporting and records retention standards for gas transmission pipelines. PHMSA issued the second part of the Mega Rule in November 2021, extending the federal safety requirements to onshore gas gathering pipelines with large diameters and high operating pressures. PHMSA issued the third part of the Mega Rule in August 2022, which is applicable to onshore gas transmission pipelines and clarifies integrity management regulations, expands corrosion control requirements, mandates inspections after extreme weather events and updates existing repair criteria for both High Consequence Areas (“HCA”) and non-HCA pipelines. In September 2023, PHMSA issued a proposed rule applicable to gas transmission and distribution and gathering pipelines, which would require updates to emergency response plans and other safety practices. In addition, states have adopted regulations, similar to existing PHMSA regulations, for intrastate gathering and transmission lines. See “Risk Factors—Risks Related to Laws and Regulations—We may incur significant costs and liabilities resulting from compliance with pipeline safety regulations.”</w:t>
      </w:r>
    </w:p>
    <w:p>
      <w:pPr>
        <w:spacing w:after="0" w:line="85"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Additional expansion of pipeline safety requirements or our operations could subject us to more stringent or costly safety standards, which could result in increased operating costs or operational delays.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and State Taxation</w:t>
      </w:r>
    </w:p>
    <w:p>
      <w:pPr>
        <w:spacing w:after="0" w:line="11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w:t>
      </w:r>
    </w:p>
    <w:p>
      <w:pPr>
        <w:spacing w:after="0" w:line="6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addition, from time to time there has been a significant amount of discussion by legislators and presidential administrations concerning a variety of energy tax proposals at the federal level. Periodically, legislation is introduced to eliminate certain key U.S. federal income tax preferences currently available to oil and natural gas exploration and production companies. Such changes include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Any such changes in federal income tax law could eliminate or defer certain tax deductions within the industry that are currently available with respect to oil and natural gas exploration and development, and any such changes could negatively affect our financial condition, results of operations and cash flows.</w:t>
      </w:r>
    </w:p>
    <w:p>
      <w:pPr>
        <w:spacing w:after="0" w:line="8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Changes to state or federal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Underground Injection and Hydraulic Fracturing</w:t>
      </w:r>
    </w:p>
    <w:p>
      <w:pPr>
        <w:spacing w:after="0" w:line="11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Safe Drinking Water Act (the “SDWA”) establishes a regulatory framework for underground injection, the primary objective of which is to ensure 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earthquakes (induced seismicity) as a result of flawed well design or operation. This has resulted in stricter regulatory requirements in some jurisdictions relating to the location and operation of underground injection wells.</w:t>
      </w:r>
    </w:p>
    <w:p>
      <w:pPr>
        <w:spacing w:after="0" w:line="54"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have imposed additional regulatory or permitting requirements, including requirements regarding the permitting of salt water disposal wells or otherwise, to assess the relationship between seismicity and the use of such wells and, in some instances, allow the agency to modify, suspend, or terminate existing operating permits for disposal wells. The potential adoption of federal, state and local legislation and regulations intended to address induced seismicity in the areas in which we operate could restrict our drilling and production activities and our midstream operations, as well as our ability to dispose of produced water gathered from such activities, which could result in increased costs and additional operating restrictions or delays that could, in turn, materially impact our production volumes, revenues, reserves, cash flows and availability under our secured revolving credit facility (the “Credit Agreement”).</w:t>
      </w:r>
    </w:p>
    <w:p>
      <w:pPr>
        <w:spacing w:after="0" w:line="80"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We use hydraulic fracturing as a means to maximize the recovery of oil and natural gas in almost every well that we drill and complete. Although average drilling and completion costs for each area will vary, as will the cost of each well within a given area, on average approximately half of the total well costs for our horizontal wells are attributable to overall completion activities, which are primarily focused on hydraulic fracture treatment operations.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spacing w:after="0" w:line="79"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17"/>
          <w:szCs w:val="17"/>
          <w:color w:val="auto"/>
        </w:rPr>
        <w:t>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Restrictions on hydraulic fracturing could reduce the amount of oil and natural gas that we are ultimately able to produce. Some states and localities have placed additional regulatory burdens upon hydraulic fracturing activities and, in some areas, severely restricted or prohibited those activities. For example, in recent years, various bills have been introduced in the New Mexico legislature to place a moratorium on, ban or otherwise restrict hydraulic fracturing, including prohibiting the injection of fresh water in such operations.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Hydraulic fracturing is generally exempted from federal regulation as underground injection (unless diesel is a component of the fracturing fluid) under the SDWA. If the exemption for hydraulic fracturing is removed from the SDWA, or if other legislation is enacted at the federal, state or local level imposing any restrictions on the use of hydraulic fracturing, this could have a material adverse impact on our financial condition, results of operations and cash flows. Additional burdens upon hydraulic fracturing,</w:t>
      </w:r>
    </w:p>
    <w:p>
      <w:pPr>
        <w:spacing w:after="0" w:line="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such as reporting or permitting requirements, would result in additional expense and delay in our operations. See “Risk Factors—Risks Related to Laws and Regulations—Federal and state legislation and regulatory initiatives relating to hydraulic fracturing could result in increased costs and additional operating restrictions or delays” and “Risk Factors—Risks Related to Laws and Regulations—Approximately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 Regulation</w:t>
      </w:r>
    </w:p>
    <w:p>
      <w:pPr>
        <w:spacing w:after="0" w:line="11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exploration, development, production, gathering and processing of oil and natural gas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the Oil Pollution Act of 1990 (the “OPA 90”), the Clean Water Act (the “CWA”), the Comprehensive Environmental Response, Compensation, and Liability Act (“CERCLA”), the Resource Conservation and Recovery Act (“RCRA”), the CAA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or limit the injection of produced water into disposal wells below the rates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88"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w:t>
      </w:r>
    </w:p>
    <w:p>
      <w:pPr>
        <w:spacing w:after="0" w:line="7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w:t>
      </w:r>
    </w:p>
    <w:p>
      <w:pPr>
        <w:spacing w:after="0" w:line="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84"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spacing w:after="0" w:line="8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non-compliance with air permits or other requirements of the CAA and associated state laws and regulations. On August 16, 2022, the IRA created the Methane Emissions Reduction Program to incentivize methane emission reductions and impose a waste emissions charge on greenhouse gas emissions from certain facilities that exceed specified emissions levels. However, the OBBBA delayed implementation of the waste emissions charges for the oil and gas industry until 2034. See “Risk Factors—Risks Related to Laws and Regulations—New regulations on all emissions from our operations could cause us to incur significant costs.”</w:t>
      </w:r>
    </w:p>
    <w:p>
      <w:pPr>
        <w:spacing w:after="0" w:line="75"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(“NDC”), which set greenhouse gas emission reduction goals, every five years beginning in 2020. The United States exited the Paris Agreement in November 2020, but rejoined the agreement effective February 19, 2021. In April 2021, the United States made its NDC submittal, setting an emissions reduction goal of a 50 to 52% reduction from 2005 levels in economy-wide net greenhouse gas pollution in 2030. Further, in November 2021, the United States and other countries entered into the Glasgow Climate Pact, which included a range of measures designed to address climate change, including the phase-out of fossil fuel subsidies, reducing methane emissions 30% by 2030 and cooperating toward the advancement of the development of alternative sources of energy. However, the Trump administration changed course on the United States’ participation in international climate initiatives. In January 2025, the Trump administration issued an executive order directing the U.S. Ambassador to the United Nations to immediately submit formal written notification of the U.S.’s withdrawal from the Paris Agreement and any agreement, pact, accord or similar commitment made under the United Nations Framework Convention on Climate Change, which would include the Glasgow Climate Pact, and the U.S. Ambassador to the United Nations has submitted formal notifications to the United Nations of such withdrawals. The withdrawal of the United States from the Paris Agreement took effect on January 27, 2026. Certain states, including New Mexico, joined the U.S. Climate Alliance and have issued regulations aimed at supporting the goals of the Paris Agreement.</w:t>
      </w:r>
    </w:p>
    <w:p>
      <w:pPr>
        <w:spacing w:after="0" w:line="8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The New Mexico Environment Department (“NMED”) and the NMOCD both issued regulations in response to the governor’s executive order, limiting some aspects of oil and gas operations in the state.</w:t>
      </w:r>
    </w:p>
    <w:p>
      <w:pPr>
        <w:spacing w:after="0" w:line="7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January 2025, the NMED announced that, due to budget constraints, the NMED Cabinet Secretary will issue a temporary emergency rule to suspend deadlines to issue air permits. Air permits are required for the construction of new oil and gas production facilities or the modification of existing facilities in New Mexico. Whether this announcement will result in meaningful delays or cancellation of our permit applications is uncertain. Any interruption in our ability to timely obtain air permits could result in delays in or an inability to proceed with our development plans for our oil and natural gas operations.</w:t>
      </w:r>
    </w:p>
    <w:p>
      <w:pPr>
        <w:spacing w:after="0" w:line="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example, on March 8, 2024, the EPA issued a final rule to regulate emissions from oil and natural gas sources that includes NSPS to limit greenhouse gas and volatile organic compound emissions for new, modified or reconstructed sources, as well as emissions guidelines for states to follow when establishing plans to limit methane emissions from existing sources. On December 3, 2025, the EPA issued a final rule extending certain compliance deadlines in the March 8, 2024 rule. Additionally, on November 17, 2023, the EPA issued a final rule that enables states to implement more stringent methane emissions standards than the federal guidelines require. As another example, in April 2024, the EPA issued a final consent decree that established a December 10, 2024 deadline for the EPA to review and propose revisions to the National Emission Standards for Hazardous Air Pollutants (“NESHAP”) for oil and natural gas production facilities and natural gas transmission and storage facilities, which may require us to make additional changes to our operations. The EPA has not yet proposed any such revisions.</w:t>
      </w:r>
    </w:p>
    <w:p>
      <w:pPr>
        <w:spacing w:after="0" w:line="8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February 18, 2026, the EPA published a final rule rescinding the Endangerment Finding, which underpins the EPA’s regulation of greenhouse gas emissions. The rescission has been challenged in court, which could result in the rescission being stayed, overturned or limited in scope or effect. See “Regulation—Oil and Natural Gas Regulation” for additional information.</w:t>
      </w:r>
    </w:p>
    <w:p>
      <w:pPr>
        <w:spacing w:after="0" w:line="6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preparing for or responding to those effects” and “Risk Factors—Risks Related to Laws and Regulations—New regulations on all emissions from our operations could cause us to incur significant costs.”</w:t>
      </w:r>
    </w:p>
    <w:p>
      <w:pPr>
        <w:spacing w:after="0" w:line="54" w:lineRule="exact"/>
        <w:rPr>
          <w:sz w:val="20"/>
          <w:szCs w:val="20"/>
          <w:color w:val="auto"/>
        </w:rPr>
      </w:pPr>
    </w:p>
    <w:p>
      <w:pPr>
        <w:ind w:right="60" w:firstLine="405"/>
        <w:spacing w:after="0" w:line="246" w:lineRule="auto"/>
        <w:rPr>
          <w:sz w:val="20"/>
          <w:szCs w:val="20"/>
          <w:color w:val="auto"/>
        </w:rPr>
      </w:pPr>
      <w:r>
        <w:rPr>
          <w:rFonts w:ascii="Times New Roman" w:cs="Times New Roman" w:eastAsia="Times New Roman" w:hAnsi="Times New Roman"/>
          <w:sz w:val="18"/>
          <w:szCs w:val="18"/>
          <w:color w:val="auto"/>
        </w:rPr>
        <w:t>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w:t>
      </w:r>
    </w:p>
    <w:p>
      <w:pPr>
        <w:spacing w:after="0" w:line="87"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72" w:lineRule="exact"/>
        <w:rPr>
          <w:sz w:val="20"/>
          <w:szCs w:val="20"/>
          <w:color w:val="auto"/>
        </w:rPr>
      </w:pPr>
    </w:p>
    <w:p>
      <w:pPr>
        <w:ind w:right="140" w:firstLine="405"/>
        <w:spacing w:after="0" w:line="272" w:lineRule="auto"/>
        <w:rPr>
          <w:sz w:val="20"/>
          <w:szCs w:val="20"/>
          <w:color w:val="auto"/>
        </w:rPr>
      </w:pPr>
      <w:r>
        <w:rPr>
          <w:rFonts w:ascii="Times New Roman" w:cs="Times New Roman" w:eastAsia="Times New Roman" w:hAnsi="Times New Roman"/>
          <w:sz w:val="17"/>
          <w:szCs w:val="17"/>
          <w:color w:val="auto"/>
        </w:rPr>
        <w:t>The Endangered Species Act (“ESA”) was established to protect endangered and threatened species. Pursuant to the ESA, if a species is listed as threatened or endangered, restrictions may be imposed on activities adversely affecting that species’ habitat. For example, when the USFWS issues a final rule listing a species as endangered or threatened, the USFWS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and our ability to maximize production from our leases may be adversely impacted by these restrictions. See “Risk Factors—Risks Related to Laws and Regulations—We are subject to government regulation and liability, including complex environmental laws, which could require significant expenditures.”</w:t>
      </w:r>
    </w:p>
    <w:p>
      <w:pPr>
        <w:spacing w:after="0" w:line="6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environmental laws and regulations will not be adopted or that we will not otherwise incur material expenses in connection with environmental laws and regulations in the future. The overall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or unwilling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 See “Risk Factors—Risks Related to Laws and Regulations—We are subject to government regulation and liability, including complex environmental laws, which could require significant expenditures.”</w:t>
      </w:r>
    </w:p>
    <w:p>
      <w:pPr>
        <w:spacing w:after="0" w:line="8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Oil and natural gas exploration and production operations and other activities have been conducted on some of our properties by previous owners and operators. Operations by previous owners and operators may not have been conducted in compliance with applicable rules and regulations, and materials from these operations may remain on some of the properties, and, in some instances, require remediation. In addition, we occasionally must agree to indemnify sellers and buyers, respectively, of producing properties against some of the liability for environmental claims or violations associated with the properties we purchase or sell, respectively.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spacing w:after="0" w:line="80"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We maintain insurance against some, but not all, potential risks and losses associated with our industry and operations. We generally do not carry business interruption insurance other than with respect to our midstream business.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Location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corporate headquarters are located at One Lincoln Centre, 5400 LBJ Freeway, Suite 1500, Dallas, Texas 75240.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At December 31, 2025, we had 483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and complete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Recruiting, Retention and Professional Development</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 employee stock purchase plan and an affordable and comprehensive health insurance program, among other benefits. We also provide employees the opportunity to have significant responsibility and daily interaction with our executive management and team leaders.</w:t>
      </w:r>
    </w:p>
    <w:p>
      <w:pPr>
        <w:spacing w:after="0" w:line="7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We encourage continuing education and study, requiring every employee to complete at least 40 hours of professional training annually. In 2025, for example, our employees completed approximately 26,800 hours of continuing education and study, equating to approximately 56 hours per employee. We also have a leadership program that fosters the development and growth of many of our staff with meetings and opportunities to enhance their leadership skills.</w:t>
      </w:r>
    </w:p>
    <w:p>
      <w:pPr>
        <w:spacing w:after="0" w:line="72"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We respect cultural diversity and do not tolerate harassment or discrimination of any kind, including discrimination based on race, color, ethnicity, religion, gender, sexual orientation, gender identity, age, national origin, disability and veteran or marital status.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Proactive Safety Culture</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proud to have a company culture that emphasizes safety throughout our operations. Our Health, Safety and Environmental (“HSE”) group and our experienced field and office staff involved in our drilling, completion, production and midstream operations proactively work to minimize safety risks and address any potential areas of concern.</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i w:val="1"/>
          <w:iCs w:val="1"/>
          <w:color w:val="auto"/>
        </w:rPr>
        <w:t>www.matadorresources.com</w:t>
      </w:r>
      <w:r>
        <w:rPr>
          <w:rFonts w:ascii="Times New Roman" w:cs="Times New Roman" w:eastAsia="Times New Roman" w:hAnsi="Times New Roman"/>
          <w:sz w:val="18"/>
          <w:szCs w:val="18"/>
          <w:color w:val="auto"/>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Executive Committee, Nominating and Corporate Governance Committee and Strategic Planning and Compensation Committee, our Code of Ethics and Business Conduct for Officers, Directors and Employees and information regarding certain of our sustainability practices, investor presentations, press releases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that could materially adversely affect our business, financial condition, results of operations and cash flows. You should read this summary together with the more detailed risk factors contained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Financial Condition</w:t>
      </w:r>
    </w:p>
    <w:p>
      <w:pPr>
        <w:spacing w:after="0" w:line="6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the prices of oil, natural gas and NGLs, the volatility of which may adversely affect our financial condition.</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and the broader U.S. economy have experienced higher than expected inflationary pressures in recent years.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impact of armed conflicts, including the ongoing military conflicts between Russia and Ukraine and in the Middle East.</w:t>
      </w: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substantial capital expenditures that may exceed our cash flows from operations and potential borrowings.</w:t>
      </w:r>
    </w:p>
    <w:p>
      <w:pPr>
        <w:ind w:left="660" w:hanging="328"/>
        <w:spacing w:after="0" w:line="24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oil and natural gas reserves are estimated, and significant inaccuracies in our oil and natural gas reserves estimates or underlying assumptions will materially affect the quantities and present value of our reserves.</w:t>
      </w:r>
    </w:p>
    <w:p>
      <w:pPr>
        <w:spacing w:after="0" w:line="1" w:lineRule="exact"/>
        <w:rPr>
          <w:rFonts w:ascii="Times New Roman" w:cs="Times New Roman" w:eastAsia="Times New Roman" w:hAnsi="Times New Roman"/>
          <w:sz w:val="18"/>
          <w:szCs w:val="18"/>
          <w:color w:val="auto"/>
        </w:rPr>
      </w:pPr>
    </w:p>
    <w:p>
      <w:pPr>
        <w:ind w:left="660" w:right="260" w:hanging="328"/>
        <w:spacing w:after="0" w:line="24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calculated present value of future net revenues from our proved oil and natural gas reserves will not necessarily be the same as the current market value of our estimated oil and natural gas reserves.</w:t>
      </w:r>
    </w:p>
    <w:p>
      <w:pPr>
        <w:spacing w:after="0" w:line="1" w:lineRule="exact"/>
        <w:rPr>
          <w:rFonts w:ascii="Times New Roman" w:cs="Times New Roman" w:eastAsia="Times New Roman" w:hAnsi="Times New Roman"/>
          <w:sz w:val="18"/>
          <w:szCs w:val="18"/>
          <w:color w:val="auto"/>
        </w:rPr>
      </w:pPr>
    </w:p>
    <w:p>
      <w:pPr>
        <w:ind w:left="660" w:right="340" w:hanging="328"/>
        <w:spacing w:after="0" w:line="23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39% of our total proved reserves at December 31, 2025 consisted of undeveloped and developed non-producing reserves, and those reserves may not ultimately be developed or produced.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replace our oil and natural gas reserves, our reserves and production will decline.</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write down the carrying value of our proved properties under accounting rules.</w:t>
      </w: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transactions, or the lack thereof, may limit our potential gains and could result in financial losses.</w:t>
      </w:r>
    </w:p>
    <w:p>
      <w:pPr>
        <w:ind w:left="660" w:right="560" w:hanging="328"/>
        <w:spacing w:after="0" w:line="24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differentials between benchmark prices of oil and natural gas and the wellhead price we receive for our production could adversely affect us.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identify, complete or integrate future acquisitions successfully could reduce our earnings and hamper our growth.</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purchase properties or midstream assets with liabilities or risks that we did not know about or assess correctly.</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or costs as a result of title deficiencies in the properties in which we invest.</w:t>
      </w:r>
    </w:p>
    <w:p>
      <w:pPr>
        <w:ind w:left="660" w:right="120" w:hanging="328"/>
        <w:spacing w:after="0" w:line="24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dispositions of assets, or interests in assets, may be subject to factors beyond our control, and in certain cases we may be required to retain liabilities for certain matters.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Liquidity</w:t>
      </w:r>
    </w:p>
    <w:p>
      <w:pPr>
        <w:spacing w:after="0" w:line="65" w:lineRule="exact"/>
        <w:rPr>
          <w:sz w:val="20"/>
          <w:szCs w:val="20"/>
          <w:color w:val="auto"/>
        </w:rPr>
      </w:pPr>
    </w:p>
    <w:p>
      <w:pPr>
        <w:ind w:left="660" w:right="720" w:hanging="328"/>
        <w:spacing w:after="0" w:line="24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fund our capital expenditures, service all of our indebtedness and pay dividends to our shareholders, and we may incur additional indebtedness, which could reduce our financial flexibility.</w:t>
      </w:r>
    </w:p>
    <w:p>
      <w:pPr>
        <w:ind w:left="660" w:right="220" w:hanging="328"/>
        <w:spacing w:after="0" w:line="24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base under our Credit Agreement is subject to periodic redetermination, and we are subject to interest rate risk under our Credit Agreement and the San Mateo Credit Facility.</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agreements governing our outstanding indebtedness may restrict our current and future operations.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 may be downgraded, which could reduce our financial flexibility.</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and repurchases of common stock are at the discretion of our Board of Directors and subject to numerous factors.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Operations</w:t>
      </w:r>
    </w:p>
    <w:p>
      <w:pPr>
        <w:spacing w:after="0" w:line="6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for and producing oil, natural gas and NGLs is highly speculative and involves a high degree of operational and financial risk.</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operational hazards and risks, and insurance against all such risks is not available to us.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and production are concentrated in a few core areas.</w:t>
      </w:r>
    </w:p>
    <w:p>
      <w:pPr>
        <w:ind w:left="660" w:hanging="328"/>
        <w:spacing w:after="0" w:line="23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we will be successful in optimizing our spacing, drilling and completions techniques.</w:t>
      </w:r>
    </w:p>
    <w:p>
      <w:pPr>
        <w:ind w:left="660" w:right="160" w:hanging="328"/>
        <w:spacing w:after="0" w:line="24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properties are in areas that may have been partially depleted or drained by offset wells, and certain of our wells may be adversely affected by actions of other operators.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Multi-well pad drilling may result in volatility in our operating results.</w:t>
      </w:r>
    </w:p>
    <w:p>
      <w:pPr>
        <w:ind w:left="660" w:right="240" w:hanging="328"/>
        <w:spacing w:after="0" w:line="24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or high cost of drilling rigs, completion equipment and services, supplies and personnel could adversely affect our ability to establish and execute exploration and development plans within budget and on a timely basis.</w:t>
      </w:r>
    </w:p>
    <w:p>
      <w:pPr>
        <w:spacing w:after="0" w:line="1" w:lineRule="exact"/>
        <w:rPr>
          <w:rFonts w:ascii="Times New Roman" w:cs="Times New Roman" w:eastAsia="Times New Roman" w:hAnsi="Times New Roman"/>
          <w:sz w:val="18"/>
          <w:szCs w:val="18"/>
          <w:color w:val="auto"/>
        </w:rPr>
      </w:pPr>
    </w:p>
    <w:p>
      <w:pPr>
        <w:ind w:left="660" w:right="240" w:hanging="328"/>
        <w:spacing w:after="0" w:line="24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acquire adequate supplies of water for our drilling and hydraulic fracturing operations or dispose of the water we use at a reasonable cost and pursuant to applicable environmental rules.</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 projects are subject to risks of construction delays and cost over-runs.</w:t>
      </w:r>
    </w:p>
    <w:p>
      <w:pPr>
        <w:spacing w:after="0" w:line="15" w:lineRule="exact"/>
        <w:rPr>
          <w:rFonts w:ascii="Times New Roman" w:cs="Times New Roman" w:eastAsia="Times New Roman" w:hAnsi="Times New Roman"/>
          <w:sz w:val="18"/>
          <w:szCs w:val="18"/>
          <w:color w:val="auto"/>
        </w:rPr>
      </w:pPr>
    </w:p>
    <w:p>
      <w:pPr>
        <w:ind w:left="660" w:right="560" w:hanging="328"/>
        <w:spacing w:after="0" w:line="24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identified drilling locations are scheduled over several years, making them susceptible to uncertainties and lease expirations that could materially alter the occurrence or timing of their drilling.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seismic data and other technologies we use cannot eliminate exploration risk.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Third Parties</w:t>
      </w:r>
    </w:p>
    <w:p>
      <w:pPr>
        <w:spacing w:after="0" w:line="65" w:lineRule="exact"/>
        <w:rPr>
          <w:sz w:val="20"/>
          <w:szCs w:val="20"/>
          <w:color w:val="auto"/>
        </w:rPr>
      </w:pPr>
    </w:p>
    <w:p>
      <w:pPr>
        <w:ind w:left="660" w:right="380" w:hanging="328"/>
        <w:spacing w:after="0" w:line="25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encountered by purchasers, operators or other third parties could decrease our cash flows from operations and adversely affect the exploration and development of our prospects and assets.</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marketability of our production is dependent upon gathering, processing and transportation facilities.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 portion of our operations through joint ventures, including San Mateo, which subjects us to certain risks.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Mateo’s long-term success depends on its ability to obtain new sources of products, which depends on certain factors beyond its control.</w:t>
      </w:r>
    </w:p>
    <w:p>
      <w:pPr>
        <w:ind w:left="660" w:right="660" w:hanging="328"/>
        <w:spacing w:after="0" w:line="24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long-term contracts require us to pay fees to our service providers based on minimum volumes regardless of actual volume throughput and may limit our ability to use other service providers.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own all of the land on which our midstream assets are located, which could disrupt our operations.</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is intense, and our competitors may use superior technology and data resources.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 upon which we may rely are subject to change.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control over activities on properties we do not operate.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65" w:lineRule="exact"/>
        <w:rPr>
          <w:sz w:val="20"/>
          <w:szCs w:val="20"/>
          <w:color w:val="auto"/>
        </w:rPr>
      </w:pPr>
    </w:p>
    <w:p>
      <w:pPr>
        <w:ind w:left="660" w:right="90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33% of our leasehold and mineral acres in the Delaware Basin is located on federal lands, which are subject to various requirements and regulations.</w:t>
      </w:r>
    </w:p>
    <w:p>
      <w:pPr>
        <w:ind w:left="660" w:hanging="328"/>
        <w:spacing w:after="0" w:line="23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complex environmental laws, which could require significant expenditures.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laws and may become subject to new taxes, or tax deductions currently available to us may be eliminated or reduced.</w:t>
      </w:r>
    </w:p>
    <w:p>
      <w:pPr>
        <w:ind w:left="660" w:right="80" w:hanging="328"/>
        <w:spacing w:after="0"/>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regulatory initiatives relating to hydraulic fracturing, induced seismicity, emissions and climate change could result in increased costs and additional operating restrictions or delays, and the physical effects of climate change could disrupt our production and cause us to incur significant costs.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climate disclosure rules proposed by the SEC or states in which we have operations or do business could increase our costs of compliance.</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and liabilities resulting from compliance with emissions or pipeline safety regulations.</w:t>
      </w:r>
    </w:p>
    <w:p>
      <w:pPr>
        <w:ind w:left="660" w:hanging="328"/>
        <w:spacing w:after="0" w:line="24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jurisdictional characterization of some of our assets by FERC or a change in policy by FERC may result in increased regulation of our assets.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our regulated assets are subject to review and reporting by federal regulators.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fail to comply with FERC-administered statutes, rules, regulations and orders, we could be subject to substantial penalties and fines.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legislation adopted by Congress could limit our ability to hedge risks associated with our business.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foreign trade policies may materially and adversely affect our business, operations and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6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fluctuated substantially and may fluctuate substantially in the future.</w:t>
      </w:r>
    </w:p>
    <w:p>
      <w:pPr>
        <w:spacing w:after="0" w:line="2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to ESG and conservation matters and a negative shift in market perception towards the oil and natural gas industry could adversely affect us.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offerings of our common stock could depress the price of our common stock.</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own a significant percentage of our equity, which could give them influence in corporate transactions and other matters, and their interests could differ from other shareholders.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preferred stock could diminish the rights of holders of our common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6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managing growth in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key personnel or Board member could disrupt our business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incident could occur and result in information theft, data corruption, operational disruption or financial loss.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governing documents and Texas law may have anti-takeover effects that could prevent a change in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litigious environment and may be involved in legal proceedings.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39" w:lineRule="exact"/>
        <w:rPr>
          <w:sz w:val="20"/>
          <w:szCs w:val="20"/>
          <w:color w:val="auto"/>
        </w:rPr>
      </w:pPr>
    </w:p>
    <w:p>
      <w:pPr>
        <w:ind w:right="60" w:firstLine="445"/>
        <w:spacing w:after="0" w:line="237" w:lineRule="auto"/>
        <w:rPr>
          <w:sz w:val="20"/>
          <w:szCs w:val="20"/>
          <w:color w:val="auto"/>
        </w:rPr>
      </w:pPr>
      <w:r>
        <w:rPr>
          <w:rFonts w:ascii="Times New Roman" w:cs="Times New Roman" w:eastAsia="Times New Roman" w:hAnsi="Times New Roman"/>
          <w:sz w:val="18"/>
          <w:szCs w:val="18"/>
          <w:color w:val="auto"/>
        </w:rPr>
        <w:t>The prices we receive for the oil, natural gas and NGLs we produce heavily influence our revenue, profitability, cash flow available for capital expenditures, the repayment of debt, the payment of cash dividends, if any, the repurchase of our common stock, if any, access to capital, borrowing capacity under our Credit Agreement and future rate of growth. Oil, natural gas and NGLs are commodities and, therefore, their prices are subject to wide fluctuations in response to relatively minor changes in supply and demand. Historically, the markets for oil, natural gas and NGLs have been volatile and will likely continue to be volatile in the future. For the year ended December 31, 2025, oil prices averaged $64.73 per Bbl, as compared to $75.76 per Bbl in 2024, ranging from a high of $80.04 per Bbl in mid-January to a low of $55.27 per Bbl in mid-December, based upon the WTI oil futures contract price for the earliest delivery date. For the year ended December 31, 2025, natural gas prices averaged $3.62 per MMBtu, as compared to $2.40 per MMBtu in 2024, based upon the NYMEX Henry Hub natural gas futures contract price for the earliest delivery date. During 2025, natural gas prices ranged from a low of $2.70 per MMBtu in late August to a high of $5.29 per MMBtu in early December.</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prices we receive for our production, and the levels of our production, depend on numerous factors. These factors include the following:</w:t>
      </w:r>
    </w:p>
    <w:p>
      <w:pPr>
        <w:spacing w:after="0" w:line="11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and foreign supply of, and demand for, oil, natural gas and NGLs;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OPEC+ and state-controlled oil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availability of competitors’ supplies of oil, natural gas and NGLs;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and exports;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dollar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of, and other financial market conditions affecting, oil and natural gas futures contracts;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proximity and capacity of gathering, processing and transportation systems for oil, natural gas and NGLs and gathering and disposal systems for produced water;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refining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availability of alternative fuel and energy 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 including floods, fires, tornadoes, droughts, hurricanes, tropical storms and severe cold weather;</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conflicts in or affecting oil, natural gas and NGL producing regions or countries, including the United States, the Middle East, South America, Russia, Ukraine and China;</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military conflicts between Russia and Ukraine and in the Middle East, as well as the related actions of U.S. and other governments and governmental organizations relating to oil, natural gas and NGLs, including through sanctions, embargoes, import restrictions and commodity price caps;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terrorism and the impact of military action and civil unrest;</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pressure on, and legislative and regulatory interest within, federal, state and local governments to stop, significantly limit or regulate oil, natural gas and NGL operations, including hydraulic fracturing, flaring, venting and produced water handling and disposal activities;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oil, natural gas and NGL inventories and exploration and production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restrictions and other supply chain constraints;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worldwide economic conditions.</w:t>
      </w:r>
    </w:p>
    <w:p>
      <w:pPr>
        <w:spacing w:after="0" w:line="11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These factors make it difficult to predict future commodity price movements with any certainty. Substantially all of our oil, natural gas and NGL sales are made in the spot market or pursuant to contracts based on spot market prices and are not</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long-term fixed price contracts. Further, oil, natural gas and NGL prices do not necessarily fluctuate in direct relation to each other.</w:t>
      </w:r>
    </w:p>
    <w:p>
      <w:pPr>
        <w:spacing w:after="0" w:line="11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Declines in oil, natural gas or NGL prices not only reduce our revenue, but could also reduce the amount of oil, natural gas and NGLs that we can produce economically and, as a result, could have a material adverse effect on our financial condition, results of operations, cash flows and reserves and our ability to comply with the financial covenants under our Credit Agreement. Should oil, natural gas or NGL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84"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Our industry and the broader U.S. economy have experienced higher than expected inflationary pressures in recent years. Should these conditions persist, it may impact our ability to procure services, materials and equipment on a cost-effective basis, or at all, and, as a result, our business, financial condition, results of operations and cash flows could be materially and adversely affected.</w:t>
      </w:r>
    </w:p>
    <w:p>
      <w:pPr>
        <w:spacing w:after="0" w:line="67"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Although inflation in the U.S. softened in 2024 and 2025, prices for many services, materials and equipment have remained elevated relative to pre-2022 levels. Since 2022, we have experienced significant increases in the costs of certain oilfield services, materials and equipment, including diesel, steel, labor, trucking, sand, personnel and completion costs, among others. Supply and demand fundamentals have been aggravated by disruptions in global energy supply caused by multiple geopolitical events, including the ongoing military conflicts between Russia and Ukraine and in the Middle East, as well as related actions of the U.S. and other governments and governmental organizations relating to oil, natural gas and NGLs, including through sanctions, embargoes, import restrictions and commodity price caps. Should oil and natural gas prices increase, we expect to be subject to additional supply chain constraints and service cost inflation in future periods, which may increase our costs to drill, complete, equip and operate wells. In addition, supply chain disruptions and other inflationary pressures affecting the U.S. and global economy and the oil and natural gas industry may limit our ability to procure the necessary products and services we need for drilling, completing and producing wells in a timely and cost-effective manner, which could result in reduced margins and delays to our operations and could, in turn, have a material adverse effect on our business, financial condition, results of operations and cash flows.</w:t>
      </w:r>
    </w:p>
    <w:p>
      <w:pPr>
        <w:spacing w:after="0" w:line="136"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We cannot predict the impact of armed conflicts, including the ongoing military conflicts between Russia and Ukraine and in the Middle East, and the related humanitarian crises on the global economy, energy markets, geopolitical stability and our business.</w:t>
      </w:r>
    </w:p>
    <w:p>
      <w:pPr>
        <w:spacing w:after="0" w:line="5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Although our leasehold acreage is located primarily in the Delaware Basin, the occurrence or threat of terrorist attacks in the U.S. or any of the major energy producing regions of the world or elsewhere, anti-terrorist efforts and other armed conflicts involving the U.S. or other countries, including the conflicts between Russia and Ukraine and in the Middle East, which may include further sanctions, embargoes, export controls, supply chain disruptions, regional instability and geopolitical shifts, may have adverse effects on global macroeconomic conditions, increase volatility in the price and demand for oil and natural gas, increase exposure to cyberattacks (including cyberattacks targeting energy and pipeline infrastructure), cause disruptions in global supply chains, increase transportation and insurance costs, increase foreign currency fluctuations, cause constraints or disruption in the capital markets and limit sources of liquidity. Additionally, destructive forms of protest and opposition by extremists and other disruptions, including acts of sabotage or eco-terrorism, against oil and natural gas activities could potentially result in personal injury to persons, damages to property, natural resources or the environment, or lead to extended interruptions of our or our customers’ operations. If any of these events occur, the resulting political instability and societal disruption could reduce overall demand for oil and gas. Oil and gas related facilities could be direct targets of terrorist attacks, and our operations could be adversely impacted if infrastructure integral to our or our customers’ operations is destroyed or damaged. Expenses related to security and costs for insurance may increase as a result of these threats, and some insurance coverage may become more difficult to obtain, if available at all. We cannot predict the extent of these events’ effects on our business and results of operations as well as on the global economy and energy markets.</w:t>
      </w:r>
    </w:p>
    <w:p>
      <w:pPr>
        <w:spacing w:after="0" w:line="131"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17"/>
          <w:szCs w:val="17"/>
          <w:i w:val="1"/>
          <w:iCs w:val="1"/>
          <w:color w:val="auto"/>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29"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Our exploration, development, exploitation and midstream activities are capital intensive. Our cash, operating cash flows, contributions from our joint venture partners and potential future borrowings under our Credit Agreement, the San Mateo Credit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Facility or otherwise may not be sufficient to fund all of our future capital expenditures or future acquisitions. The rate of our future growth is dependent, at least in part, on our ability to access capital at rates and on terms we determine to be acceptable.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flows from operations and access to capital are subject to a number of variables, including:</w:t>
      </w:r>
    </w:p>
    <w:p>
      <w:pPr>
        <w:spacing w:after="0" w:line="1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proved oil and natural gas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oil and natural gas we produce;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sell our production and prevailing basis differentials;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producing our oil and natural gas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constructing, operating and maintaining our midstream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third-party customers for our midstream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locate and produce new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banks or other financial institutions to lend to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equity and debt capital markets.</w:t>
      </w:r>
    </w:p>
    <w:p>
      <w:pPr>
        <w:spacing w:after="0" w:line="117"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In addition, the possible occurrence of future events, such as decreases in the prices of oil and natural gas, or extended periods of such decreased prices, terrorist attacks, wars or combat peace-keeping missions, financial market disruptions, failures of banks, general economic recessions, oil and natural gas industry recessions, oil and natural gas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spacing w:after="0" w:line="7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develop our properties, pay for higher service costs, fund acquisitions, increase our rate of growth, or expand our midstream operations,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spacing w:after="0" w:line="8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5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process of estimating accumulations of oil and natural gas is complex and inexact due to numerous inherent uncertainties. This process relies on interpretations of available geological, geophysical, petrophysical, engineering and production data. The extent, quality and reliability of this technical data and the associated interpretations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7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quantity of available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that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persons preparing the estimate;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used.</w:t>
      </w:r>
    </w:p>
    <w:p>
      <w:pPr>
        <w:spacing w:after="0" w:line="117" w:lineRule="exact"/>
        <w:rPr>
          <w:sz w:val="20"/>
          <w:szCs w:val="20"/>
          <w:color w:val="auto"/>
        </w:rPr>
      </w:pPr>
    </w:p>
    <w:p>
      <w:pPr>
        <w:ind w:right="360" w:firstLine="445"/>
        <w:spacing w:after="0" w:line="261" w:lineRule="auto"/>
        <w:rPr>
          <w:sz w:val="20"/>
          <w:szCs w:val="20"/>
          <w:color w:val="auto"/>
        </w:rPr>
      </w:pPr>
      <w:r>
        <w:rPr>
          <w:rFonts w:ascii="Times New Roman" w:cs="Times New Roman" w:eastAsia="Times New Roman" w:hAnsi="Times New Roman"/>
          <w:sz w:val="18"/>
          <w:szCs w:val="18"/>
          <w:color w:val="auto"/>
        </w:rPr>
        <w:t>The accuracy of any estimates of proved oil and natural gas reserves generally increases with the length of production history. Due to the limited production history of certain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redetermined on at least an annual basis and may be adjusted to reflect new information based upon our actual production history, results of exploration and development, prevailing oil and natural gas prices and other factors.</w:t>
      </w:r>
    </w:p>
    <w:p>
      <w:pPr>
        <w:spacing w:after="0" w:line="54"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6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The calculated present value of future net revenues from our proved oil and natural gas reserves will not necessarily be the same as the current market value of our estimated oil and natural gas reserves.</w:t>
      </w:r>
    </w:p>
    <w:p>
      <w:pPr>
        <w:spacing w:after="0" w:line="52"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7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prices we receive for oil and natural gas;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costs and timing of development and production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actual production;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taxation.</w:t>
      </w:r>
    </w:p>
    <w:p>
      <w:pPr>
        <w:spacing w:after="0" w:line="117"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addition, the 10% discount factor that is required to be used to calculate discounted future net revenues for reporting purposes under GAAP is not necessarily the most appropriate discount factor based on the cost of capital in effect from time to time and risks associated with our business and the oil and natural gas industry in general.</w:t>
      </w:r>
    </w:p>
    <w:p>
      <w:pPr>
        <w:spacing w:after="0" w:line="6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Approximately 39% of our total proved reserves at December 31, 2025 consisted of undeveloped and developed non-producing reserves, and those reserves may not ultimately be developed or produced.</w:t>
      </w:r>
    </w:p>
    <w:p>
      <w:pPr>
        <w:spacing w:after="0" w:line="5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At December 31, 2025, approximately 39% of our total proved reserves were undeveloped and less than 1%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84"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Unless we replace our oil and natural gas reserves, our reserves and production will decline, which would adversely affect our business, financial condition, results of operations and cash flows.</w:t>
      </w:r>
    </w:p>
    <w:p>
      <w:pPr>
        <w:spacing w:after="0" w:line="52"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developing our assets in the Delaware Basin, an area with intense competition and industry activity. As a result of this activity, we may have difficulty growing our current production, acquiring new properties or securing necessary services and labor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8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We may be required to write down the carrying value of our proved properties under accounting rules, and these write-downs could adversely affect our financial condition.</w:t>
      </w:r>
    </w:p>
    <w:p>
      <w:pPr>
        <w:spacing w:after="0" w:line="52"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There is a risk that we will be required to write down the carrying value of our oil and natural gas properties when oil or natural gas prices are low or are declining, as occurred in 2020. In addition, non-cash write-downs may occur if we have:</w:t>
      </w:r>
    </w:p>
    <w:p>
      <w:pPr>
        <w:spacing w:after="0" w:line="5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adjustments to our estimated proved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estimates of development costs; or</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our exploration and development results.</w:t>
      </w:r>
    </w:p>
    <w:p>
      <w:pPr>
        <w:spacing w:after="0" w:line="117"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transactions, or the lack thereof, may limit our potential gains and could result in financial losses.</w:t>
      </w:r>
    </w:p>
    <w:p>
      <w:pPr>
        <w:spacing w:after="0" w:line="11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To manage our exposure to price risk, including price differential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 call option or swap, as applicable, and may offer protection if prices fall below the minimum price established by the put option or swap, as applicable, only to the extent of the volumes then hedged.</w:t>
      </w:r>
    </w:p>
    <w:p>
      <w:pPr>
        <w:spacing w:after="0" w:line="8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2025.</w:t>
      </w:r>
    </w:p>
    <w:p>
      <w:pPr>
        <w:spacing w:after="0" w:line="7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5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prices we receive for our oil and natural gas production often reflect a discount to the relevant benchmark 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w:t>
      </w:r>
    </w:p>
    <w:p>
      <w:pPr>
        <w:spacing w:after="0" w:line="7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spacing w:after="0" w:line="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Although the completion of additional oil and natural gas pipeline capacity from West Texas to the Texas Gulf Coast and other end markets improved these price differentials in the latter part of 2024 and early in 2025, these price differentials for natural gas remain wide and could widen further in future periods. Should we experience future periods of negative pricing for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natural gas as we have experienced historically, including in 2024 and 2025, we may again temporarily shut in certain high gas-oil ratio wells and take other actions to mitigate the impact on our realized natural gas prices and results.</w:t>
      </w:r>
    </w:p>
    <w:p>
      <w:pPr>
        <w:spacing w:after="0" w:line="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 component of our growth has come, and may continue to come, through acquisitions, and our failure to identify, complete or integrate future acquisitions successfully could reduce our earnings and hamper our growth.</w:t>
      </w:r>
    </w:p>
    <w:p>
      <w:pPr>
        <w:spacing w:after="0" w:line="5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7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addition, the success of our acquisitions will depend, in part, on our ability to realize the anticipated benefits and cost savings from integrating the acquired assets and operations into our business, and there can be no assurance that we will be able to successfully integrate or otherwise realize the anticipated benefits of our acquisitions. The inability to manage the integration of acquisitions effectively could reduce our focus on subsequent acquisitions and current operations and could negatively impact our results of operations and growth potential. Members of our management team may be required to devote considerable amounts of time to the integration process, which will decrease the time they will have to manage our business. Difficulties in integrating our acquisitions into our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spacing w:after="0" w:line="84" w:lineRule="exact"/>
        <w:rPr>
          <w:sz w:val="20"/>
          <w:szCs w:val="20"/>
          <w:color w:val="auto"/>
        </w:rPr>
      </w:pPr>
    </w:p>
    <w:p>
      <w:pPr>
        <w:ind w:left="660" w:right="2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our acquisitions operationally, in a manner that permits us to achieve the full revenue, expected cash flows and cost savings anticipated from such acquisitions;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realizing anticipated operating synergies;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environmental issues, unknown liabilities and unforeseen expenses, delays or regulatory conditions associated with such acquisitions.</w:t>
      </w:r>
    </w:p>
    <w:p>
      <w:pPr>
        <w:spacing w:after="0" w:line="11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Furthermore, our decision to acquire properties that are substantially different in operating or geologic characteristics or geographic locations from areas with which our staff is familiar may impact our productivity in such areas and may require additional investments in personnel and infrastructure. Our financial condition, results of operations and cash flows may fluctuate significantly from period to period as a result of the completion of significant acquisitions during particular periods.</w:t>
      </w:r>
    </w:p>
    <w:p>
      <w:pPr>
        <w:spacing w:after="0" w:line="72"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may engage in bidding and negotiation to complete successful acquisitions. We may be required to alter or increase substantially our capitalization to finance these acquisitions through the use of cash on hand, the borrowing of funds, the issuance of debt or equity securities, the sale of production payments, the sale or joint venture of midstream assets or oil and natural gas producing assets or acreage or otherwise. Our Credit Agreement, the San Mateo Credit Facility and the indentures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spacing w:after="0" w:line="5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may not perform inspections on every well, property or asset, and we may not be able to observe mechanical and environmental problems even when we conduct an inspection. Even when problems with a property or asset are identified, the seller may not be willing or financially able to give us contractual protection against any identified problems, and we may decide to assume environmental and other risks and liabilities in connection with properties or assets we acquire. If we acquire properties or assets with risks or liabilities we did not know about or that we did not assess correctly, our financial condition, results of operations and cash flows could be adversely affected as we settle claims and incur cleanup costs related to these liabilities.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losses or costs as a result of title deficiencies in the properties in which we invest.</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If an examination of the title history of a property that we have purchased reveals oil and natural gas leases or mineral interests were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spacing w:after="0" w:line="72" w:lineRule="exact"/>
        <w:rPr>
          <w:sz w:val="20"/>
          <w:szCs w:val="20"/>
          <w:color w:val="auto"/>
        </w:rPr>
      </w:pPr>
    </w:p>
    <w:p>
      <w:pPr>
        <w:ind w:right="60" w:firstLine="445"/>
        <w:spacing w:after="0" w:line="289" w:lineRule="auto"/>
        <w:rPr>
          <w:sz w:val="20"/>
          <w:szCs w:val="20"/>
          <w:color w:val="auto"/>
        </w:rPr>
      </w:pPr>
      <w:r>
        <w:rPr>
          <w:rFonts w:ascii="Times New Roman" w:cs="Times New Roman" w:eastAsia="Times New Roman" w:hAnsi="Times New Roman"/>
          <w:sz w:val="17"/>
          <w:szCs w:val="17"/>
          <w:color w:val="auto"/>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 landmen who perform the field work by examining records in the appropriate governmental office before attempting to acquire a lease or mineral interest.</w:t>
      </w:r>
    </w:p>
    <w:p>
      <w:pPr>
        <w:spacing w:after="0" w:line="5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A failure to cure any title defects may delay or prevent us from utilizing the associated leasehold right or mineral interest, which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spacing w:after="0" w:line="8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complete dispositions of assets, or interests in assets, may be subject to factors beyond our control, and in certain cases we may be required to retain liabilities for certain matters.</w:t>
      </w:r>
    </w:p>
    <w:p>
      <w:pPr>
        <w:spacing w:after="0" w:line="5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From time to time, we may sell a portion of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7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w:t>
      </w:r>
    </w:p>
    <w:p>
      <w:pPr>
        <w:spacing w:after="0" w:line="5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72"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debt service obligations, we may be forced to reduce or delay investments and capital expenditures, sell assets, cease the payment of any dividends to our shareholders, seek additional capital or restructure or refinance indebtedness. Our ability to restructure or refinance indebtedness will depend on the condition of the capital markets, the syndicated bank market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indentures governing our outstanding senior notes currently restrict our ability to dispose of assets and our use of the proceeds from such disposition. We may not be able to consummate those dispositions, and the proceeds of any such</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w:t>
      </w:r>
    </w:p>
    <w:p>
      <w:pPr>
        <w:spacing w:after="0" w:line="5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additional indebtedness, which could reduce our financial flexibility, increase interest expense and adversely impact our operations and our unit costs.</w:t>
      </w:r>
    </w:p>
    <w:p>
      <w:pPr>
        <w:spacing w:after="0" w:line="5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As of February 24, 2026, the maximum facility amount under the Credit Agreement was $3.50 billion, the borrowing base was $3.25 billion and our elected borrowing commitment was $2.25 billion. Borrowings under the Credit Agreement are limited to the lowest of the borrowing base, the maximum facility amount and the elected borrowing commitment (subject to compliance with the covenants noted below). As of February 24, 2026, we had available borrowing capacity of approximately $1.88 billion under our Credit Agreement (after giving effect to outstanding letters of credit and subject to our compliance with the covenants noted below).</w:t>
      </w:r>
    </w:p>
    <w:p>
      <w:pPr>
        <w:spacing w:after="0" w:line="7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of February 24, 2026, the facility amount under the San Mateo Credit Facility was $1.10 billion, and San Mateo had available borrowing capacity of approximately $296.6 million (after giving effect to outstanding letters of credit and subject to San Mateo’s compliance with the covenants noted below). The San Mateo Credit Facility includes an accordion feature, which provides for potential increases in the commitments of the lenders to up to $1.35 billion.</w:t>
      </w:r>
    </w:p>
    <w:p>
      <w:pPr>
        <w:spacing w:after="0" w:line="72"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In the future, subject to the restrictions in the indentures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high level of indebtedness could affect our operations in several ways, including:</w:t>
      </w:r>
    </w:p>
    <w:p>
      <w:pPr>
        <w:spacing w:after="0" w:line="1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significant portion of our cash flows to be used for servicing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are less leveraged and, therefore, may be able to take advantage of opportunities that our level of indebtedness may prevent us from pursuing;</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obtain additional financing in the future for working capital, capital expenditures, acquisitions and general corporate or other purposes;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that we may default on our debt obligations.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borrowing base under our Credit Agreement is subject to periodic redetermination.</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Since the borrowing base is subject to periodic redeterminations, if a redetermination resulted in a borrowing base that was less than our borrowings under the Credit Agreement, we could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interest rate risk under our Credit Agreement and the San Mateo Credit Facility.</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Our earnings are exposed to interest rate risk associated with borrowings under our Credit Agreement and the San Mateo Credit Facility. Borrowings under the Credit Agreement may be in the form of a base rate loan or a loan based on the secured overnight financing rate administered by the Federal Reserve Bank of New York (“SOFR”). If we borrow funds as a base rate loan, such borrowings will bear interest at a rate equal to the greatest of (i) the prime rate for such day, (ii) the Overnight Bank Funding Rate (as defined in the Credit Agreement) on such day, plus 0.50%, and (iii) the Daily Simple SOFR (as defined in the Credit Agreement) on such day, plus 1.00%, plus, in each case, an amount ranging from 0.75% to 1.75% depending on the level of borrowings under the Credit Agreement. If we borrow funds as a SOFR loan, such borrowings will bear interest at a rate equal to (x) Term SOFR (as defined in the Credit Agreement) for the chosen interest period plus (y) an amount ranging from 1.75% to 2.75% depending on the level of borrowings under the Credit Agreement. If we have outstanding borrowings under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Credit Agreement and interest rates increase, so will our interest costs, which may have a material adverse effect on our results of operations and financial condition.</w:t>
      </w:r>
    </w:p>
    <w:p>
      <w:pPr>
        <w:spacing w:after="0" w:line="5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Similarly, borrowings under the San Mateo Credit Facility may be in the form of a base rate loan or a SOFR loan. If San Mateo borrows funds as a base rate loan, such borrowings will bear interest at a rate equal to the greatest of (i) the prime rate for such day, (ii) the Federal Funds Effective Rate (as defined in the San Mateo Credit Facility) on such day, plus 0.50% and (iii) Term SOFR (as defined in the San Mateo Credit Facility) for a one month tenor, plus 1.00% plus, in each case, an amount ranging from 1.00% to 2.00% depending on San Mateo’s Consolidated Total Leverage Ratio (as defined in the San Mateo Credit Facility). If San Mateo borrows funds as a SOFR loan, such borrowings will bear interest at a rate equal to (x) Term SOFR for the chosen interest period plus (y) an amount ranging from 2.00% to 3.00% depending on San Mateo’s Consolidated Total Leverage Ratio. The applicable margin for base rate loans and SOFR loans under the San Mateo Credit Facility will be decreased by 0.25% in the event of a Notes Offering (as defined in the San Mateo Credit Facility) or a Qualified IPO (as defined in the San Mateo Credit Facility). If San Mateo has outstanding borrowings under the San Mateo Credit Facility and interest rates increase, so will San Mateo’s interest costs, which may have a material adverse effect on San Mateo’s results of operations and financial condition.</w:t>
      </w:r>
    </w:p>
    <w:p>
      <w:pPr>
        <w:spacing w:after="0" w:line="8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Credit Agreement and the San Mateo Credit Facility have floating rates tied to SOFR or other interest rate benchmarks that generally increase or decrease alongside changes in the federal funds rates. As a result, interest expense on our existing floating rate debt rose during 2022 and 2023 as the Federal Reserve increased interest rates, and our interest expense remained high during 2024. In 2025, the Federal Reserve lowered interest rates three times, resulting in decreased interest expense on our existing floating rate debt in 2025. In addition, interest rates on future credit facilities and debt offerings could be higher than current levels, causing our financing costs to increase accordingly.</w:t>
      </w:r>
    </w:p>
    <w:p>
      <w:pPr>
        <w:spacing w:after="0" w:line="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The terms of the agreements governing our outstanding indebtedness may restrict our current and future operations, particularly our ability to respond to changes in business or to take certain actions.</w:t>
      </w:r>
    </w:p>
    <w:p>
      <w:pPr>
        <w:spacing w:after="0" w:line="52" w:lineRule="exact"/>
        <w:rPr>
          <w:sz w:val="20"/>
          <w:szCs w:val="20"/>
          <w:color w:val="auto"/>
        </w:rPr>
      </w:pPr>
    </w:p>
    <w:p>
      <w:pPr>
        <w:jc w:val="both"/>
        <w:ind w:right="80" w:firstLine="445"/>
        <w:spacing w:after="0" w:line="261" w:lineRule="auto"/>
        <w:rPr>
          <w:sz w:val="20"/>
          <w:szCs w:val="20"/>
          <w:color w:val="auto"/>
        </w:rPr>
      </w:pPr>
      <w:r>
        <w:rPr>
          <w:rFonts w:ascii="Times New Roman" w:cs="Times New Roman" w:eastAsia="Times New Roman" w:hAnsi="Times New Roman"/>
          <w:sz w:val="18"/>
          <w:szCs w:val="18"/>
          <w:color w:val="auto"/>
        </w:rPr>
        <w:t>Our Credit Agreement, the San Mateo Credit Facility and the indentures governing our senior notes contain, and any future indebtedness we or San Mateo incur will likely contain, a number of restrictive covenants that impose significant operating and financial restrictions, including restrictions on our and San Mateo’s ability to engage in acts that may be in our best long-term interest. One or more of these agreements include covenants that restrict our or San Mateo’s ability to, among other things:</w:t>
      </w:r>
    </w:p>
    <w:p>
      <w:pPr>
        <w:spacing w:after="0" w:line="7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issue certain types of preferred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distributions or redeem, repurchase or retire our capital stock or subordinated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loans and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certain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FERC regulatory authority;</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dividends or other payments from our Restricted Subsidiaries (as defined in the indentures governing our outstanding senior notes) to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transfer all or substantially all of our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hedging agreements;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unrestricted subsidiaries.</w:t>
      </w:r>
    </w:p>
    <w:p>
      <w:pPr>
        <w:spacing w:after="0" w:line="11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our Credit Agreement, the San Mateo Credit Facility and the indentures governing our outstanding senior notes. For example, our Credit Agreement requires us to comply with certain financial covenants, including maintaining a specified debt to EBITDA ratio and current ratio. Low oil and natural gas prices or a decline in our oil or natural gas production may adversely impact our EBITDA, cash flows and debt levels, and therefore our ability to comply with these covenants.</w:t>
      </w:r>
    </w:p>
    <w:p>
      <w:pPr>
        <w:spacing w:after="0" w:line="72" w:lineRule="exact"/>
        <w:rPr>
          <w:sz w:val="20"/>
          <w:szCs w:val="20"/>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8"/>
          <w:szCs w:val="18"/>
          <w:color w:val="auto"/>
        </w:rPr>
        <w:t>Similarly, the San Mateo Credit Facility requires San Mateo to comply with certain financial covenants, including maintaining a specified debt to EBITDA ratio and interest coverage ratio. Lower revenues as a result of less volumes than anticipated, or otherwise, or an increase in interest rates may adversely impact San Mateo’s EBITDA and interest expense, and therefore San Mateo’s ability to comply with these covenants. For a summary of these financial restrictions and other covenants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our Credit Agreement, the San Mateo Credit Facility and the indentures governing our senior notes, see Note 7 to the consolidated financial statements in this Annual Report.</w:t>
      </w:r>
    </w:p>
    <w:p>
      <w:pPr>
        <w:spacing w:after="0" w:line="54"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In addition, a change in control (as defined in the Credit Agreement, the San Mateo Credit Facility and the indentures governing our senior notes) could result in an event of default or prepayment event under the applicable debt instrument, which could have an adverse effect on our business by limiting our ability to take advantage of financing, merger and acquisition, or other opportunities.</w:t>
      </w:r>
    </w:p>
    <w:p>
      <w:pPr>
        <w:spacing w:after="0" w:line="68"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Upon the occurrence of an event of default, all amounts outstanding under the applicable debt agreements could be declared to be immediately due and payable, all applicable commitments to extend further credit could be terminated and the lenders under such debt agreements could seek to foreclose on any liens securing such debt. If indebtedness under our Credit Agreement, the San Mateo Credit Facility or the indentures governing our outstanding senior notes is accelerated, there can be no assurance that we will have sufficient assets to repay such indebtedness. The operating and financial restrictions and covenants in these debt agreements and any future debt agreements could materially adversely affect our ability to finance future operations or capital needs or to engage in other business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credit rating may be downgraded, which could reduce our financial flexibility, increase interest expense and adversely impact our operations.</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February 24, 2026, our corporate credit ratings from S&amp;P Global Ratings, Moody’s Investors Service and Fitch Ratings were “BB-,” “Ba3” and “BB,” respectively. We cannot guarantee you that our credit ratings will remain in effect for any given period of time or that a rating will not be lowered or withdrawn entirely by a rating agency if, in its judgment, circumstances so warrant. For example, in March 2020, our corporate credit ratings from S&amp;P Global Ratings and Moody’s Investors Services were downgraded in connection with a sudden decline in oil prices in early 2020, although those ratings were subsequently upgraded. Any future downgrade could increase the cost of any indebtedness incurred in the future.</w:t>
      </w:r>
    </w:p>
    <w:p>
      <w:pPr>
        <w:spacing w:after="0" w:line="75"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7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The payment of dividends and the repurchase of shares of our common stock will be at the discretion of our Board of Directors and subject to numerous factors.</w:t>
      </w:r>
    </w:p>
    <w:p>
      <w:pPr>
        <w:spacing w:after="0" w:line="5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each of the first, second and third quarters of 2025, our Board declared quarterly cash dividends of $0.3125 per share of common stock. In October 2025, the Board amended our dividend policy to increase the quarterly dividend to $0.375 per share of common stock and also declared a quarterly cash dividend of $0.375 per share of common stock. In February 2026, the Board declared a quarterly cash dividend of $0.375 per share of common stock payable on March 10, 2026 to shareholders of record as of February 27, 2026. We intend to continue to pay a quarterly dividend in the future pursuant to the dividend policy adopted by our Board. However, the payment and amount of future dividend payments, if any, are subject to declaration by our Board. Such payments will depend on, among other things, our available cash, earnings, financial condition, capital requirements, level of indebtedness, stock price, statutory and contractual restrictions applicable to the payment of dividends and other considerations that our Board deems relevant. Cash dividend payments in the future may only be made out of legally available funds, and, if we experience substantial losses, such funds may not be available.</w:t>
      </w:r>
    </w:p>
    <w:p>
      <w:pPr>
        <w:spacing w:after="0" w:line="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April 2025, the Board approved the Share Repurchase Program authorizing the repurchase of up to $400.0 million of common stock. However, the timing and number of shares that we may repurchase under the Share Repurchase Program is subject to a variety of factors, including our stock price, market conditions, trading volume and other uses for our free cash flow. There can be no assurance regarding the exact number of shares to be repurchased by us, if any. Depending on market conditions and other factors, these repurchases may be commenced or suspended at any time or periodically without prior notice, and the Share Repurchase Program does not obligate us to acquire any amount of common stock.</w:t>
      </w:r>
    </w:p>
    <w:p>
      <w:pPr>
        <w:spacing w:after="0" w:line="75"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In addition, certain covenants in our Credit Agreement and the indentures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or repurchase shares of, our common stock and may cease such payments or repurchases at any time in the future. Any elimination of or downward revision in our dividend payout or Share Repurchase Program could have a material adverse effect on our stock price.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9"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Drilling for and producing oil, natural gas and NGLs is highly speculative and involves a high degree of operational and financial risk, with many uncertainties that could adversely affect our business.</w:t>
      </w:r>
    </w:p>
    <w:p>
      <w:pPr>
        <w:spacing w:after="0" w:line="5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 drilling, completion and operation. Before a well is spud, we may incur significant geological, geophysical and land costs, including seismic acquisition costs, which are incurred whether or not a well eventually produces commercial quantities of hydrocarbons, or is drilled at all. Exploration wells could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spacing w:after="0" w:line="8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w:t>
      </w:r>
    </w:p>
    <w:p>
      <w:pPr>
        <w:spacing w:after="0" w:line="8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the prices received for oil and natural gas;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obtaining equipment, including hydraulic fracturing equipment, and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electrical power sources or other infrastructure used in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drainage of oil and natural gas from our properties by operations on adjacent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or magnitude of faults or unanticipated geological features;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oilfield development and service tools;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equipment failures or mechanical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defects of the underlying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severance taxes;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that delay drilling activities or cause producing wells to be shut 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exploration, drilling, completion and production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to and capacity of gathering, processing, transportation and disposal facilities.</w:t>
      </w:r>
    </w:p>
    <w:p>
      <w:pPr>
        <w:spacing w:after="0" w:line="117"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Furthermore, our exploration and production operations involve using some of the latest drilling and completion techniques developed by us, other operators and service providers. Risks that we face while drilling and completing horizontal wells include:</w:t>
      </w:r>
    </w:p>
    <w:p>
      <w:pPr>
        <w:spacing w:after="0" w:line="5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landing our wellbore in the desired drilling zone;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staying in the desired drilling zone while drilling horizontally through the 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running our casing the entire length of the wellbore;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fracture stimulating the planned number of stages;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out the plugs between stages following hydraulic fracturing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able to run tools and other equipment consistently through the horizontal wellbore.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360" w:firstLine="445"/>
        <w:spacing w:after="0" w:line="266" w:lineRule="auto"/>
        <w:rPr>
          <w:sz w:val="20"/>
          <w:szCs w:val="20"/>
          <w:color w:val="auto"/>
        </w:rPr>
      </w:pPr>
      <w:r>
        <w:rPr>
          <w:rFonts w:ascii="Times New Roman" w:cs="Times New Roman" w:eastAsia="Times New Roman" w:hAnsi="Times New Roman"/>
          <w:sz w:val="18"/>
          <w:szCs w:val="18"/>
          <w:color w:val="auto"/>
        </w:rPr>
        <w:t>Each of these risks is magnified in wells with longer laterals. In 2025, the average completed lateral length for operated wells turned to sales was approximately 10,400 feet. If we do not drill productive and profitable wells in the future, our business, financial condition, results of operations, cash flows and reserves could be materially and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are subject to operational hazards and risks, which could result in significant damages and the loss of revenue.</w:t>
      </w:r>
    </w:p>
    <w:p>
      <w:pPr>
        <w:spacing w:after="0" w:line="119" w:lineRule="exact"/>
        <w:rPr>
          <w:sz w:val="20"/>
          <w:szCs w:val="20"/>
          <w:color w:val="auto"/>
        </w:rPr>
      </w:pPr>
    </w:p>
    <w:p>
      <w:pPr>
        <w:ind w:right="800" w:firstLine="445"/>
        <w:spacing w:after="0" w:line="282" w:lineRule="auto"/>
        <w:rPr>
          <w:sz w:val="20"/>
          <w:szCs w:val="20"/>
          <w:color w:val="auto"/>
        </w:rPr>
      </w:pPr>
      <w:r>
        <w:rPr>
          <w:rFonts w:ascii="Times New Roman" w:cs="Times New Roman" w:eastAsia="Times New Roman" w:hAnsi="Times New Roman"/>
          <w:sz w:val="18"/>
          <w:szCs w:val="18"/>
          <w:color w:val="auto"/>
        </w:rPr>
        <w:t>There are numerous operational hazards inherent in oil and natural gas exploration, development, production, gathering, transportation and processing, including:</w:t>
      </w:r>
    </w:p>
    <w:p>
      <w:pPr>
        <w:spacing w:after="0" w:line="5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including floods, fires, tornadoes, droughts, hurricanes, tropical storms and severe cold weather;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drilling fluid circulation;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blowouts where oil or natural gas flows uncontrolled at a wellhead;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cratering or collapse of the 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or cement leaks, failures or casing collapses;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pipelines, processing plants and disposal wells and associated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or explosions;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hazardous substances, toxic gases such as hydrogen sulfide or other waste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pressures or irregularities in formations;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117"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81"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Furthermore, our operations may be subject to curtailment due to seismic events. In 2021, the NMOCD established a statewide induced seismicity mitigation and response framework in response to seismic events in New Mexico. These protocols require enhanced reporting and varying levels of curtailment of injection rates for salt water disposal wells, including potentially shutting in wells, in the area of seismic events based on the magnitude, timing and proximity to the seismic event. If a seismic event were to occur in the area of our operations, the salt water disposal wells that we deliver to or operate may be shut in or curtailed, which may result in increased expenses or the curtailment of our oil and natural gas production. In addition, if such a seismic event occurred in the area of the Company’s or San Mateo’s operations, the Company or San Mateo may be required to shut in or curtail the volumes disposed in its salt water disposal wells. Previous seismic events have required the Company and San Mateo to curtail injection volumes and have increased reporting requirements for affected salt water disposal wells. Any such further events could adversely impact our and San Mateo’s revenues and cash flows.</w:t>
      </w:r>
    </w:p>
    <w:p>
      <w:pPr>
        <w:spacing w:after="0" w:line="80"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There are also significant risks associated with the operation of cryogenic natural gas processing plants such as the Marlan Processing Plant and the Black River Processing Plant. Natural gas and NGLs are volatile and explosive and may include carcinogens. Damage to or improper operation of the Black River Processing Plant or the Marlan Processing Plant could result in an explosion or the discharge of toxic gases, which could result in significant damage claims, interrupt a revenue source and prevent us from processing some or all of the natural gas produced from our wells or third-party wells located in nearby asset areas. Furthermore, if we were unable to process such natural gas, we may be forced to flare natural gas from, or shut in, the affected wells for an indefinite period of time.</w:t>
      </w:r>
    </w:p>
    <w:p>
      <w:pPr>
        <w:spacing w:after="0" w:line="7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addition, San Mateo’s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costs to access and transport on these third-party pipelines significantly increase, its profitability could be reduced. If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such increase in costs occurs, if any of these pipelines or other midstream facilities become unable to receive, transport, process or dispose of product, or if the volumes San Mateo gathers, processes or transports do not meet the product quality requirements of such pipelines or facilities, our and San Mateo’s revenues and cash flows could be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against all operational risks is not available to us.</w:t>
      </w:r>
    </w:p>
    <w:p>
      <w:pPr>
        <w:spacing w:after="0" w:line="11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Additionally, the proceeds of any such insurance may not be received in a timely manner. Losses and liabilities from uninsured and underinsured events and delays in the payment of insurance proceeds could have a material adverse effect on our business, financial condition, results of operations and cash flows.</w:t>
      </w:r>
    </w:p>
    <w:p>
      <w:pPr>
        <w:spacing w:after="0" w:line="8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Because our reserves and production are concentrated in a few core areas, problems with production in and markets for a particular area could have a material impact on our business.</w:t>
      </w:r>
    </w:p>
    <w:p>
      <w:pPr>
        <w:spacing w:after="0" w:line="5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Almost all of our current oil and natural gas production and our proved reserves are attributable to our properties in the Delaware Basin in Southeast New Mexico and West Texas and the Haynesville shale in Northwest Louisiana. In recent years, the Delaware Basin has become an area of increasing focus for us, and approximately 98% of our total oil and natural gas production for 2025 was attributable to our properties in the Delaware Basin. Since 2016, the vast majority of our capital expenditures have been allocated to the Delaware Basin. We expect that substantially all of our capital expenditures in 2026 will continue to be in the Delaware Basin, with the exception of amounts allocated to limited operations and certain non-operated well opportunities in our Haynesville shale position.</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or unscheduled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8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operations may also be adversely affected by weather conditions and events such as floods, fires, tornadoes, droughts, hurricanes, tropical storms and severe cold weather, resulting in delays in drilling and completions, damage to facilities and equipment and the inability to receive equipment or access personnel and products at affected job sites in a timely manner. For example, in recent years, the Delaware Basin has experienced periods of severe winter weather that impacted many operators. In particular, weather conditions and freezing temperatures have resulted in shut-ins of producing wells,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w:t>
      </w:r>
    </w:p>
    <w:p>
      <w:pPr>
        <w:spacing w:after="0" w:line="8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business, financial condition, results of operations and cash flows.</w:t>
      </w:r>
    </w:p>
    <w:p>
      <w:pPr>
        <w:spacing w:after="0" w:line="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There is no guarantee that we will be successful in optimizing our spacing, drilling and completions techniques in order to maximize our rate of return, cash flow from operations and shareholder value.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spacing w:after="0" w:line="7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Certain of our properties are in areas that may have been partially depleted or drained by offset wells, and certain of our wells may be adversely affected by actions other operators may take when drilling, completing or operating wells that they own.</w:t>
      </w:r>
    </w:p>
    <w:p>
      <w:pPr>
        <w:spacing w:after="0" w:line="5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Multi-well pad drilling may result in volatility in our operating results.</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utilize multi-well pad drilling where practical. Because wells drilled on a pad are not produced until other wells being drilled on the pad at the same time are drilled and completed,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 challenging in project development areas. Managing capital expenditures for infrastructure expansion could cause economic constraints when considering design capacity.</w:t>
      </w:r>
    </w:p>
    <w:p>
      <w:pPr>
        <w:spacing w:after="0" w:line="7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business, financial condition, results of operations and cash flows.</w:t>
      </w:r>
    </w:p>
    <w:p>
      <w:pPr>
        <w:spacing w:after="0" w:line="67"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Shortages or the high cost of drilling rigs, completion equipment and services, drill pipe, casing and other tubular goods,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drill pipe, casing and other tubular goods,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 available to us may negatively impact our ability to retain qualified service providers, or obtain such services at costs acceptable to us. Further, supply chain disruptions, tariffs and trade restrictions and other inflationary pressures affecting the United States and global economy and the oil and natural gas industry may limit our ability to procure the necessary products and services for drilling and completing wells in a timely and cost effective manner, which could result in reduced margins and delays in our drilling and completion activities which, in turn, could adversely affect our business, financial condition, results of operations and cash flows.</w:t>
      </w:r>
    </w:p>
    <w:p>
      <w:pPr>
        <w:spacing w:after="0" w:line="8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67"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(i) hydraulic fracturing, including the use of fresh water in such operations, or (ii) disposal of waste, including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and all of which could have a material adverse effect on our business, financial condition, results of operations and cash flows.</w:t>
      </w:r>
    </w:p>
    <w:p>
      <w:pPr>
        <w:spacing w:after="0" w:line="132"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Construction of midstream projects subjects us to risks of construction delays, cost over-runs, limitations on our growth and negative effects on our financial condition, results of operations, cash flows and liquidity.</w:t>
      </w:r>
    </w:p>
    <w:p>
      <w:pPr>
        <w:spacing w:after="0" w:line="5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From time to time, we, through San Mateo or otherwise, plan and construct midstream projects, some of which may take a number of months before commercial operation, such as construction of oil, natural gas and produced water gathering or transportation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financial condition and the ability of San Mateo to attract third-party customers. The construction of produced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Additionally, financing for these development projects may not be available on economically acceptable terms or at all.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spacing w:after="0" w:line="79"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Moreover, our revenues may not increase immediately, or at all, upon the expenditure of funds on a particular project. For instance, if we or San Mateo build additional gathering assets, the construction may occur over an extended period of time and we may not receive any material increases in revenues until the project is completed or at all. We or San Mateo may construct facilities to capture anticipated future production growth from our customers in an area where such growth does not materialize. As a result, new midstream assets may not be able to attract enough throughput to achieve our expected investment return, which could adversely affect our financial condition and results of operations.</w:t>
      </w:r>
    </w:p>
    <w:p>
      <w:pPr>
        <w:spacing w:after="0" w:line="7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Our identified drilling locations are scheduled over several years, making them susceptible to uncertainties that could materially alter the occurrence or timing of their drilling.</w:t>
      </w:r>
    </w:p>
    <w:p>
      <w:pPr>
        <w:spacing w:after="0" w:line="5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have become increasingly common in the Delaware Basin, we may have to cooperate with other operators to ensure that our acreage is included in drilling units or otherwise developed.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Certain of our unproved and unevaluated acreage is subject to leases that will expire over the next several years unless production is established on units containing the acreage.</w:t>
      </w:r>
    </w:p>
    <w:p>
      <w:pPr>
        <w:spacing w:after="0" w:line="52"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At December 31, 2025, we had leasehold interests in approximately 37,900 net acres across all of our areas of interest that are not currently held by production and are subject to leases with primary or renewed terms that expire prior to 2031.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7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5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1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Financial difficulties encountered by our oil, natural gas and NGL purchasers, third-party operators, third-party customers or other third parties could decrease our cash flows from operations and adversely affect the exploration and development of our prospects and assets.</w:t>
      </w:r>
    </w:p>
    <w:p>
      <w:pPr>
        <w:spacing w:after="0" w:line="5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each of the years ended December 31, 2025, 2024 and 2023, we had three significant purchasers that collectively accounted for approximately 72%, 79% and 76%, respectively, of our total oil, natural gas and NGL revenues. We cannot ensure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 Furthermore,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spacing w:after="0" w:line="8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addition to credit risk related to purchasers of our production, we also face credit risk through receivables from joint interest owners on properties we operate and from San Mateo’s customers. Joint interest receivables arise from billing entities that own partial interests in the wells we operate. These entities participate in our wells primarily based on their ownership in leases on which we drill. We are generally unable to control which co-owners participate in our wells. Liquidity and cash flow problems encountered by our joint interest owners or the third-party operators of our non-operated properties may prevent or delay the drilling of a well or the development of a project. Our joint interest 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adversely affected.</w:t>
      </w:r>
    </w:p>
    <w:p>
      <w:pPr>
        <w:spacing w:after="0" w:line="78"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7"/>
          <w:szCs w:val="17"/>
          <w:i w:val="1"/>
          <w:iCs w:val="1"/>
          <w:color w:val="auto"/>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spacing w:after="0" w:line="8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We may be required to shut in wells for lack of a market or because of inadequate or unavailable pipelines, gathering systems, treating, compression or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w:t>
      </w:r>
    </w:p>
    <w:p>
      <w:pPr>
        <w:spacing w:after="0" w:line="7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While we have entered into natural gas processing, treating, compression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 under such agreements if we do not meet the gathering or processing commitments, as applicable. For example, in the fourth quarter of 2025, we experienced temporary oil and natural gas pipeline and processing interruptions due to maintenance and constraints that are estimated to have resulted in approximately 3,600 BOE per day of less production. We may experience similar interruptions and processing capacity constraints in the future as we continue to explore and develop our Wolfcamp, Bone Spring and other liquids-rich plays in the Delaware Basin. If we were required to shut in our production for long periods of time due to pipeline interruptions or lack of processing facilities or capacity of these facilities, it could have a material adverse effect on our business, financial condition, results of operations and cash flows.</w:t>
      </w:r>
    </w:p>
    <w:p>
      <w:pPr>
        <w:spacing w:after="0" w:line="1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52"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own and operate substantially all of our midstream assets in Eddy County, New Mexico and Loving County, Texas and a significant proportion of our midstream assets in Lea County, New Mexico through San Mateo, and we have and may continue to enter into other joint venture arrangements in the future. The nature of a joint venture requires us to share a portion of control with unaffiliated third parties. Moreover, joint venture arrangements involve various risks and uncertainties, such as committing us to fund operating and/or capital expenditures, the timing and amount of which we may not control. In addition, if our joint venture partners do not fulfill their contractual, financial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certain joint ventures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business, financial condition, results of operations and cash flows.</w:t>
      </w:r>
    </w:p>
    <w:p>
      <w:pPr>
        <w:spacing w:after="0" w:line="8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Because of the natural decline in production in the regions of San Mateo’s midstream operations, San Mateo’s long-term success depend on its ability to obtain new sources of products, which depends on certain factors beyond San Mateo’s control. Any decrease in supplies to their midstream facilities could adversely affect San Mateo’s business and operating results.</w:t>
      </w:r>
    </w:p>
    <w:p>
      <w:pPr>
        <w:spacing w:after="0" w:line="67"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San Mateo’s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gathering systems and the utilization rate at its other midstream facilities, San Mateo must continually obtain new sources of products. San Mateo’s ability to obtain additional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sources of oil, natural gas, NGLs and produced water depends, in part, on the level of successful drilling and production activity near its gathering and transportation systems and other midstream facilities. San Mateo has no control over the level of activity in the areas of its operations, the amount of reserves associated with the wells or the rate at which production from a well will decline. In addition, San Mateo has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77"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5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we have entered into and may in the future enter into certain oil, natural gas or produced water gathering, treating, compression or transportation agreements, natural gas processing agreements, NGL transportation agreements, produced water disposal agreements or similar commercial arrangements with midstream companies, including San Mateo and its subsidiaries. Certain of these agreements require us to meet minimum volume commitments, often regardless of actual throughput. Reductions in our drilling activity could result in insufficient production to fulfill our obligations under these agreements. As of December 31, 2025, our long-term contractual obligations under agreements with minimum volume commitments totaled approximately $3.06 billion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pacing w:after="0" w:line="8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including our midstream business, even if such service providers are able to offer us more favorable pricing or more efficient service.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do not own all of the land on which our midstream assets are located, which could disrupt our operations.</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construct and operate our midstream assets on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pacing w:after="0" w:line="77" w:lineRule="exact"/>
        <w:rPr>
          <w:sz w:val="20"/>
          <w:szCs w:val="20"/>
          <w:color w:val="auto"/>
        </w:rPr>
      </w:pPr>
    </w:p>
    <w:p>
      <w:pPr>
        <w:ind w:right="260"/>
        <w:spacing w:after="0" w:line="315" w:lineRule="auto"/>
        <w:rPr>
          <w:sz w:val="20"/>
          <w:szCs w:val="20"/>
          <w:color w:val="auto"/>
        </w:rPr>
      </w:pPr>
      <w:r>
        <w:rPr>
          <w:rFonts w:ascii="Times New Roman" w:cs="Times New Roman" w:eastAsia="Times New Roman" w:hAnsi="Times New Roman"/>
          <w:sz w:val="17"/>
          <w:szCs w:val="17"/>
          <w:i w:val="1"/>
          <w:iCs w:val="1"/>
          <w:color w:val="auto"/>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29"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to market oil and natural gas and to secure trained personnel. Similarly, our midstream business, and particularly the success of San Mateo, depends in part on our ability to compete with other midstream service companies to attract third-party customers to our midstream facilities. San Mateo competes with other midstream companies that provide similar services in their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 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spacing w:after="0" w:line="7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addition, other companies may be able to offer better compensation packages to attract and retain qualified personnel than we are able to offer. The cost to attract and retain qualified personnel has increased in recent years due to a competitive labor market, inflation and other factors, and may increase substantially in the future. We may not be able to compete successfully in the future in acquiring prospective reserves, developing reserves, developing midstream assets, marketing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hydrocarbons, attracting and retaining quality personnel and raising additional capital, which could have a material adverse effect on our business, financial condition, results of operations and cash flows.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relationships upon which we may rely are subject to change, which may diminish our ability to conduct our operations.</w:t>
      </w:r>
    </w:p>
    <w:p>
      <w:pPr>
        <w:spacing w:after="0" w:line="11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To develop our business, we endeavor to use the business relationships of our management and Board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limited control over activities on properties we do not operate.</w:t>
      </w:r>
    </w:p>
    <w:p>
      <w:pPr>
        <w:spacing w:after="0" w:line="11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are not the operator on some of our properties in Northwest Louisiana, particularly in the Haynesville shale. We also have other non-operated acreage positions in Southeast New Mexico and West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7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expertise and financial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production of reserves, if 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other participants in drilling wells;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implementation or execution of technology.</w:t>
      </w:r>
    </w:p>
    <w:p>
      <w:pPr>
        <w:spacing w:after="0" w:line="11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119"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7"/>
          <w:szCs w:val="17"/>
          <w:i w:val="1"/>
          <w:iCs w:val="1"/>
          <w:color w:val="auto"/>
        </w:rPr>
        <w:t>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At December 31, 2025, Matador held approximately 212,500 net leasehold and mineral acres in the Delaware Basin, primarily in Eddy and Lea Counties, New Mexico and in Loving, Ward and Winkler Counties, Texas, of which approximately 70,900 net acres, or about 33%, was on federal lands administered by the BLM. In addition to permits issued by state and local authorities, oil and natural gas activities on federal lands also require permits from the BLM.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 BLM leases contain relatively standardized terms and require compliance with detailed regulations and orders, which are subject to change. These operations are also subject to BLM rules regarding engineering and construction specifications for</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At the federal level, various policy makers, regulatory agencies and political candidates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 material adverse impact on our business, financial condition, results of operations and cash flows.</w:t>
      </w:r>
    </w:p>
    <w:p>
      <w:pPr>
        <w:spacing w:after="0" w:line="80"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Oil and natural gas exploration and production activities on federal lands are also subject to NEPA, which requires federal agencies, including the Department of Interior, to evaluate major agency actions having the potential to significantly impact the environment. This process, including any additional requirements that may be implemented due to, or litigation regarding, the process, has the potential to delay or even halt development of future oil and natural gas projects subject to review under NEPA. See “Business—Regulation—Oil and Natural Gas Regulation.”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government regulation and liability, including complex environmental laws, which could require significant expenditures.</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exploration, development, production, gathering, processing, transportation and sale of oil and natural gas in the United States are subject to many federal, state and local laws, rules and regulations, including complex environmental laws and regulations. A change in the presidential administration, as well as a closely divided Congress,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spacing w:after="0" w:line="8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damage;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containment and clean-up of oil, produced water and other spills;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venting, flaring or other emissions;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disposal of hazardous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clean-up costs and natural resource damages;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damages.</w:t>
      </w:r>
    </w:p>
    <w:p>
      <w:pPr>
        <w:spacing w:after="0" w:line="11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related to the environment have 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our facilities are located, the owners of properties adjacent to or in close proximity to those properties or non-governmental organizations such as environmental groups, may also pursue legal actions against us based on alleged non-compliance with certain of these laws, rules and regulations. For example, a number of lawsuits have been filed in some states against others in our industry alleging that fluid injection or oil and natural gas extraction have caused damage to neighboring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properties or otherwise violated state and federal rules regulating waste disposal. Private parties may also pursue legal actions challenging permitting programs that authorize certain of our operations.</w:t>
      </w:r>
    </w:p>
    <w:p>
      <w:pPr>
        <w:spacing w:after="0" w:line="54"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migratory birds or various threatened or endangered species. For example, our participation in candidate conservation agreements or the USFWS’s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 material adverse impact on our business, financial condition, results of operations and cash flows. See “Business— Regulation.”</w:t>
      </w:r>
    </w:p>
    <w:p>
      <w:pPr>
        <w:spacing w:after="0" w:line="82"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6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7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Our federal and state income tax liabilities in 2026 and subsequent years will be dependent upon a variety of factors that will impact our taxable income, including oil and natural gas prices, allowable deductions and any legislative changes thereon, in addition to any tax credits generated that would offset tax liabilities in future periods.</w:t>
      </w:r>
    </w:p>
    <w:p>
      <w:pPr>
        <w:spacing w:after="0" w:line="68"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Additionally, U.S. federal income tax law provides for a 15% corporate minimum income tax for certain corporations with more than $1 billion in average adjusted financial statement income for the three-year tax period ending before the corporation’s current tax year. The impact of the 15% corporate minimum tax will depend on our results of operations each year. We do not expect such minimum tax to have any immediate material impact.</w:t>
      </w:r>
    </w:p>
    <w:p>
      <w:pPr>
        <w:spacing w:after="0" w:line="6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addition, from time to time there has been a significant amount of discussion by legislators and presidential administrations concerning a variety of energy tax proposals at the U.S. federal level. Periodically, legislation is introduced to eliminate certain key U.S. federal income tax preferences currently available to oil and natural gas exploration and production companies. Such changes include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passage of any such legislation or any other similar change in U.S. federal income or state tax law could affect certain tax deductions that are currently available with respect to oil and natural gas exploration and production activities and could negatively impact our financial condition, results of operations and cash flows.</w:t>
      </w:r>
    </w:p>
    <w:p>
      <w:pPr>
        <w:spacing w:after="0" w:line="8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Federal and state legislation and regulatory initiatives relating to hydraulic fracturing could result in increased costs and additional operating restrictions or delays.</w:t>
      </w:r>
    </w:p>
    <w:p>
      <w:pPr>
        <w:spacing w:after="0" w:line="52"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in March 2015, the BLM issued final rules, including new requirements relating to public disclosure, wellbore integrity and handling of flowback water, to regulate hydraulic fracturing on federal and Indian lands, but these rules never became effective. These rules were rescinded by rule in December 2017. The rescission was challenged, and the challenge remains pending before the Ninth Circuit Court of Appeals.</w:t>
      </w:r>
    </w:p>
    <w:p>
      <w:pPr>
        <w:spacing w:after="0" w:line="86"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Various policymakers, regulatory agencies and political candidates at the federal, state and local levels have proposed restrictions on hydraulic fracturing, including its outright prohibition. Any such restrictions on hydraulic fracturing on federal lands could adversely impact our operations in the Delaware Basin, and an outright prohibition would adversely impact essentially all of our operations. In addition, a number of states and local regulatory authorities are considering or have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implemented more stringent regulatory requirements applicable to hydraulic fracturing, including bans or moratoria on drilling that effectively prohibit further production of oil and natural gas through the use of hydraulic fracturing or similar operations.</w:t>
      </w:r>
    </w:p>
    <w:p>
      <w:pPr>
        <w:spacing w:after="0" w:line="54"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73"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7"/>
          <w:szCs w:val="17"/>
          <w:i w:val="1"/>
          <w:iCs w:val="1"/>
          <w:color w:val="auto"/>
        </w:rPr>
        <w:t>The potential adoption of federal, state and local legislation and regulations intended to address potential induced seismicity in the areas in which we operate could restrict our drilling and production activities and our midstream operations, as well as our ability to dispose of produced water gathered from such activities, which could decrease our and San Mateo’s revenues and result in increased costs and additional operating restrictions or delays.</w:t>
      </w:r>
    </w:p>
    <w:p>
      <w:pPr>
        <w:spacing w:after="0" w:line="4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have imposed additional regulatory or permitting requirements, including requirements regarding the permitting of salt water disposal wells or otherwise, to assess the relationship between seismicity and the use of such wells and have modified their regulations or guidance to mitigate potential causes of induced seismicity. See “Business—Regulation—Underground Injection and Hydraulic Fracturing.”</w:t>
      </w:r>
    </w:p>
    <w:p>
      <w:pPr>
        <w:spacing w:after="0" w:line="84"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Increased seismicity in areas in which we operate could result in additional regulation and restrictions on the use of injection wells by us or by third parties whom we may contract with to dispose of produced water. Additional regulation and attention given to induced seismicity could also lead to greater opposition, including litigation, to oil and natural gas activities. Any one or more of these developments may result in operational delays, increase our operating and compliance costs or otherwise adversely affect our operations.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curtailment of injection operations,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adversely impact our business, cash flows and results of operations and could decrease our and San Mateo’s revenues and result in increased costs and additional operating restrictions or delays.</w:t>
      </w:r>
    </w:p>
    <w:p>
      <w:pPr>
        <w:spacing w:after="0" w:line="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6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believe it is likely that scientific, public and political attention to issues concerning the extent, causes of and responsibility for climate change will continue, with the potential for further regulations and litigation that could affect our operations. Our operations result in greenhouse gas emissions. While the Trump administration has rolled back many regulations and findings related to greenhouse gas emissions and their effects on public health and welfare, a future administration may seek to impose new legislation or rules related to greenhouse gas emissions that could impact our operations. Further, various states have considered or adopted legislation that seeks to control or reduce emissions of greenhouse gases from a wide range of sources. In addition, the United States has at times been a party to certain international agreements, pacts and other commitments designed to address climate change and reduce greenhouse gas emissions, including the Paris Agreement and the Glasgow Climate Pact. For further discussion of these international commitments, see “Business—Regulation—Environmental, Health and Safety Regulation.”</w:t>
      </w:r>
    </w:p>
    <w:p>
      <w:pPr>
        <w:spacing w:after="0" w:line="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 August 16, 2022, the IRA created the Methane Emissions Reduction Program to incentivize methane emission reductions and, for the first time ever, impose a waste emissions charge on greenhouse gas emissions from certain facilities that exceed specified emissions levels. However, the OBBBA delayed implementation of the waste emissions charges for the oil and gas industry until 2034. The EPA has begun adopting and implementing a suite of regulations to restrict greenhouse gas emissions under existing provisions of the CAA and the authority of the IRA. In addition, some states, including New Mexico,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have implemented rules and regulations relating to greenhouse gas emissions. For further discussion of these federal and state regulations, see “Business— Regulation—Environmental, Health and Safety Regulation.”</w:t>
      </w:r>
    </w:p>
    <w:p>
      <w:pPr>
        <w:spacing w:after="0" w:line="54"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In a 2010 interpretative guidance on climate change disclosures, the SEC indicated that climate change could have an effect on the severity of weather (including hurricanes, droughts, floods and freezes),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impacts on our workforce, supply chain or distribution chain and increased costs for, or difficulty procuring consistent levels of, insurance coverage in the aftermath of such effects. Any future exploration and development activities and equipment could also be adversely affected by severe weather conditions, such as floods, fires, tornadoes, droughts, hurricanes, tropical storms or severe cold weather, which may cause a loss of production from temporary cessation of activity from regional power outages or lost or damaged facilities and equipment. Such severe weather conditions could also impact access to our drilling and production facilities for routine operations, maintenance and repairs and the availability of and our access to, necessary third-party services, such as gathering, processing, compression and transportation services. These constraints and the resulting shortages or high costs could delay or temporarily halt our operations and materially increase our operation and capital costs, which could have a material adverse effect on our business, financial condition and results of operations.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“—Risks Related to our 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8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Legislative and regulatory initiatives related to climate change and greenhouse gas emissions could, and in all likelihood would, require us to incur increased operating costs adversely affecting our profits,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depressing the prices we receive for oil and natural gas. Consequently, legislation and regulatory programs to reduce emissions of greenhouse gases could have a material adverse effect on our business, financial condition and results of operations. Additionally, the threat of climate change has resulted in increasing political risk in the United States as various policy makers, regulatory agencies and political candidates at the federal, state and local levels have at times proposed bans of new leases for production of minerals on federal properties and various restrictions on hydraulic fracturing, including its outright prohibition. Should these or other limitations or prohibitions be imposed or continue to be applied, our oil and natural gas operations on federal lands could be adversely impacted.</w:t>
      </w:r>
    </w:p>
    <w:p>
      <w:pPr>
        <w:spacing w:after="0" w:line="80"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Various policy makers, regulatory agencies and political candidates at the federal, state and local levels have identified climate change as a priority, and new executive orders, regulatory action and/or legislation targeting greenhouse gas emissions, promoting energy efficiency or the development and consumption of alternative forms of energy or prohibiting or restricting oil and natural gas development activities in certain areas, have been, or may in the future be, proposed and/or promulgated. While the Trump administration has revoked multiple Biden administration executive orders and rules regarding climate change, a future administration, or a state or local government, may impose new restrictions related to climate change and greenhouse gas emissions. For further discussion of these executive orders and other legislative and regulatory developments regarding climate change, see “Business— Regulation—Oil and Natural Gas Regulation.”</w:t>
      </w:r>
    </w:p>
    <w:p>
      <w:pPr>
        <w:spacing w:after="0" w:line="8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any event,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spacing w:after="0" w:line="77"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New climate disclosure rules adopted by the SEC or states in which we have operations or do business could increase our costs of compliance and adversely impact our business.</w:t>
      </w:r>
    </w:p>
    <w:p>
      <w:pPr>
        <w:spacing w:after="0" w:line="5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On March 6, 2024, the SEC adopted new rules that would require significantly expanded climate-related disclosures in SEC filings, including certain climate-related risks, climate-related metrics and greenhouse gas emissions, information about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climate-related targets and goals, transition plans, if any, and extensive attestation requirements (the “SEC Climate Disclosure Rules”). The SEC Climate Disclosure Rules included certain phase-in compliance dates for disclosure of material Scope 1 and 2 greenhouse gas emissions. Litigation challenging the SEC Climate Disclosure Rules was filed by multiple parties in multiple jurisdictions, which was consolidated and assigned to the U.S. Court of Appeals for the Eighth Circuit. On April 4, 2024, the SEC issued an order staying implementation of the SEC Climate Disclosure Rules while the U.S. Court of Appeals considered the litigation. On March 27, 2025, the SEC voted to end its defense of the SEC Climate Disclosure Rules in the litigation, and on July 23, 2025, it filed a status report requesting that the U.S. Court of Appeals proceed with the case and issue an opinion on the challenges to the climate disclosure rules. On September 12, 2025, the U.S. Court of Appeals denied the SEC’s request to proceed with the case and indicated that the case would be held in abeyance until the SEC either renews its defense of the rules or revises the rules through notice-and-comment rulemaking. Accordingly, it is not clear whether, when or in what form the SEC Climate Disclosure Rules will be implemented or the ultimate timing of required compliance with such rules, and at this time we cannot predict the costs of implementation or any potential adverse impacts resulting from the SEC Climate Disclosure Rules. In addition, in the absence of federal action, states may propose and adopt climate disclosure requirements.</w:t>
      </w:r>
    </w:p>
    <w:p>
      <w:pPr>
        <w:spacing w:after="0" w:line="8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In the event the states in which we operate or do business adopt climate disclosure requirements or the SEC in the future adopts climate disclosure rules that apply to us, we could incur significant additional costs relating to the assessment and disclosure of climate-related risks, including costs relating to monitoring, collecting, analyzing and reporting the new metrics and implementing systems and procuring additional internal and external personnel with the requisite skills and expertise to serve those functions. These additional costs or changes in operations could have a material adverse effect on our business, financial condition, results of operations and cash flows. We may also face increased litigation risks related to disclosures made pursuant to any such regulations. In addition, enhanced climate disclosure requirements could accelerate the trend of certain investors and lenders restricting or seeking more stringent conditions with respect to their investments in carbon-intensive sectors.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regulations on all emissions from our operations could cause us to incur significant costs.</w:t>
      </w:r>
    </w:p>
    <w:p>
      <w:pPr>
        <w:spacing w:after="0" w:line="119" w:lineRule="exact"/>
        <w:rPr>
          <w:sz w:val="20"/>
          <w:szCs w:val="20"/>
          <w:color w:val="auto"/>
        </w:rPr>
      </w:pPr>
    </w:p>
    <w:p>
      <w:pPr>
        <w:ind w:right="40" w:firstLine="445"/>
        <w:spacing w:after="0" w:line="251" w:lineRule="auto"/>
        <w:rPr>
          <w:sz w:val="20"/>
          <w:szCs w:val="20"/>
          <w:color w:val="auto"/>
        </w:rPr>
      </w:pPr>
      <w:r>
        <w:rPr>
          <w:rFonts w:ascii="Times New Roman" w:cs="Times New Roman" w:eastAsia="Times New Roman" w:hAnsi="Times New Roman"/>
          <w:sz w:val="18"/>
          <w:szCs w:val="18"/>
          <w:color w:val="auto"/>
        </w:rPr>
        <w:t>In recent years, the EPA issued final rules to subject oil and natural gas operations to regulation under the NSPS and NESHAP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In April 2024, the EPA issued a final consent decree that established a December 10, 2024 deadline for the EPA to review and propose revisions to the NESHAP for oil and natural gas production facilities and natural gas transmission and storage facilities, which may require us to make additional changes to our operations. The EPA has not yet proposed any such revisions. In addition, the EPA finalized a more stringent National Ambient Air Quality Standard for ozone in October 2015. To the extent regions reclassified as non-attainment areas under the lower ozone standard have begun implementing new, more stringent regulations, those regulations could also apply to our or San Mateo’s customers’ operations. The IRA contains a suite of provisions addressing onshore and offshore oil and natural gas development under federal leases. Under the authority of the IRA, on April 10, 2024, BLM finalized new regulations to reduce the waste of natural gas from venting, flaring and leaks during oil and natural gas production activities on Federal and Indian leases. The North Dakota federal district court enjoined enforcement of the regulations in Texas, North Dakota, Montana, Wyoming, and Utah. The injunction was appealed to the U.S. Court of Appeals for the Eighth Circuit, but the appeal has been held in abeyance since February 14, 2025. In November 2025, BLM announced that it will delay enforcement of provisions of the rule that had been scheduled to take effect in December 2025. These rules are expected to result in an increase to our operating costs and changes in our operations. In December 2023, the EPA issued final NSPS updates and emission guidelines to reduce methane and other pollutants from the oil and gas industry. In addition, several states are pursuing similar measures to regulate emissions of methane from new and existing sources within the oil and natural gas source category. The EPA issued a final rule on October 22, 2024, removing the affirmative defense for violations caused by malfunctions from the NESHAP for the oil and natural gas production source category and natural gas transmission and storage source category. On November 18, 2024, the EPA published a final rule under authority of the IRA that imposes a waste emissions charge on large emitters of waste methane from the oil and gas sector. The rule was nullified pursuant to a Joint Resolution of Disapproval under the Congressional Review Act signed by President Trump in March 2025, and the EPA issued a final rule in May 2025 removing the waste emissions charge rules from the Code of Federal Regulations. However, the underlying statute mandating the waste emissions charge remains in effect, though collection of the charge under that law with respect to the oil and gas sector has been delayed until 2034. As a result of this continued regulatory focus, these and any future federal and state regulations of the oil and natural gas industry could result in increased compliance costs for our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and liabilities resulting from compliance with pipeline safety regulations.</w:t>
      </w:r>
    </w:p>
    <w:p>
      <w:pPr>
        <w:spacing w:after="0" w:line="11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of a leak or rupture, could affect high-consequence areas. The Rustler Breaks Oil Pipeline System and the Trophy Pipeline System are subject to such rules. PHMSA also recently finalized rulemaking to expand existing integrity management, reporting and records retention, and safety requirements to certain natural gas transmission lines.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spacing w:after="0" w:line="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7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A change in the jurisdictional characterization of some of our assets by FERC or a change in policy by FERC may result in increased regulation of our assets, which may cause our revenues to decline and operating expenses to increase.</w:t>
      </w:r>
    </w:p>
    <w:p>
      <w:pPr>
        <w:spacing w:after="0" w:line="5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 includes crude oil gathering and transportation pipelines from origin points in Eddy County, New Mexico to an interconnect with Plains, and our Trophy Pipeline System, which includes crude oil gathering and transportation pipelines from origin points in Lea County, New Mexico to various interconnects with third parties, are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rates of our regulated assets are subject to review and reporting by federal regulators, which could adversely affect our revenues.</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Rustler Breaks Oil Pipeline System and the Trophy Pipeline System transport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spacing w:after="0" w:line="86" w:lineRule="exact"/>
        <w:rPr>
          <w:sz w:val="20"/>
          <w:szCs w:val="20"/>
          <w:color w:val="auto"/>
        </w:rPr>
      </w:pPr>
    </w:p>
    <w:p>
      <w:pPr>
        <w:ind w:right="340" w:firstLine="445"/>
        <w:spacing w:after="0" w:line="312" w:lineRule="auto"/>
        <w:rPr>
          <w:sz w:val="20"/>
          <w:szCs w:val="20"/>
          <w:color w:val="auto"/>
        </w:rPr>
      </w:pPr>
      <w:r>
        <w:rPr>
          <w:rFonts w:ascii="Times New Roman" w:cs="Times New Roman" w:eastAsia="Times New Roman" w:hAnsi="Times New Roman"/>
          <w:sz w:val="17"/>
          <w:szCs w:val="17"/>
          <w:color w:val="auto"/>
        </w:rPr>
        <w:t>In addition, FERC’s ratemaking policies are subject to change and may impact the rates charged and revenues received on the Rustler Breaks Oil Pipeline System, the Trophy Pipeline System and any other natural gas or crude oil pipeline that is determined to be under the jurisdiction of FERC.</w:t>
      </w:r>
    </w:p>
    <w:p>
      <w:pPr>
        <w:spacing w:after="0" w:line="3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Should we fail to comply with all applicable FERC-administered statutes, rules, regulations and orders, we could be subject to substantial penalties and fines.</w:t>
      </w:r>
    </w:p>
    <w:p>
      <w:pPr>
        <w:spacing w:after="0" w:line="5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Under the Energy Policy Act, FERC has civil penalty authority under the NGA to impose penalties for current violations of up to approximately $1.3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and Trophy Pipeline System do transport crude oil in interstate commerce and, therefore, are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legislation adopted by Congress could have an adverse impact on our ability to hedge risks associated with our business.</w:t>
      </w:r>
    </w:p>
    <w:p>
      <w:pPr>
        <w:spacing w:after="0" w:line="11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 For example, the CFTC has proposed, but not finalized, rules that would place limits on positions in certain core futures and equivalent swaps contracts for or linked to certain physical commodities, subject to exceptions for certain bona fide hedging transactions.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w:t>
      </w:r>
    </w:p>
    <w:p>
      <w:pPr>
        <w:spacing w:after="0" w:line="8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68" w:lineRule="exact"/>
        <w:rPr>
          <w:sz w:val="20"/>
          <w:szCs w:val="20"/>
          <w:color w:val="auto"/>
        </w:rPr>
      </w:pPr>
    </w:p>
    <w:p>
      <w:pPr>
        <w:ind w:right="660" w:firstLine="405"/>
        <w:spacing w:after="0" w:line="266" w:lineRule="auto"/>
        <w:rPr>
          <w:sz w:val="20"/>
          <w:szCs w:val="20"/>
          <w:color w:val="auto"/>
        </w:rPr>
      </w:pPr>
      <w:r>
        <w:rPr>
          <w:rFonts w:ascii="Times New Roman" w:cs="Times New Roman" w:eastAsia="Times New Roman" w:hAnsi="Times New Roman"/>
          <w:sz w:val="18"/>
          <w:szCs w:val="18"/>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w:t>
      </w:r>
    </w:p>
    <w:p>
      <w:pPr>
        <w:spacing w:after="0" w:line="11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spacing w:after="0" w:line="5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U.S. foreign trade policy continues to evolve, and recent actions have resulted in the imposition of new and increased tariffs, as well as other trade barriers on the foreign import of certain materials and products. For example, in April 2025, the U.S. government announced a new tariff regime that included a 10% baseline tariff on most products imported from other countries and an additional individualized reciprocal tariff on the countries with which the U.S. has the largest trade deficits, including China. Since that time, the U.S. expanded tariffs on key industrial inputs, including tariffs on steel and aluminum imports, and at times announced, rescinded, modified and temporarily suspended multiple tariffs on several foreign jurisdictions, which increased uncertainty regarding the ultimate effect of the tariffs on economic conditions. In August 2025, however, the U.S. Court of Appeals for the Federal Circuit ruled that the tariffs imposed under the Trump Administration exceed presidential authority and therefore are invalid, and in February 2026, the U.S. Supreme Court affirmed such decision. Following the ruling, the Trump Administration signed an executive order imposing a 10% “global tariff” and later indicated an intention to increase such “global tariff” to 15%, effective immediately, using presidential powers under certain U.S. trade laws. If implemented, such tariffs can remain in effect for up to 150 days, which may be extended by the U.S. Congress. The Trump Administration may continue to impose additional tariffs under other U.S. trade laws. In addition, from time to time, certain leaders in the U.S. government, including in the Trump administration, have indicated a willingness to revise, renegotiate or terminate various existing bilateral and multilateral trade agreements. The uncertainty over such policies has caused volatility in commodity, capital and financial markets, increased concerns over domestic and global inflation and adversely impacted consumer confidence in the U.S and worldwide. Any future tariffs or other trade restrictions may lead to continuing uncertainty and volatility in U.S. and global financial and economic conditions and commodity markets, declining consumer confidence, significant inflation and diminished expectations for the economy, and ultimately reduced demand for oil and natural gas.</w:t>
      </w:r>
    </w:p>
    <w:p>
      <w:pPr>
        <w:spacing w:after="0" w:line="8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Changes in tariffs and trade restrictions can be announced with little or no advance notice. We cannot predict what additional changes to trade policy or tariffs will be made by the Trump administration, Congress or other governments, including whether existing or new tariff policies will be maintained or modified, what materials or products may be subject to such policies or whether the entry into new bilateral or multilateral trade agreements, or the amendment or termination of existing trade agreements, will occur, nor can we predict the effects that any such changes would have on our business. However, such steps, if adopted, could increase our costs, disrupt supply chains, delay project timelines or otherwise adversely impact our business and operations. For example, price increases for the materials we and San Mateo use in the construction of our midstream assets may result in increased costs associated with the continued build-out of such assets, as well as projects under development. Because our midstream business generates substantially all of its revenue under commercial agreements with customers that provide for fixed-fee structures, our midstream business will generally be unable to pass these cost increases along to our customers, and our income from operations and cash flows may be adversely affected.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addition, changes in U.S. trade policy and tariffs have resulted, and could again result, in reactions from U.S. trading partners, including adopting responsive trade policies making it more difficult or costly for us to conduct business across the jurisdictions in which we operate. For example, in response to the U.S. government’s additional tariff on imports from China, on February 4, 2025, the Chinese government announced that it would implement tariffs on certain goods being imported into China from the U.S. Similar responsive measures have been announced or implemented by other countries affected by U.S. trade actions. There can be no assurance that such changes in U.S. or foreign trade policy or tariffs or in laws and policies governing foreign trade, and any resulting negative sentiments or retaliatory trade practices towards the United States as a result of such changes, would not materially and adversely affect our business, financial condition, results of operations and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common stock has fluctuated substantially and may fluctuate substantially in the future.</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stock price has experienced volatility and could vary significantly as a result of a number of factors. In 2025, our stock price fluctuated between a high of $64.05 and a low of $35.19.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Attention to environmental, social and governance (“ESG”) and conservation matters and a negative shift in market perception towards the oil and natural gas industry could adversely affect demand for oil and natural gas and our stock price.</w:t>
      </w:r>
    </w:p>
    <w:p>
      <w:pPr>
        <w:spacing w:after="0" w:line="5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Attention from governmental and regulatory bodies, investors, consumers and other stakeholders on ESG practices, together with changes in consumer, industrial and commercial behavior, investor and societal expectations on companies to address climate change and to make voluntary disclosures related to climate change and sustainability, preferences and attitudes with respect to the generation and consumption of energy, the use of hydrocarbons and the use of products manufactured with, or powered, by hydrocarbons, may result in the enactment of climate and ESG-related regulations, policies and initiatives at the government, regulator, corporate and/or investor community levels; technological advances with respect to the generation, transmission, storage and consumption of energy; and the development of, and increased demand from consumers for, lower-emission products and services. These developments may in the future result in increased costs (including increased costs associated with compliance, shareholder engagement, contracting and insurance) and reduced demand for products manufactured with, or powered by, petroleum products, as well as the demand for our products and services. Such developments could result in downward pressure on the stock prices of oil and natural gas companies, including ours.</w:t>
      </w:r>
    </w:p>
    <w:p>
      <w:pPr>
        <w:spacing w:after="0" w:line="80" w:lineRule="exact"/>
        <w:rPr>
          <w:sz w:val="20"/>
          <w:szCs w:val="20"/>
          <w:color w:val="auto"/>
        </w:rPr>
      </w:pPr>
    </w:p>
    <w:p>
      <w:pPr>
        <w:ind w:right="200" w:firstLine="445"/>
        <w:spacing w:after="0" w:line="254" w:lineRule="auto"/>
        <w:rPr>
          <w:sz w:val="20"/>
          <w:szCs w:val="20"/>
          <w:color w:val="auto"/>
        </w:rPr>
      </w:pPr>
      <w:r>
        <w:rPr>
          <w:rFonts w:ascii="Times New Roman" w:cs="Times New Roman" w:eastAsia="Times New Roman" w:hAnsi="Times New Roman"/>
          <w:sz w:val="18"/>
          <w:szCs w:val="18"/>
          <w:color w:val="auto"/>
        </w:rPr>
        <w:t>In addition, negative perceptions regarding our industry and reputational risks, including perceptions related to the sufficiency of our ESG program (which may include policies, practices and extralegal objectives related to climate change, environmental stewardship, social responsibility and corporate governance), may in the future adversely affect our ability to successfully carry out our business strategy by adversely affecting our access to capital. In particular, certain segments of the investor community have at times expressed negative sentiment towards investing in the oil and natural gas industry. There have also been efforts in recent years to influence the investment community, including investment advisors, investment fund managers, pension funds, sovereign wealth funds, university endowments, individual investors and family foundations, to divest, or limit investment in, fossil fuel-related equities. As a result, some investors have adopted policies to reduce or eliminate their investments in the oil and natural gas sector based on social and environmental considerations. Other significant investors and asset managers, both domestically and internationally, have published ESG guidelines and disclosure standards that companies in which they invest are expected to adopt or follow.</w:t>
      </w:r>
    </w:p>
    <w:p>
      <w:pPr>
        <w:spacing w:after="0" w:line="8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Certain other stakeholders have pressured commercial and investment banks and other capital providers to stop or limit funding of oil and natural gas projects and have pressured insurance underwriters to limit coverages to companies engaged in the extraction of fossil fuel reserves. Institutional lenders that provide financing to energy companies have also become more attentive to sustainable lending practices, and some may elect not to provide traditional energy producers or companies that support such producers with funding. With the continued volatility in oil and natural gas prices and elevated interest rates, which have increased the cost of borrowing, certain investors have emphasized capital efficiency and free cash flow from earnings as key drivers for energy companies, especially those primarily focused in the shale plays. This may result in an increase in our expenses and a reduction of revenues and available capital funding for potential development projects, further impacting our future financial results. Furthermore, if we are unable to achieve the desired level of capital efficiency or free cash flow within the timeframe expected by the market, our stock price may be adversely affected.</w:t>
      </w:r>
    </w:p>
    <w:p>
      <w:pPr>
        <w:spacing w:after="0" w:line="84"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In addition, shareholder activism has been recently increasing in the oil and gas industry, and shareholders may attempt to effect changes to our business or governance, whether by shareholder proposals, public campaigns, proxy solicitations or otherwise. Organizations that provide information to investors on corporate governance and related matters have developed ratings processes for evaluating companies on their approach to ESG matters, and such ratings are used by some investors 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inform their investment and voting decisions. Unfavorable ESG ratings and activism directed at shifting funding away from companies with energy-related assets could lead to increased negative investor sentiment toward us and to the diversion of investment to other industries, which could have an adverse effect on our stock price and our access to and costs of capital.</w:t>
      </w:r>
    </w:p>
    <w:p>
      <w:pPr>
        <w:spacing w:after="0" w:line="6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Future sales of shares of our common stock by existing shareholders and future offerings of our common stock by us could depress the price of our common stock.</w:t>
      </w:r>
    </w:p>
    <w:p>
      <w:pPr>
        <w:spacing w:after="0" w:line="5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7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spacing w:after="0" w:line="6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Our directors and executive officers own a significant percentage of our equity, which could give them influence in corporate transactions and other matters, and their interests could differ from other shareholders.</w:t>
      </w:r>
    </w:p>
    <w:p>
      <w:pPr>
        <w:spacing w:after="0" w:line="5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As of February 24, 2026, our directors and executive officers beneficially owned approximately 5.8%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spacing w:after="0" w:line="7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Our Board can authorize the issuance of preferred stock, which could diminish the rights of holders of our common stock and make a change of control of the Company more difficult even if it might benefit our shareholders.</w:t>
      </w:r>
    </w:p>
    <w:p>
      <w:pPr>
        <w:spacing w:after="0" w:line="5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68" w:lineRule="exact"/>
        <w:rPr>
          <w:sz w:val="20"/>
          <w:szCs w:val="20"/>
          <w:color w:val="auto"/>
        </w:rPr>
      </w:pPr>
    </w:p>
    <w:p>
      <w:pPr>
        <w:ind w:right="640" w:firstLine="445"/>
        <w:spacing w:after="0" w:line="282" w:lineRule="auto"/>
        <w:rPr>
          <w:sz w:val="20"/>
          <w:szCs w:val="20"/>
          <w:color w:val="auto"/>
        </w:rPr>
      </w:pPr>
      <w:r>
        <w:rPr>
          <w:rFonts w:ascii="Times New Roman" w:cs="Times New Roman" w:eastAsia="Times New Roman" w:hAnsi="Times New Roman"/>
          <w:sz w:val="18"/>
          <w:szCs w:val="18"/>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9"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We may have difficulty managing growth in our business, which could have a material adverse effect on our business, financial condition, results of operations and cash flows and our ability to execute our business plan in a timely fashion.</w:t>
      </w:r>
    </w:p>
    <w:p>
      <w:pPr>
        <w:spacing w:after="0" w:line="52"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Because of our size, growth in accordance with our business plans, if achieved, will place a significant strain on our financial, technical, operational and management resources. As and when we expand our activities, including our midstream business, through San Mateo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spacing w:after="0" w:line="7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Our success depends, to a large extent, on our ability to retain our key personnel, including our chairman and chief executive officer, management and technical team and the members of our Board, and the loss of any key personnel or Board member could disrupt our business operations.</w:t>
      </w:r>
    </w:p>
    <w:p>
      <w:pPr>
        <w:spacing w:after="0" w:line="52"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color w:val="auto"/>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these individuals could be quickly replaced with personnel of equal experience and capabilities, and their successors may not be as effective. We have entered into employment agreements with Mr. Foran and other key personnel. However, these employment agreements do not ensure that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We have an active Board that meets at least quarterly throughout the year and is closely involved in our business and the determination of our operational strategies. Members of our Board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72"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Although overall labor market conditions in the U.S. have moderated from the extremes experienced during and immediately following the COVID-19 pandemic, many companies in our industry continue to report challenges in attracting and retaining qualified personnel, which has resulted in increased costs to attract skilled labor, such as higher wages or costs for contractors. We may experience employee turnover or labor shortages if our business requirements, compensation, benefits and/or perquisites are inconsistent with the expectations of current or prospective employees, or if workers pursue employment in fields with less volatility than in the energy industry. If we are unsuccessful in our efforts to attract and retain sufficient qualified personnel on terms acceptable to us, or do so at rates necessary to maintain our competitive position, our business could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cyber incident could occur and result in information theft, data corruption, operational disruption or financial loss.</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business, like the oil and natural gas industry in general, is dependent on digital technologies to conduct certain exploration, development, production, gathering, processing and financial activities, including technologies that are managed by third-party service providers or other providers to our industry on whom we directly or indirectly rely to help us collect, host or process information. We depend on such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SCADA systems, control important processes and facilities that are critical to our operations.</w:t>
      </w:r>
    </w:p>
    <w:p>
      <w:pPr>
        <w:spacing w:after="0" w:line="7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While we and our third-party service providers commit resources to the design, implementation and monitoring of our information systems, there is no guarantee that these security measures will provide absolute security. Despite these security measures, we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 Security incidents can also occur as a result of non-technical issues, such as physical theft. If any of such programs or systems were to fail or create erroneous information in our hardware or software network infrastructure or we were subject to cyberspace breaches, ransomware or other malware, phishing or social engineering schemes or attacks or other cybersecurity threats or attacks, possible consequences include financial losses, damage to our reputation and the inability to engage in any of the aforementioned activities. Any such consequence could have a material adverse effect on our business. In addition, any failure of our third-party providers’ computer systems, or those of our customers, suppliers or others with whom we do business, could materially disrupt our ability to operate our business. Moreover, the rapid advancement and increased adoption of artificial intelligence and machine learning technologies has given rise to additional vulnerabilities and potential entry points for cyberattacks, including a risk of exposure of confidential, proprietary or other sensitive information through the inadvertent use of open artificial intelligence tools. These technologies can be exploited by malicious actors to enhance the sophistication, scale or intensity of cyberattacks, making it more challenging to detect and mitigate such threats.</w:t>
      </w:r>
    </w:p>
    <w:p>
      <w:pPr>
        <w:spacing w:after="0" w:line="7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While we have experienced certain phishing schemes and efforts to access our network, we have not experienced any material losses due to cyber incidents. However, we may suffer such losses in the future. If our or our third-party providers’ systems for protecting against cyber incidents prove to be insufficient, we could be adversely affected by unauthorized access to proprietary or other sensitive information, which could lead to data corruption, communication interruption, exposure of our or third parties’ confidential or proprietary information, disruptions of our current or planned business operations or transactions, damage to our reputation or financial loss. Additionally, costs for insurance may also increase as a result of cybersecurity threats, and insurance against losses relating to cyber incidents may become more difficult to obtain.</w:t>
      </w:r>
    </w:p>
    <w:p>
      <w:pPr>
        <w:spacing w:after="0" w:line="7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additional resources to continue to modify and further enhance our protective systems or to investigate and remediate any vulnerabilities. In addition, the continuing and evolving threat of cybersecurity attacks has resulted in evolving legal and compliance matters, including increased regulatory focus on prevention, mitigation and notification, which could lead to increased regulatory compliance costs, insurance coverage cost or capital expenditures. New laws and regulations governing data privacy and the unauthorized disclosure of personal or confidential information may also pose compliance challenges and could elevate our costs. Any failure by us to comply with any additional regulations could result in significant penalties and liability to us, and we cannot predict the potential impact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business or the energy industry resulting from additional regulations. We may also be subject to regulatory investigations or litigation relating to cybersecurity issues.</w:t>
      </w:r>
    </w:p>
    <w:p>
      <w:pPr>
        <w:spacing w:after="0" w:line="5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Provisions of our certificate of formation, bylaws and Texas law may have anti-takeover effects that could prevent a change in control even if it might be beneficial to our shareholders.</w:t>
      </w:r>
    </w:p>
    <w:p>
      <w:pPr>
        <w:spacing w:after="0" w:line="52"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Our certificate of formation and bylaws contain certain provisions that may discourage, delay or prevent a merger or acquisition of the Company or other change in control transaction that our shareholders may consider favorable. These provisions include:</w:t>
      </w:r>
    </w:p>
    <w:p>
      <w:pPr>
        <w:spacing w:after="0" w:line="5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our Board to issue preferred stock without shareholder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of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ability of shareholders to call special meetings to those owning at least 25% of our outstanding shares of common stock.</w:t>
      </w:r>
    </w:p>
    <w:p>
      <w:pPr>
        <w:spacing w:after="0" w:line="11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before this person became an affiliated shareholder or approval of the holders of at least two-thirds of our outstanding voting shares not beneficially owned by the affiliated shareholder.</w:t>
      </w:r>
    </w:p>
    <w:p>
      <w:pPr>
        <w:spacing w:after="0" w:line="7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operate in a litigious environment and may be involved in legal proceedings that could have a material adverse effect on our results of operations and financial condition.</w:t>
      </w:r>
    </w:p>
    <w:p>
      <w:pPr>
        <w:spacing w:after="0" w:line="52"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Like many oil and natural gas companies, we are from time to time involved in various legal and other proceedings in the ordinary course of business, such as title, royalty or contractual disputes, regulatory compliance matters and personal injury or property damage matters. Such legal proceedings are inherently uncertain and their results cannot be predicted. Regardless of the outcome, such proceedings could have a material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the importance of developing, implementing and maintaining cybersecurity measures to better safeguard our information systems and protect the confidentiality, integrity and availability of our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and Integrated Overall Risk Management</w:t>
      </w:r>
    </w:p>
    <w:p>
      <w:pPr>
        <w:spacing w:after="0" w:line="241"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The Company has integrated cybersecurity into our broader risk management framework. Our risk management team works closely with our IT department to evaluate and address cybersecurity risks in alignment with our business objectives and operational needs. The Company requires the Board and employees to complete cybersecurity training related to the physical security of assets, data privacy and other information security policies and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Third Parties on Risk Management</w:t>
      </w:r>
    </w:p>
    <w:p>
      <w:pPr>
        <w:spacing w:after="0" w:line="227"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the Company engages with a range of external experts, including cybersecurity consultants in evaluating and testing our risk management systems. Our collaboration with these third parties includes regular audits, threat assessments, penetration tests and consultation on security enhancements.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right="160" w:firstLine="405"/>
        <w:spacing w:after="0" w:line="245"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vendors, service providers and business partners, we have implemented processes to oversee and manage these risks. We conduct initial risk assessments of third-party providers before engagement. These assessments include due diligence reviews of third parties that have access to our networks, confidential information and information systems in order to assess the risks from cybersecurity threats. This approach is designed to mitigate risks related to data breaches or other security incidents originating from third parties.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241" w:lineRule="exact"/>
        <w:rPr>
          <w:sz w:val="20"/>
          <w:szCs w:val="20"/>
          <w:color w:val="auto"/>
        </w:rPr>
      </w:pPr>
    </w:p>
    <w:p>
      <w:pPr>
        <w:ind w:right="100" w:firstLine="405"/>
        <w:spacing w:after="0" w:line="239" w:lineRule="auto"/>
        <w:rPr>
          <w:sz w:val="20"/>
          <w:szCs w:val="20"/>
          <w:color w:val="auto"/>
        </w:rPr>
      </w:pPr>
      <w:r>
        <w:rPr>
          <w:rFonts w:ascii="Times New Roman" w:cs="Times New Roman" w:eastAsia="Times New Roman" w:hAnsi="Times New Roman"/>
          <w:sz w:val="18"/>
          <w:szCs w:val="18"/>
          <w:color w:val="auto"/>
        </w:rPr>
        <w:t>As of February 24, 2026, we were not aware of any cybersecurity threats or incidents that have materially affected or are reasonably likely to materially affect the Company, including our business strategy, results of operations or financial standing. However, there can be no assurance that our cybersecurity processes will prevent or mitigate cybersecurity incidents or threats and that our efforts will always be successful. For further discussion regarding our cybersecurity risks, see “Risk Factors—General Risk Factors—A cyber incident could occur and result in information theft, data corruption, operational disruption or financial loss.”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is aware of the critical nature of managing risks associated with cybersecurity threats and has established oversight mechanisms at the Board and management levels to ensure effective governance in managing risks associated with cybersecurity threats.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241" w:lineRule="exact"/>
        <w:rPr>
          <w:sz w:val="20"/>
          <w:szCs w:val="20"/>
          <w:color w:val="auto"/>
        </w:rPr>
      </w:pPr>
    </w:p>
    <w:p>
      <w:pPr>
        <w:ind w:right="260" w:firstLine="405"/>
        <w:spacing w:after="0" w:line="245" w:lineRule="auto"/>
        <w:rPr>
          <w:sz w:val="20"/>
          <w:szCs w:val="20"/>
          <w:color w:val="auto"/>
        </w:rPr>
      </w:pPr>
      <w:r>
        <w:rPr>
          <w:rFonts w:ascii="Times New Roman" w:cs="Times New Roman" w:eastAsia="Times New Roman" w:hAnsi="Times New Roman"/>
          <w:sz w:val="18"/>
          <w:szCs w:val="18"/>
          <w:color w:val="auto"/>
        </w:rPr>
        <w:t>The Board has oversight of cybersecurity risks and, specifically, the Audit Committee of the Board is charged with the oversight of the Company’s guidelines and policies to govern the process by which risk assessment and risk management are undertaken by management, including with respect to cybersecurity risks. Our Board is composed of members with diverse expertise, including risk management, technology and finance, which experience provides them with the skills needed to oversee cybersecurity risks effectively.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24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7"/>
          <w:szCs w:val="17"/>
          <w:color w:val="auto"/>
        </w:rPr>
        <w:t>The Company’s IT Committee, which includes senior executives and other members of management, meets regularly to monitor and discuss cybersecurity issues. The Senior Vice President of Information Technology, the Executive Vice President and Chief Financial Officer (“CFO”) and the Co-President, Chief Legal Officer and Head of M&amp;A (“CLO”) play a pivotal role in informing the Board on cybersecurity risks. They provide comprehensive briefings to the Board on a regular basis, with a minimum frequency of once per year. These briefings encompass a broad range of topics, including:</w:t>
      </w:r>
    </w:p>
    <w:p>
      <w:pPr>
        <w:spacing w:after="0" w:line="7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39"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7"/>
          <w:szCs w:val="17"/>
          <w:color w:val="auto"/>
        </w:rPr>
        <w:t>In addition to our scheduled meetings, the Board, Senior Vice President of Information Technology, CFO and CLO maintain an ongoing dialogue regarding emerging or potential cybersecurity risks. Together, they receive updates on significant developments in the cybersecurity domain, ensuring the Board’s oversight is proactive and responsive. The Board actively participates in strategic decisions related to cybersecurity, offering guidance and approval for major initiatives. This involvement ensures that cybersecurity considerations are integrated into the broader strategic objectives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241" w:lineRule="exact"/>
        <w:rPr>
          <w:sz w:val="20"/>
          <w:szCs w:val="20"/>
          <w:color w:val="auto"/>
        </w:rPr>
      </w:pPr>
    </w:p>
    <w:p>
      <w:pPr>
        <w:ind w:right="180" w:firstLine="405"/>
        <w:spacing w:after="0" w:line="245"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the Senior Vice President of Information Technology. With over 35 years of experience in the information technology field, he brings a wealth of expertise to his role. His in-depth knowledge and experience are instrumental in developing and executing our cybersecurity strategies. Our Senior Vice President of Information Technology tests our compliance with standards, remediates known risks and leads our employee training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the Board</w:t>
      </w:r>
    </w:p>
    <w:p>
      <w:pPr>
        <w:spacing w:after="0" w:line="227"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Senior Vice President of Information Technology regularly informs the Chief Executive Officer and Chief Legal Officer of all aspects related to cybersecurity risks and incidents. This ensures that the highest levels of management are kept abreast of the cybersecurity posture and potential risks facing the Company. Furthermore, significant cybersecurity matters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strategic risk management decisions are escalated to the Board, ensuring the Board has comprehensive oversight and can provide guidance on critical cybersecurity issues.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241" w:lineRule="exact"/>
        <w:rPr>
          <w:sz w:val="20"/>
          <w:szCs w:val="20"/>
          <w:color w:val="auto"/>
        </w:rPr>
      </w:pPr>
    </w:p>
    <w:p>
      <w:pPr>
        <w:ind w:right="200" w:firstLine="405"/>
        <w:spacing w:after="0" w:line="239" w:lineRule="auto"/>
        <w:rPr>
          <w:sz w:val="20"/>
          <w:szCs w:val="20"/>
          <w:color w:val="auto"/>
        </w:rPr>
      </w:pPr>
      <w:r>
        <w:rPr>
          <w:rFonts w:ascii="Times New Roman" w:cs="Times New Roman" w:eastAsia="Times New Roman" w:hAnsi="Times New Roman"/>
          <w:sz w:val="18"/>
          <w:szCs w:val="18"/>
          <w:color w:val="auto"/>
        </w:rPr>
        <w:t>The Senior Vice President of Information Technology monitors the latest developments in cybersecurity, including potential threats and innovative risk management techniques. The Senior Vice President of Information Technology implements and oversees processes for the regular monitoring of our information systems. This includes the deployment of advanced security measures and regular system audits to identify potential vulnerabilities. In the event of a cybersecurity incident, the Senior Vice President of Information Technology is equipped with an incident response plan. This plan includes immediate actions to mitigate the impact and long-term strategies for remediation and prevention of future incidents.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60" w:lineRule="exact"/>
        <w:rPr>
          <w:sz w:val="20"/>
          <w:szCs w:val="20"/>
          <w:color w:val="auto"/>
        </w:rPr>
      </w:pPr>
    </w:p>
    <w:p>
      <w:pPr>
        <w:ind w:right="192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General Market Information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our common stock are traded on the NYSE under the symbol “MTDR.” Our shares have been traded on the NYSE since February 2,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trading on the NYSE, there was no established public trading market for our common stock.</w:t>
      </w:r>
    </w:p>
    <w:p>
      <w:pPr>
        <w:spacing w:after="0" w:line="9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On February 24, 2026, we had 124,249,941 shares of common stock outstanding held by approximately 444 record holders, excluding shareholders for whom shares are held in “nominee” or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each of the first, second and third quarters of 2025, our Board declared quarterly cash dividends of $0.3125 per share of common stock. In October 2025, the Board amended our dividend policy to increase the quarterly dividend to $0.375 per share of common stock and also declared a quarterly cash dividend of $0.375 per share of common stock. In February 2026, the Board declared a quarterly cash dividend of $0.375 per share of common stock payable on March 10, 2026 to shareholders of record as of February 27, 2026. We expect that, based on current circumstances, comparable cash dividends will continue to be paid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Certain information regarding securities authorized for issuance under our equity compensation plans is included under the caption “Security Ownership of Certain Beneficial Owners and Management and Related Stockholder Matters” in Part III, Item 12 of this Annual Report and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121"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return on a $100 investment in our common stock from December 31, 2020 through December 31, 2025, to that of the cumulative return on a $100 investment in the Russell 2000 Index and the Russell 2000 Energy Index for the same period. In calculating the cumulative return, reinvestment of dividends, if any, is assumed.</w:t>
      </w:r>
    </w:p>
    <w:p>
      <w:pPr>
        <w:spacing w:after="0" w:line="68" w:lineRule="exact"/>
        <w:rPr>
          <w:sz w:val="20"/>
          <w:szCs w:val="20"/>
          <w:color w:val="auto"/>
        </w:rPr>
      </w:pPr>
    </w:p>
    <w:p>
      <w:pPr>
        <w:ind w:firstLine="445"/>
        <w:spacing w:after="0" w:line="289" w:lineRule="auto"/>
        <w:rPr>
          <w:sz w:val="20"/>
          <w:szCs w:val="20"/>
          <w:color w:val="auto"/>
        </w:rPr>
      </w:pPr>
      <w:r>
        <w:rPr>
          <w:rFonts w:ascii="Times New Roman" w:cs="Times New Roman" w:eastAsia="Times New Roman" w:hAnsi="Times New Roman"/>
          <w:sz w:val="17"/>
          <w:szCs w:val="17"/>
          <w:color w:val="auto"/>
        </w:rPr>
        <w:t>This graph is not “soliciting material,” is not deemed filed with the SEC and is not to be incorporated by reference in any of our filings under the Securities Act or the Exchange Act, whether made before, on,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 Among</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Matador Resources Company, the Russell 2000 Index</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and the Russell 2000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5715</wp:posOffset>
            </wp:positionV>
            <wp:extent cx="5846445" cy="4114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644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by the Company or Affiliates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contains information about our acquisition of common stock during the quarter ended December 31, 2025.</w:t>
      </w:r>
    </w:p>
    <w:p>
      <w:pPr>
        <w:sectPr>
          <w:pgSz w:w="11900" w:h="16838" w:orient="portrait"/>
          <w:cols w:equalWidth="0" w:num="1">
            <w:col w:w="11060"/>
          </w:cols>
          <w:pgMar w:left="320" w:top="11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380" w:type="dxa"/>
            <w:vAlign w:val="bottom"/>
          </w:tcPr>
          <w:p>
            <w:pPr>
              <w:jc w:val="center"/>
              <w:ind w:left="804"/>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0" w:type="dxa"/>
            <w:vAlign w:val="bottom"/>
          </w:tcPr>
          <w:p>
            <w:pPr>
              <w:spacing w:after="0"/>
              <w:rPr>
                <w:sz w:val="1"/>
                <w:szCs w:val="1"/>
                <w:color w:val="auto"/>
              </w:rPr>
            </w:pPr>
          </w:p>
        </w:tc>
      </w:tr>
      <w:tr>
        <w:trPr>
          <w:trHeight w:val="176"/>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tcPr>
          <w:p>
            <w:pPr>
              <w:jc w:val="center"/>
              <w:ind w:left="804"/>
              <w:spacing w:after="0" w:line="176" w:lineRule="exact"/>
              <w:rPr>
                <w:sz w:val="20"/>
                <w:szCs w:val="20"/>
                <w:color w:val="auto"/>
              </w:rPr>
            </w:pPr>
            <w:r>
              <w:rPr>
                <w:rFonts w:ascii="Times New Roman" w:cs="Times New Roman" w:eastAsia="Times New Roman" w:hAnsi="Times New Roman"/>
                <w:sz w:val="16"/>
                <w:szCs w:val="16"/>
                <w:b w:val="1"/>
                <w:bCs w:val="1"/>
                <w:color w:val="auto"/>
              </w:rPr>
              <w:t>Shares Purchased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2380" w:type="dxa"/>
            <w:vAlign w:val="bottom"/>
          </w:tcPr>
          <w:p>
            <w:pPr>
              <w:jc w:val="center"/>
              <w:ind w:left="804"/>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(or Approximate</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Dollar Value in</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thousands) of Shares</w:t>
            </w:r>
          </w:p>
        </w:tc>
        <w:tc>
          <w:tcPr>
            <w:tcW w:w="0" w:type="dxa"/>
            <w:vAlign w:val="bottom"/>
          </w:tcPr>
          <w:p>
            <w:pPr>
              <w:spacing w:after="0"/>
              <w:rPr>
                <w:sz w:val="1"/>
                <w:szCs w:val="1"/>
                <w:color w:val="auto"/>
              </w:rPr>
            </w:pPr>
          </w:p>
        </w:tc>
      </w:tr>
      <w:tr>
        <w:trPr>
          <w:trHeight w:val="175"/>
        </w:trPr>
        <w:tc>
          <w:tcPr>
            <w:tcW w:w="15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89"/>
        </w:trPr>
        <w:tc>
          <w:tcPr>
            <w:tcW w:w="1580" w:type="dxa"/>
            <w:vAlign w:val="bottom"/>
            <w:vMerge w:val="continue"/>
          </w:tcPr>
          <w:p>
            <w:pPr>
              <w:spacing w:after="0"/>
              <w:rPr>
                <w:sz w:val="16"/>
                <w:szCs w:val="16"/>
                <w:color w:val="auto"/>
              </w:rPr>
            </w:pPr>
          </w:p>
        </w:tc>
        <w:tc>
          <w:tcPr>
            <w:tcW w:w="1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3"/>
                <w:szCs w:val="23"/>
                <w:b w:val="1"/>
                <w:bCs w:val="1"/>
                <w:color w:val="auto"/>
                <w:w w:val="95"/>
                <w:vertAlign w:val="superscript"/>
              </w:rPr>
              <w:t>(2)</w:t>
            </w:r>
          </w:p>
        </w:tc>
        <w:tc>
          <w:tcPr>
            <w:tcW w:w="16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Plans or Programs</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00" w:space="240"/>
            <w:col w:w="5420"/>
          </w:cols>
          <w:pgMar w:left="320" w:top="117" w:right="51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344,916</w:t>
            </w: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344,150</w:t>
            </w: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344,150</w:t>
            </w:r>
          </w:p>
        </w:tc>
      </w:tr>
      <w:tr>
        <w:trPr>
          <w:trHeight w:val="223"/>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119,360</w:t>
            </w:r>
          </w:p>
        </w:tc>
        <w:tc>
          <w:tcPr>
            <w:tcW w:w="7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118,500</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48" w:lineRule="exact"/>
        <w:rPr>
          <w:sz w:val="20"/>
          <w:szCs w:val="20"/>
          <w:color w:val="auto"/>
        </w:rPr>
      </w:pPr>
    </w:p>
    <w:p>
      <w:pPr>
        <w:ind w:left="460" w:right="100" w:hanging="331"/>
        <w:spacing w:after="0" w:line="261" w:lineRule="auto"/>
        <w:tabs>
          <w:tab w:leader="none" w:pos="45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2025, the Company re-acquired 860 shares of common stock from certain employees in order to satisfy the employees’ tax liability in connection with the vesting of restricted stock.</w:t>
      </w:r>
    </w:p>
    <w:p>
      <w:pPr>
        <w:ind w:left="460" w:hanging="331"/>
        <w:spacing w:after="0" w:line="272" w:lineRule="auto"/>
        <w:tabs>
          <w:tab w:leader="none" w:pos="45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Board approved the Share Repurchase Program authorizing the repurchase of up to $400.0 million of common stock. During the fourth quarter of 2025, the Company repurchased 118,500 shares of common stock under the Share Repurchase Program at a weighted average price of $43.38 per common share for a total cost of $5.1 million, excluding accrued excise tax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spacing w:after="0" w:line="84" w:lineRule="exact"/>
        <w:rPr>
          <w:sz w:val="20"/>
          <w:szCs w:val="20"/>
          <w:color w:val="auto"/>
        </w:rPr>
      </w:pPr>
    </w:p>
    <w:p>
      <w:pPr>
        <w:ind w:right="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For a comparison of our results of operations for the years ended December 31, 2024 and December 31, 2023, see “Management’s Discussion and Analysis of Financial Condition and Results of Operations” in our Annual Report on Form 10-K for the year ended December 31, 2024, filed with the SEC on February 25,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Operational Highlights</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completed and began producing oil and natural gas from 151 gross (121.2 net) operated and 107 gross (8.1 net) horizontal non-operated wells in the Delaware Basin. We did not conduct any operated drilling and completion activities on our leasehold properties in Northwest Louisiana during 2025, although we did participate in the drilling and completion of 12 gross (0.1 net) non-operated Haynesville shale wells that began producing in 2025.</w:t>
      </w:r>
    </w:p>
    <w:p>
      <w:pPr>
        <w:spacing w:after="0" w:line="7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We have built significant optionality into our drilling program, which should generally allow us to decrease or increase the number of rigs we operate as necessary based on changing commodity prices and other factors. We were able to achieve D/C/E capital expenditures for 2025 of $1.53 billion, which was within our estimated range for 2025 D/C/E capital expenditures of $1.47 to $1.55 billion, as provided on October 21, 2025.</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Substantially all of our 2025 capital expenditures were directed to (i) the further delineation and development of our leasehold position in the Delaware Basin, (ii) the acquisition, construction, installation and maintenance of midstream assets, (iii) our participation in non-operated wells and (iv) the acquisition of additional producing properties, leasehold and mineral interests prospective for the Wolfcamp, Bone Spring and other liquids-rich plays in the Delaware Basin.</w:t>
      </w:r>
    </w:p>
    <w:p>
      <w:pPr>
        <w:spacing w:after="0" w:line="7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average daily oil equivalent production for the year ended December 31, 2025 was 207,070 BOE per day, including 119,723 Bbl of oil per day and 524.1 MMcf of natural gas per day, an increase of 21%, as compared to 170,751 BOE per day, including 99,808 Bbl of oil per day and 425.7 MMcf of natural gas per day, for the year ended December 31, 2024. Our average daily oil production in 2025 was 119,723 Bbl of oil per day, an increase of 20%, as compared to 99,808 Bbl of oil per day in 2024. This increase in oil production was primarily a result of our ongoing delineation and development drilling activities in the Delaware Basin. Our average daily natural gas production for the year ended December 31, 2025 was 524.1 MMcf per day, an increase of 23%, as compared to 425.7 MMcf per day in 2024. This increase in natural gas production was primarily attributable to our ongoing delineation and development drilling activities in the Delaware Basin. Oil production comprised 58% of our total production for each of the years ended December 31, 2025 and 2024.</w:t>
      </w:r>
    </w:p>
    <w:p>
      <w:pPr>
        <w:spacing w:after="0" w:line="8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oil and natural gas revenues were $3.24 billion, an increase of 3% from oil and natural gas revenues of $3.14 billion for the year ended December 31, 2024. Our oil revenues increased 2% to $2.84 billion,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to $2.77 billion for the year ended December 31, 2024. The increase in oil revenues resulted from the 20% increase in our oil production noted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which was partially offset by a 14% decrease in the weighted average oil price realized for the year ended December 31, 2025 to $64.99 per Bbl,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$75.89 per Bbl realized for the year ended December 31, 2024. Our natural gas revenues increased 7% to $398.6 million,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$371.5 million for the year ended December 31, 2024. The increase in natural gas revenues resulted from a 23% increase in natural gas production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2025 noted above, which was partially offset by a decrease in our weighted average realized natural gas price of $2.08 per Mcf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as compared to $2.38 per Mcf in 2024.</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reported net income attributable to Matador shareholders of approximately $759.2 million, or $6.09 per diluted common share, on a GAAP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as compared to a net income of $885.3 million, or $7.14 per diluted common share,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Adjusted EBITDA for the year ended December 31, 2025 was $2.29 billion, as compared to Adjusted EBITDA of $2.30 billion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2024. Adjusted EBITDA is a non-GAAP financial measure. For a definition of Adjusted EBITDA and a reconciliation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to our net income and net cash provided by operating activities, see “Management’s Discussion and Analysis of Financial Condition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Operations—Non-GAAP Financial Measures.”</w:t>
      </w:r>
    </w:p>
    <w:p>
      <w:pPr>
        <w:spacing w:after="0" w:line="9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At December 31, 2025, our estimated total proved oil and natural gas reserves were 667.0 million BOE, including 376.0 million Bbl of oil and 1.75 Tcf of natural gas, with a Standardized Measure of $6.99 billion and a PV-10 of $8.24 billion. At December 31, 2024, our estimated total proved oil and natural gas reserves were 611.5 million BOE, including 361.8 million Bbl of oil and 1.50 Tcf of natural gas, with a Standardized Measure of $7.38 billion and a PV-10 of $9.23 billion. Our estimated total proved reserves of 667.0 million BOE at December 31, 2025 represented a 9% year-over-year increase, as compared to 611.5 million BOE at December 31, 2024. Our estimated proved oil reserves were 376.0 million Bbl at December 31, 2025, an increase of 4%, as compared to 361.8 million Bbl at December 31, 2024, and our estimated proved natural gas reserves were 1.75 Tcf at December 31, 2025, an increase of 17%, as compared to 1.50 Tcf at December 31, 2024. Proved oil reserves comprised 56% of our total proved reserves at December 31, 2025, as compared to 59% at December 31, 2024. At December 31, 2025, 61% of our total proved reserves were proved developed reserves, as compared to 60% at December 31, 2024. At December 31, 2025, approximately 99% of our total proved oil and natural gas reserves were attributable to our properties in the Delaware Basin.</w:t>
      </w:r>
    </w:p>
    <w:p>
      <w:pPr>
        <w:spacing w:after="0" w:line="8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At both December 31, 2025 and December 31, 2024,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 PV-10 is a non-GAAP financial measure. For a reconciliation of PV-10 to Standardized Measure, see “Business—Estimated Proved Reserves.”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Midstream Highlights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San Mateo achieved strong operating results in 2025, highlighted by (i) free cash flow generation, (ii) increased midstream services revenues and</w:t>
      </w:r>
    </w:p>
    <w:p>
      <w:pPr>
        <w:spacing w:after="0" w:line="27" w:lineRule="exact"/>
        <w:rPr>
          <w:sz w:val="20"/>
          <w:szCs w:val="20"/>
          <w:color w:val="auto"/>
        </w:rPr>
      </w:pPr>
    </w:p>
    <w:p>
      <w:pPr>
        <w:ind w:right="80" w:firstLine="8"/>
        <w:spacing w:after="0" w:line="260"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natural gas gathering and processing volumes, produced water handling volumes and oil gathering and transportation volumes. San Mateo is owned 51% by us and 49% by our joint venture partner, Five Point.</w:t>
      </w:r>
    </w:p>
    <w:p>
      <w:pPr>
        <w:spacing w:after="0" w:line="114"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San Mateo completed the expansion of the Marlan Processing Plant by adding a designed inlet capacity of 200 MMcf per day, including a nitrogen rejection unit and additional related facilities. This expansion increased the total capacity of the Marlan Processing Plant to 260 MMcf of natural gas per day.</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2025, San Mateo’s midstream system included:</w:t>
      </w:r>
    </w:p>
    <w:p>
      <w:pPr>
        <w:spacing w:after="0" w:line="158" w:lineRule="exact"/>
        <w:rPr>
          <w:sz w:val="20"/>
          <w:szCs w:val="20"/>
          <w:color w:val="auto"/>
        </w:rPr>
      </w:pPr>
    </w:p>
    <w:p>
      <w:pPr>
        <w:ind w:left="420" w:right="200" w:hanging="331"/>
        <w:spacing w:after="0" w:line="266" w:lineRule="auto"/>
        <w:tabs>
          <w:tab w:leader="none" w:pos="4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Natural Gas Assets</w:t>
      </w:r>
      <w:r>
        <w:rPr>
          <w:rFonts w:ascii="Times New Roman" w:cs="Times New Roman" w:eastAsia="Times New Roman" w:hAnsi="Times New Roman"/>
          <w:sz w:val="18"/>
          <w:szCs w:val="18"/>
          <w:color w:val="auto"/>
        </w:rPr>
        <w:t>: 720 MMcf per day of designed natural gas cryogenic processing capacity and approximately 340 miles of natural gas gathering pipelines in Eddy and Lea Counties, New Mexico and Loving County, Texas, including 43 miles of large diameter natural gas gathering lines spanning from the Stateline asset area to the Greater Stebbins Area in Eddy County, New Mexico;</w:t>
      </w:r>
    </w:p>
    <w:p>
      <w:pPr>
        <w:spacing w:after="0" w:line="108" w:lineRule="exact"/>
        <w:rPr>
          <w:rFonts w:ascii="Times New Roman" w:cs="Times New Roman" w:eastAsia="Times New Roman" w:hAnsi="Times New Roman"/>
          <w:sz w:val="18"/>
          <w:szCs w:val="18"/>
          <w:color w:val="auto"/>
        </w:rPr>
      </w:pPr>
    </w:p>
    <w:p>
      <w:pPr>
        <w:ind w:left="420" w:right="40" w:hanging="331"/>
        <w:spacing w:after="0" w:line="266" w:lineRule="auto"/>
        <w:tabs>
          <w:tab w:leader="none" w:pos="4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Oil Assets</w:t>
      </w:r>
      <w:r>
        <w:rPr>
          <w:rFonts w:ascii="Times New Roman" w:cs="Times New Roman" w:eastAsia="Times New Roman" w:hAnsi="Times New Roman"/>
          <w:sz w:val="18"/>
          <w:szCs w:val="18"/>
          <w:color w:val="auto"/>
        </w:rPr>
        <w:t>: three oil CDPs with over 100,000 Bbl of designed oil throughput capacity and approximately 120 miles of oil gathering and transportation pipelines in Eddy County, New Mexico and Loving County, Texas, as well as a 400,000-acre joint development area with Plains to gather our and other producers’ oil production in Eddy County, New Mexico; and</w:t>
      </w:r>
    </w:p>
    <w:p>
      <w:pPr>
        <w:spacing w:after="0" w:line="94" w:lineRule="exact"/>
        <w:rPr>
          <w:rFonts w:ascii="Times New Roman" w:cs="Times New Roman" w:eastAsia="Times New Roman" w:hAnsi="Times New Roman"/>
          <w:sz w:val="18"/>
          <w:szCs w:val="18"/>
          <w:color w:val="auto"/>
        </w:rPr>
      </w:pPr>
    </w:p>
    <w:p>
      <w:pPr>
        <w:ind w:left="420" w:right="140" w:hanging="331"/>
        <w:spacing w:after="0" w:line="282" w:lineRule="auto"/>
        <w:tabs>
          <w:tab w:leader="none" w:pos="4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Produced Water Assets</w:t>
      </w:r>
      <w:r>
        <w:rPr>
          <w:rFonts w:ascii="Times New Roman" w:cs="Times New Roman" w:eastAsia="Times New Roman" w:hAnsi="Times New Roman"/>
          <w:sz w:val="18"/>
          <w:szCs w:val="18"/>
          <w:color w:val="auto"/>
        </w:rPr>
        <w:t>: 16 commercial salt water disposal wells and associated facilities with designed produced water disposal capacity of 475,000 Bbl per day and approximately 195 miles of produced water gathering pipelines in Eddy County, New Mexico and Loving County, Texas.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Capital Expenditure Budget</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in 2026. We have built significant optionality into our drilling program, which should generally allow us to decrease or increase the number of rigs we operate as necessary based on changing commodity prices and other factors. Our 2026 estimated capital expenditure budget consists of $1.35 to $1.44 billion for D/C/E capital expenditures and $100.0 to $110.0 million for midstream capital expenditures, which reflects our proportionate share of San Mateo’s estimated 2026 capital expenditures as well as the estimated 2026 capital expenditures for other wholly-owned midstream projects. Substantially all of these 2026 estimated capital expenditures are expected to be allocated to (i) the further delineation and development of our leasehold position, (ii) the construction, installation and maintenance of midstream assets and (iii) our participation in certain non-operated well opportunities. Our 2026 Delaware Basin operated drilling program is expected to focus on the continued development of our various asset areas, with a continued emphasis on drilling and completing a high percentage of longer horizontal wells.</w:t>
      </w:r>
    </w:p>
    <w:p>
      <w:pPr>
        <w:spacing w:after="0" w:line="8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At December 31, 2025, we had $15.3 million in cash (excluding restricted cash) and $1.80 billion in undrawn borrowing capacity under the Credit Agreement (after giving effect to outstanding letters of credit based upon our elected borrowing commitment of $2.25 billion). We expect to fund our 2026 capital expenditures through a combination of cash on hand, operating cash flows and performance incentives paid to us by Five Point in connection with San Mateo. If capital expenditures were to exceed our operating cash flows in 2026, we expect to fund any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w:t>
      </w:r>
    </w:p>
    <w:p>
      <w:pPr>
        <w:spacing w:after="0" w:line="84" w:lineRule="exact"/>
        <w:rPr>
          <w:sz w:val="20"/>
          <w:szCs w:val="20"/>
          <w:color w:val="auto"/>
        </w:rPr>
      </w:pPr>
    </w:p>
    <w:p>
      <w:pPr>
        <w:ind w:right="500" w:firstLine="445"/>
        <w:spacing w:after="0" w:line="261" w:lineRule="auto"/>
        <w:rPr>
          <w:sz w:val="20"/>
          <w:szCs w:val="20"/>
          <w:color w:val="auto"/>
        </w:rPr>
      </w:pPr>
      <w:r>
        <w:rPr>
          <w:rFonts w:ascii="Times New Roman" w:cs="Times New Roman" w:eastAsia="Times New Roman" w:hAnsi="Times New Roman"/>
          <w:sz w:val="18"/>
          <w:szCs w:val="18"/>
          <w:color w:val="auto"/>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2026.</w:t>
      </w:r>
    </w:p>
    <w:p>
      <w:pPr>
        <w:spacing w:after="0" w:line="72"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2026.</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revenues and production data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Data:</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3"/>
        </w:trPr>
        <w:tc>
          <w:tcPr>
            <w:tcW w:w="79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Revenues (in thousands):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Oil</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2,840,167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2,772,360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2,144,894</w:t>
            </w:r>
          </w:p>
        </w:tc>
      </w:tr>
      <w:tr>
        <w:trPr>
          <w:trHeight w:val="196"/>
        </w:trPr>
        <w:tc>
          <w:tcPr>
            <w:tcW w:w="79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Natural gas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398,583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371,474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400,705</w:t>
            </w:r>
          </w:p>
        </w:tc>
      </w:tr>
      <w:tr>
        <w:trPr>
          <w:trHeight w:val="203"/>
        </w:trPr>
        <w:tc>
          <w:tcPr>
            <w:tcW w:w="79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oil and natural gas revenues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3,238,750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3,143,834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2,545,599</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midstream services revenues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122,153</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of purchased natural gas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149,869</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 on derivatives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(9,575)</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(loss) on derivatives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r>
      <w:tr>
        <w:trPr>
          <w:trHeight w:val="189"/>
        </w:trPr>
        <w:tc>
          <w:tcPr>
            <w:tcW w:w="7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3,696,277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3,504,981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2,806,785</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 Volumes:</w:t>
            </w:r>
            <w:r>
              <w:rPr>
                <w:rFonts w:ascii="Times New Roman" w:cs="Times New Roman" w:eastAsia="Times New Roman" w:hAnsi="Times New Roman"/>
                <w:sz w:val="18"/>
                <w:szCs w:val="18"/>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7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27,542</w:t>
            </w:r>
          </w:p>
        </w:tc>
      </w:tr>
      <w:tr>
        <w:trPr>
          <w:trHeight w:val="210"/>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r>
      <w:tr>
        <w:trPr>
          <w:trHeight w:val="202"/>
        </w:trPr>
        <w:tc>
          <w:tcPr>
            <w:tcW w:w="7980" w:type="dxa"/>
            <w:vAlign w:val="bottom"/>
          </w:tcPr>
          <w:p>
            <w:pPr>
              <w:ind w:left="880"/>
              <w:spacing w:after="0" w:line="202" w:lineRule="exact"/>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48,112</w:t>
            </w:r>
          </w:p>
        </w:tc>
      </w:tr>
      <w:tr>
        <w:trPr>
          <w:trHeight w:val="203"/>
        </w:trPr>
        <w:tc>
          <w:tcPr>
            <w:tcW w:w="7980" w:type="dxa"/>
            <w:vAlign w:val="bottom"/>
            <w:shd w:val="clear" w:color="auto" w:fill="CCEEFF"/>
          </w:tcPr>
          <w:p>
            <w:pPr>
              <w:ind w:left="880"/>
              <w:spacing w:after="0" w:line="202" w:lineRule="exact"/>
              <w:rPr>
                <w:sz w:val="20"/>
                <w:szCs w:val="20"/>
                <w:color w:val="auto"/>
              </w:rPr>
            </w:pPr>
            <w:r>
              <w:rPr>
                <w:rFonts w:ascii="Times New Roman" w:cs="Times New Roman" w:eastAsia="Times New Roman" w:hAnsi="Times New Roman"/>
                <w:sz w:val="14"/>
                <w:szCs w:val="14"/>
                <w:color w:val="auto"/>
              </w:rPr>
              <w:t>Average daily production (BOE/d)</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131,813</w:t>
            </w: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Oil, without realized derivatives (per Bbl)</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w:t>
            </w:r>
          </w:p>
        </w:tc>
      </w:tr>
      <w:tr>
        <w:trPr>
          <w:trHeight w:val="195"/>
        </w:trPr>
        <w:tc>
          <w:tcPr>
            <w:tcW w:w="7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Oil, with realized derivatives (per Bbl)</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r>
      <w:tr>
        <w:trPr>
          <w:trHeight w:val="210"/>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Natural gas, without realized derivatives (per Mcf)</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8"/>
        </w:trPr>
        <w:tc>
          <w:tcPr>
            <w:tcW w:w="7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Natural gas, with realized derivatives (per Mcf)</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3" w:lineRule="exact"/>
        <w:rPr>
          <w:sz w:val="20"/>
          <w:szCs w:val="20"/>
          <w:color w:val="auto"/>
        </w:rPr>
      </w:pPr>
    </w:p>
    <w:p>
      <w:pPr>
        <w:ind w:left="460" w:right="200" w:hanging="331"/>
        <w:spacing w:after="0" w:line="282" w:lineRule="auto"/>
        <w:tabs>
          <w:tab w:leader="none" w:pos="45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NGLs are included with our natural gas revenues.</w:t>
      </w:r>
    </w:p>
    <w:p>
      <w:pPr>
        <w:spacing w:after="0" w:line="6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as Compared to Year Ended December 31, 2024</w:t>
      </w:r>
    </w:p>
    <w:p>
      <w:pPr>
        <w:spacing w:after="0" w:line="104"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Oil and natural gas revenues</w:t>
      </w:r>
      <w:r>
        <w:rPr>
          <w:rFonts w:ascii="Times New Roman" w:cs="Times New Roman" w:eastAsia="Times New Roman" w:hAnsi="Times New Roman"/>
          <w:sz w:val="18"/>
          <w:szCs w:val="18"/>
          <w:color w:val="auto"/>
        </w:rPr>
        <w:t>. Our oil and natural gas revenues increased $94.9 million, or 3%, to $3.24 billion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$3.14 billion for the year ended December 31, 2024. Our oil revenues increased $67.8 million, or 2%, to $2.84 billion for the year ended December 31, 2025, as compared to $2.77 billion for the year ended December 31, 2024. This increase in oil revenues resulted from a 20% increase in our oil production to 43.7 million Bbl of oil for the year ended December 31, 2025, as compared to 36.5 million Bbl of oil for the year ended December 31, 2024, which was partially offset by a 14% decrease in the weighted average oil price realized for the year ended December 31, 2025 to $64.99 per Bbl, as compared to $75.89 per Bbl realized for the year ended December 31, 2024. Our natural gas revenues increased by $27.1 million, or 7%, to $398.6 million for the year ended December 31, 2025, as compared to $371.5 million for the year ended December 31, 2024. The increase in natural gas revenues was primarily attributable to a 23% increase in our natural gas production to 191.3 Bcf for the year ended December 31, 2025, as compared to 155.8 Bcf for the year ended December 31, 2024, which was partially offset by a 13% decrease in the weighted average natural gas price realized for the year ended December 31, 2025 to $2.08 per Mcf, as compared to $2.38 per Mcf realized for the year ended December 31, 2024.</w:t>
      </w:r>
    </w:p>
    <w:p>
      <w:pPr>
        <w:spacing w:after="0" w:line="131"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$23.7 million, or 17%, to $164.7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2025, as compared to $141.0 million for the year ended December 31, 2024. Third-party midstream services revenues are those revenues from midstream operations related to third parties, including working interest owners in our operated wells. This increase was primarily attributable to (i) an increase in our third-party natural gas gathering and processing revenues to $90.3 million for the year ended December 31, 2025, as compared to $67.5 million for the year ended December 31, 2024, (ii) an increase in our oil transportation revenues to $23.7 million for the year ended December 31, 2025, as compared to $17.3 million for the year ended December 31, 2024, which were partially offset by (iii) a decrease in third-party produced water disposal revenues to $50.7 million for the year ended December 31, 2025, as compared to $56.3 million for the year ended December 31, 2024.</w:t>
      </w:r>
    </w:p>
    <w:p>
      <w:pPr>
        <w:spacing w:after="0" w:line="77"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$58.9 million, or 30%, to $253.0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as compared to $194.1 million for the year ended December 31, 2024. This increase was primarily the result of a 21% increase in natural gas volumes sold and an 8% increase in natural gas prices realized. Sales of purchased natural gas primarily reflect those natural gas purchase transactions that we periodically enter into with third parties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consolidated statements of income.</w:t>
      </w:r>
    </w:p>
    <w:p>
      <w:pPr>
        <w:spacing w:after="0" w:line="6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Realized gain (loss) on derivatives</w:t>
      </w:r>
      <w:r>
        <w:rPr>
          <w:rFonts w:ascii="Times New Roman" w:cs="Times New Roman" w:eastAsia="Times New Roman" w:hAnsi="Times New Roman"/>
          <w:sz w:val="18"/>
          <w:szCs w:val="18"/>
          <w:color w:val="auto"/>
        </w:rPr>
        <w:t>. Our realized net gains on derivatives were $21.7 million and $12.7 million for the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respectively. These realized net gains were related to natural gas basis differentials that were below the fixed prices of our natural gas basis differential swap contracts. We realized average gains on our natural gas derivatives of approximately $0.12 and $0.09 per Mcf of natural gas produced during the years ended December 31, 2025 and 2024, respectively.</w:t>
      </w:r>
    </w:p>
    <w:p>
      <w:pPr>
        <w:spacing w:after="0" w:line="7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Unrealized gain (loss) on derivatives</w:t>
      </w:r>
      <w:r>
        <w:rPr>
          <w:rFonts w:ascii="Times New Roman" w:cs="Times New Roman" w:eastAsia="Times New Roman" w:hAnsi="Times New Roman"/>
          <w:sz w:val="18"/>
          <w:szCs w:val="18"/>
          <w:color w:val="auto"/>
        </w:rPr>
        <w:t>. Our unrealized gain on derivatives was approximately $18.1 million for the year ended December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an unrealized gain of $13.3 million for the year ended December 31, 2024. During the year ended December 31, 2025, the aggregate net fair value of our open oil and natural gas costless collars and natural gas basis differential swap contracts changed from a net asset of approximately $16.0 million to a net asset of approximately $34.1 million, resulting in an unrealized gain on derivatives of approximately $18.1 million for the year ended December 31, 2025. During the year ended December 31, 2024, the aggregate net fair value of our open oil and natural gas derivative contracts changed from a net asset of approximately $2.7 million to a net asset of approximately $16.0 million, resulting in an unrealized gain on derivatives of approximately $13.3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operating expenses and other income (expense)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7"/>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Lease operating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232,521</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Transportation and processing</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59,912</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Midstream operating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124,021</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Purchased natural gas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129,401</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716,688</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Taxes other than income</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220,604</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r>
      <w:tr>
        <w:trPr>
          <w:trHeight w:val="196"/>
        </w:trPr>
        <w:tc>
          <w:tcPr>
            <w:tcW w:w="8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137,069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110,373</w:t>
            </w:r>
          </w:p>
        </w:tc>
      </w:tr>
      <w:tr>
        <w:trPr>
          <w:trHeight w:val="203"/>
        </w:trPr>
        <w:tc>
          <w:tcPr>
            <w:tcW w:w="84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2,469,735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2,070,283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1,597,463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1,226,542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1,434,698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1,209,322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(121,520)</w:t>
            </w:r>
          </w:p>
        </w:tc>
      </w:tr>
      <w:tr>
        <w:trPr>
          <w:trHeight w:val="196"/>
        </w:trPr>
        <w:tc>
          <w:tcPr>
            <w:tcW w:w="8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8,785</w:t>
            </w:r>
          </w:p>
        </w:tc>
      </w:tr>
      <w:tr>
        <w:trPr>
          <w:trHeight w:val="203"/>
        </w:trPr>
        <w:tc>
          <w:tcPr>
            <w:tcW w:w="84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other expense</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(193,098)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(170,991)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(112,937)</w:t>
            </w:r>
          </w:p>
        </w:tc>
      </w:tr>
      <w:tr>
        <w:trPr>
          <w:trHeight w:val="189"/>
        </w:trPr>
        <w:tc>
          <w:tcPr>
            <w:tcW w:w="844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1,033,444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1,263,707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1,096,385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13,922</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172,104</w:t>
            </w:r>
          </w:p>
        </w:tc>
      </w:tr>
      <w:tr>
        <w:trPr>
          <w:trHeight w:val="189"/>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186,026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 in subsidiaries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(64,285)</w:t>
            </w: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Matador Resources Company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885,322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846,074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 per BOE: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Lease operating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Transportation and processing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Midstream operating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Taxes other than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as Compared to Year Ended December 31, 2024</w:t>
      </w:r>
    </w:p>
    <w:p>
      <w:pPr>
        <w:spacing w:after="0" w:line="10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operating expenses. </w:t>
      </w:r>
      <w:r>
        <w:rPr>
          <w:rFonts w:ascii="Times New Roman" w:cs="Times New Roman" w:eastAsia="Times New Roman" w:hAnsi="Times New Roman"/>
          <w:sz w:val="18"/>
          <w:szCs w:val="18"/>
          <w:color w:val="auto"/>
        </w:rPr>
        <w:t>Our lease operating expenses increased $90.7 million, or 28%, to $415.8 million for the year ended December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$325.1 million for the year ended December 31, 2024. On a unit-of-production basis, our lease operating expenses increased 6% to $5.50 per BOE for the year ended December 31, 2025, as compared to $5.20 per BOE for the year ended December 31, 2024. These increases were primarily attributable to the increased number of wells being operated by us and other operators (where we own a working interest) for the year ended December 31, 2025, as compared to the year ended December 31, 2024.</w:t>
      </w:r>
    </w:p>
    <w:p>
      <w:pPr>
        <w:spacing w:after="0" w:line="62"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and processing. </w:t>
      </w:r>
      <w:r>
        <w:rPr>
          <w:rFonts w:ascii="Times New Roman" w:cs="Times New Roman" w:eastAsia="Times New Roman" w:hAnsi="Times New Roman"/>
          <w:sz w:val="18"/>
          <w:szCs w:val="18"/>
          <w:color w:val="auto"/>
        </w:rPr>
        <w:t>Our transportation and processing expenses increased $8.2 million, or 14%, to $66.8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as compared to $58.6 million for the year ended December 31, 2024. This increase in transportation and processing expenses is primarily due to the 21% increase in our total oil equivalent production between the two periods. On a unit-of-production basis, our transportation and processing expenses decreased 6% to $0.88 per BOE for the year ended December 31, 2025, as compared to $0.94 per BOE for the year ended December 31, 2024. This decrease per BOE primarily resulted from the mix of revenue contracts, including from San Mateo, between the two periods.</w:t>
      </w:r>
    </w:p>
    <w:p>
      <w:pPr>
        <w:spacing w:after="0" w:line="1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Midstream operating. </w:t>
      </w:r>
      <w:r>
        <w:rPr>
          <w:rFonts w:ascii="Times New Roman" w:cs="Times New Roman" w:eastAsia="Times New Roman" w:hAnsi="Times New Roman"/>
          <w:sz w:val="18"/>
          <w:szCs w:val="18"/>
          <w:color w:val="auto"/>
        </w:rPr>
        <w:t>Our midstream operating expenses increased $40.7 million, or 24%, to $208.1 million for the year ended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$167.4 million for the year ended December 31, 2024. This increase was primarily attributable to the expansion of the Marlan Processing Plant and increased throughput volumes from Matador’s wholly-owned midstream assets, which resulted in (i) increased expenses associated with our expanded pipeline operations of $100.9 million for the year ended December 31, 2025, as compared to $73.9 million for the year ended December 31, 2024 and (ii) increased expenses associated with plant processing of $52.7 million for the year ended December 31, 2025, as compared to $34.6 million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which was partially offset by (iii) decreased expenses associated with our commercial produced water disposal operations of $59.5 million for the year ended December 31, 2025, as compared to $63.0 million for the year ended December 31, 2024.</w:t>
      </w:r>
    </w:p>
    <w:p>
      <w:pPr>
        <w:spacing w:after="0" w:line="10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$221.1 million, or 23%, to $1.20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2025, as compared to $974.3 million for the year ended December 31, 2024, primarily as a result of the 21% increase in our total oil equivalent production between the respective periods. On a unit-of-production basis, our depletion, depreciation and amortization expenses increased 1% to $15.82 per BOE for the year ended December 31, 2025, as compared to $15.59 per BOE for the year ended December 31, 2024.</w:t>
      </w:r>
    </w:p>
    <w:p>
      <w:pPr>
        <w:spacing w:after="0" w:line="58"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Taxes other than income. </w:t>
      </w:r>
      <w:r>
        <w:rPr>
          <w:rFonts w:ascii="Times New Roman" w:cs="Times New Roman" w:eastAsia="Times New Roman" w:hAnsi="Times New Roman"/>
          <w:sz w:val="18"/>
          <w:szCs w:val="18"/>
          <w:color w:val="auto"/>
        </w:rPr>
        <w:t>Our taxes other than income increased $7.0 million, or 3%, to $275.6 million for the year ended December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$268.6 million for the year ended December 31, 2024. This increase in taxes other than income is primarily due to the increase in oil and natural gas revenues between the two periods. On a unit-of-production basis, our taxes other than income decreased 15% to $3.65 per BOE for the year ended December 31, 2025, as compared to $4.30 per BOE for the year ended December 31, 2024. This decrease per BOE was primarily attributable to a 14% decrease in realized oil prices between the two periods.</w:t>
      </w:r>
    </w:p>
    <w:p>
      <w:pPr>
        <w:spacing w:after="0" w:line="129" w:lineRule="exact"/>
        <w:rPr>
          <w:sz w:val="20"/>
          <w:szCs w:val="20"/>
          <w:color w:val="auto"/>
        </w:rPr>
      </w:pPr>
    </w:p>
    <w:p>
      <w:pPr>
        <w:ind w:right="100" w:firstLine="44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$9.6 million, or 8%, to $137.1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as compared to $127.5 million for the year ended December 31, 2024, primarily due to</w:t>
      </w:r>
    </w:p>
    <w:p>
      <w:pPr>
        <w:ind w:right="40"/>
        <w:spacing w:after="0" w:line="253" w:lineRule="auto"/>
        <w:rPr>
          <w:sz w:val="20"/>
          <w:szCs w:val="20"/>
          <w:color w:val="auto"/>
        </w:rPr>
      </w:pPr>
      <w:r>
        <w:rPr>
          <w:rFonts w:ascii="Times New Roman" w:cs="Times New Roman" w:eastAsia="Times New Roman" w:hAnsi="Times New Roman"/>
          <w:sz w:val="18"/>
          <w:szCs w:val="18"/>
          <w:color w:val="auto"/>
        </w:rPr>
        <w:t>increased payroll for our existing employees as well as with additional employees joining Matador to support our increased land, geoscience, drilling, completion, production, midstream and administration functions as a result of our continued growth. Our general and administrative expenses on a unit-of-production basis decreased 11% to $1.81 per BOE for the year ended December 31, 2025, as compared to $2.04 per BOE for the year ended December 31, 2024, primarily as a result of the 21% increase in our total oil equivalent production between the two periods.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year ended December 31, 2025, we incurred total interest expense of approximately $237.3 million. We capitalized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$28.8 million of our interest expense on certain qualifying projects for the year ended December 31, 2025 and expensed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$208.5 million to operations. For the year ended December 31, 2024, we incurred total interest expense of approximately $201.5 million. We capitalized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$29.8 million of our interest expense on certain qualifying projects for the year ended December 31, 2024 and expensed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$171.7 million to operations. The increase in interest expense for the year ended December 31, 2025 was primarily attributable to a $602.3 million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weighted average of senior notes outstanding between the periods in connection with the Ameredev Acquisition in September 2024.</w:t>
      </w:r>
    </w:p>
    <w:p>
      <w:pPr>
        <w:spacing w:after="0" w:line="15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Total income tax provision. </w:t>
      </w:r>
      <w:r>
        <w:rPr>
          <w:rFonts w:ascii="Times New Roman" w:cs="Times New Roman" w:eastAsia="Times New Roman" w:hAnsi="Times New Roman"/>
          <w:sz w:val="18"/>
          <w:szCs w:val="18"/>
          <w:color w:val="auto"/>
        </w:rPr>
        <w:t>We recorded a current income tax provision of $7.1 million and a deferred income tax provision of $165.6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2025. We recorded a current income tax provision of $27.1 million and a deferred income tax provision of $265.3 million for the year ended December 31, 2024. The decrease in the current income tax provision between the periods was primarily the result of the OBBBA, which made permanent, extended or modified certain provisions under the 2017 Tax Cuts and Jobs Act, among other things. The provisions of the OBBBA that are expected to most significantly impact us include (i) a permanent extension of 100% bonus depreciation for certain capital expenditures, (ii) an immediate deduction of domestic research and experimental expenditures, (iii) an acceleration of deductions for unamortized domestic research or development expenditures and (iv) an elimination of the deduction for depreciation, amortization and depletion from the definition of “adjusted taxable income” for the purpose of calculating limitations on interest expense deductions. The effective income tax rate and the total income tax provision for the year ended December 31, 2025 were not materially impacted by the enactment of the OBBBA.</w:t>
      </w:r>
    </w:p>
    <w:p>
      <w:pPr>
        <w:spacing w:after="0" w:line="13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effective income tax rate of 19% for the year ended December 31, 2025 differed from the U.S. federal statutory rate due primarily to a benefit recognized as a result of the remeasurement of deferred income taxes associated with changes in state apportionment rates following the Company’s filings of its 2024 tax returns, partially offset by state taxes in New Mexico. Our effective income tax rate of 25% for the year ended December 31, 2024 differed from the U.S. federal statutory rate due primarily to state taxes in New Mexico. Our effective income tax rate excluding the effect of net income attributable to non-controlling interest in subsidiaries was 17% and 23% for the years ended December 31, 2025 and 2024, respectively, as disclosed in Note 8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during 2026 and for the foreseeable future to be, for the acquisition, exploration and development of oil and natural gas properties and for midstream investments. We expect to fund our 2026 capital expenditures through a combination of cash on hand, operating cash flows and performance incentives paid to us by Five Point in connection with San Mateo. If capital expenditures were to exceed our operating cash flows in 2026, we expect to fund any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80"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At December 31, 2025, we had cash totaling $15.3 million and restricted cash totaling $64.2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2025, we had (i) $500.0 million of outstanding 6.875% senior notes due 2028 (the “2028 Notes”), (ii) $900.0 million of outstanding 6.500% senior notes due 2032 (the “2032 Notes”), (iii) $750.0 million of outstanding 6.250% senior notes due 2033 (the “2033 Notes”), (iv) $398.0 million of borrowings outstanding under the Credit Agreement and (v) approximately $53.8 million in outstanding letters of credit issued pursuant to the Credit Agreement.</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 million or 10% of the elected borrowing commitments of unrestricted cash and cash equivalents) divided by a rolling four quarter EBITDA calculation, of 3.50 or less at the end of each fiscal quarter. We were in compliance with the terms of the Credit Agreement at December 31, 2025.</w:t>
      </w:r>
    </w:p>
    <w:p>
      <w:pPr>
        <w:spacing w:after="0" w:line="75"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At December 31, 2025, San Mateo had $883.0 million in borrowings outstanding under the San Mateo Credit Facility and approximately $15.4 million in outstanding letters of credit issued pursuant to the San Mateo Credit Facility. In December 2025, San Mateo and certain of its lenders amended the San Mateo Credit Facility to (i) increase the lender commitments from $850.0 million to $1.10 billion, (ii) reduce the borrowing rate and (iii) add one new bank to San Mateo’s lending group. The San Mateo Credit Facility includes an accordion feature, which provides for potential increases in lender commitments of up to $1.35 billion.</w:t>
      </w:r>
    </w:p>
    <w:p>
      <w:pPr>
        <w:spacing w:after="0" w:line="75"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7"/>
          <w:szCs w:val="17"/>
          <w:color w:val="auto"/>
        </w:rPr>
        <w:t>The San Mateo Credit Facility is non-recourse with respect to Matador and its other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w:t>
      </w:r>
    </w:p>
    <w:p>
      <w:pPr>
        <w:spacing w:after="0" w:line="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4.50 or San Mateo’s liquidity is less than 10% of the lender commitments under the San Mateo Credit Facility. San Mateo was in compliance with the terms of the San Mateo Credit Facility at December 31, 2025.</w:t>
      </w:r>
    </w:p>
    <w:p>
      <w:pPr>
        <w:spacing w:after="0" w:line="7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February 2025, April 2025 and July 2025, our Board declared quarterly cash dividends of $0.3125 per share of common stock. In October 2025, the Board amended our dividend policy to increase the quarterly dividend to $0.375 per share of common stock and also declared a quarterly cash dividend of $0.375 per share of common stock. In February 2026, the Board declared a quarterly cash dividend of $0.375 per share of common stock payable on March 10, 2026 to shareholders of record as of February 27, 2026.</w:t>
      </w:r>
    </w:p>
    <w:p>
      <w:pPr>
        <w:spacing w:after="0" w:line="7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April 2025, the Board approved the Share Repurchase Program authorizing the repurchase of up to $400.0 million of common stock. These repurchases may be conducted through a variety of methods including open market purchases, 10b5-1 trading plans, privately negotiated transactions or other means. The timing and number of shares that we may repurchase under the Share Repurchase Program is subject to a variety of factors, including our stock price, market conditions, trading volume and other uses for our free cash flow. There can be no assurance regarding the exact number of shares to be repurchased by us, if any. Depending on market conditions and other factors, these repurchases may be commenced or suspended at any time periodically without prior notice, and the Share Repurchase Program does not obligate us to acquire any amount of common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stock. During the year ended December 31, 2025, we repurchased 1,351,328 shares of common stock under the Share Repurchase Program at a weighted average price of $41.31 per common share for a total cost of $55.8 million.</w:t>
      </w:r>
    </w:p>
    <w:p>
      <w:pPr>
        <w:spacing w:after="0" w:line="5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in 2026. We have built significant optionality into our drilling program, which should generally allow us to decrease or increase the number of rigs we operate as necessary based on changing commodity prices and other factors. Our 2026 estimated capital expenditure budget consists of $1.35 to $1.44 billion for D/C/E capital expenditures and $100.0 to $110.0 million for midstream capital expenditures, which reflects our proportionate share of San Mateo’s estimated 2026 capital expenditures as well as the estimated 2026 capital expenditures for other wholly-owned midstream projects. Substantially all of these 2026 estimated capital expenditures are expected to be allocated to (i) the further delineation and development of our leasehold position, (ii) the construction, installation and maintenance of midstream assets and (iii) our participation in certain non-operated well opportunities. Our 2026 Delaware Basin operated drilling program is expected to focus on the continued development of our various asset areas, with a continued emphasis on drilling and completing a high percentage of longer horizontal wells.</w:t>
      </w:r>
    </w:p>
    <w:p>
      <w:pPr>
        <w:spacing w:after="0" w:line="80" w:lineRule="exact"/>
        <w:rPr>
          <w:sz w:val="20"/>
          <w:szCs w:val="20"/>
          <w:color w:val="auto"/>
        </w:rPr>
      </w:pPr>
    </w:p>
    <w:p>
      <w:pPr>
        <w:ind w:right="520" w:firstLine="445"/>
        <w:spacing w:after="0" w:line="261" w:lineRule="auto"/>
        <w:rPr>
          <w:sz w:val="20"/>
          <w:szCs w:val="20"/>
          <w:color w:val="auto"/>
        </w:rPr>
      </w:pPr>
      <w:r>
        <w:rPr>
          <w:rFonts w:ascii="Times New Roman" w:cs="Times New Roman" w:eastAsia="Times New Roman" w:hAnsi="Times New Roman"/>
          <w:sz w:val="18"/>
          <w:szCs w:val="18"/>
          <w:color w:val="auto"/>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2026.</w:t>
      </w:r>
    </w:p>
    <w:p>
      <w:pPr>
        <w:spacing w:after="0" w:line="72" w:lineRule="exact"/>
        <w:rPr>
          <w:sz w:val="20"/>
          <w:szCs w:val="20"/>
          <w:color w:val="auto"/>
        </w:rPr>
      </w:pPr>
    </w:p>
    <w:p>
      <w:pPr>
        <w:ind w:right="480" w:firstLine="445"/>
        <w:spacing w:after="0" w:line="266" w:lineRule="auto"/>
        <w:rPr>
          <w:sz w:val="20"/>
          <w:szCs w:val="20"/>
          <w:color w:val="auto"/>
        </w:rPr>
      </w:pPr>
      <w:r>
        <w:rPr>
          <w:rFonts w:ascii="Times New Roman" w:cs="Times New Roman" w:eastAsia="Times New Roman" w:hAnsi="Times New Roman"/>
          <w:sz w:val="18"/>
          <w:szCs w:val="18"/>
          <w:color w:val="auto"/>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2026.</w:t>
      </w:r>
    </w:p>
    <w:p>
      <w:pPr>
        <w:spacing w:after="0" w:line="6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2026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2026 is expected to come from producing wells and development activities on currently proved properties in the Wolfcamp and Bone Spring plays in the Delaware Basin.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2026 and the hedges we currently have in place. For a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2025.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natural gas and NGLs is highly speculative and involves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 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52"/>
        </w:trPr>
        <w:tc>
          <w:tcPr>
            <w:tcW w:w="7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Our cash flows for the years ended December 31, 2025, 2024 and 2023 are presented below.</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0"/>
        </w:trPr>
        <w:tc>
          <w:tcPr>
            <w:tcW w:w="13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1,867,828</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(3,211,192)</w:t>
            </w: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902,332</w:t>
            </w: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(441,032)</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72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1,849,547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500" w:hanging="331"/>
        <w:spacing w:after="0" w:line="302" w:lineRule="auto"/>
        <w:tabs>
          <w:tab w:leader="none" w:pos="45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and net cash provided by operating activities, see “—Non-GAAP Financial Measures”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by $178.1 million to $2.43 billion for the year ended December 31, 2025 from $2.25 billion for the year ended December 31, 2024. Excluding changes in operating assets and liabilities, net cash provided by operating activities increased by $15.0 million to $2.25 billion for the year ended December 31, 2025 from $2.23 billion for the year ended December 31, 2024. This increase was primarily attributable to a 21% increase in total oil equivalent production during 2025, as compared to 2024, partially offset by lower realized oil and natural gas prices. Changes in our operating assets and liabilities between the periods resulted in a $163.1 million increase in net cash provided by operating activities for the year ended December 31, 2025, as compared to the year ended December 31, 2024.</w:t>
      </w:r>
    </w:p>
    <w:p>
      <w:pPr>
        <w:spacing w:after="0" w:line="79"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Our operating cash flows are sensitive to a number of variables that are beyond our control and are difficult to predict. From time to time,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decreased by $1.51 billion to $2.16 billion for the year ended December 31, 2025 from $3.67 billion for the year ended December 31, 2024. This decrease in net cash used in investing activities between the periods was primarily due to (i) a $1.83 billion decrease in expenditures related to the Ameredev Acquisition that occurred in September 2024, (ii) a $115.3 million decrease in expenditures related to the acquisition of oil and natural gas properties and (iii) a $10.1 million increase in cash provided by proceeds from the sale of assets. The decreases in cash used in investing activities between the periods were partially offset by (i) a $319.4 million increase in D/C/E capital expenditures primarily attributable to our operated and non-operated drilling, completion and equipping activities in the Delaware Basin, (ii) a $110.3 million decrease in proceeds from the sale of an equity method investment in the parent company of Piñon Midstream, LLC, and (iii) a $13.9 million increase in midstream capital expenditures.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19"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increased by $1.70 billion to $282.6 million for the year ended December 31, 2025, from net cash provided by financing activities of $1.41 billion for the year ended December 31, 2024. This increase in net cash used in financing activities between the periods was primarily due to (i) a $1.27 billion decrease in net proceeds from debt and equity offerings in the prior period, (ii) a $293.0 million increase in net repayments under the Credit Agreement, (iii) a $44.7 million increase in net distributions related to San Mateo, (iv) a $58.2 million increase in dividends paid and (v) a $55.8 million increase in repurchases of common stock. These increases in net cash used in financing activities were partially offset by (i) a $175.0 million increase in net borrowings under the San Mateo Credit Facility and (ii) a $31.0 million decrease in costs to amend credit facilities.</w:t>
      </w:r>
    </w:p>
    <w:p>
      <w:pPr>
        <w:spacing w:after="0" w:line="7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See Note 7 to the consolidated financial statements in this Annual Report for a summary of our debt, including the Credit Agreement, the San Mateo Credit Facility, the 2028 Notes, the 2032 Notes and the 2033 Notes.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92" w:lineRule="exact"/>
        <w:rPr>
          <w:sz w:val="20"/>
          <w:szCs w:val="20"/>
          <w:color w:val="auto"/>
        </w:rPr>
      </w:pPr>
    </w:p>
    <w:p>
      <w:pPr>
        <w:ind w:right="280" w:firstLine="445"/>
        <w:spacing w:after="0" w:line="256" w:lineRule="auto"/>
        <w:rPr>
          <w:sz w:val="20"/>
          <w:szCs w:val="20"/>
          <w:color w:val="auto"/>
        </w:rPr>
      </w:pPr>
      <w:r>
        <w:rPr>
          <w:rFonts w:ascii="Times New Roman" w:cs="Times New Roman" w:eastAsia="Times New Roman" w:hAnsi="Times New Roman"/>
          <w:sz w:val="18"/>
          <w:szCs w:val="18"/>
          <w:color w:val="auto"/>
        </w:rPr>
        <w:t>We define Adjusted EBITDA attributable to Matador shareholders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3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2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129" w:lineRule="exact"/>
        <w:rPr>
          <w:sz w:val="20"/>
          <w:szCs w:val="20"/>
          <w:color w:val="auto"/>
        </w:rPr>
      </w:pPr>
    </w:p>
    <w:p>
      <w:pPr>
        <w:ind w:right="26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ind w:left="8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Adjusted EBITDA Reconciliation to Net Income: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Matador Resources Company shareholders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759,221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885,322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846,074</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 in subsidiaries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64,285</w:t>
            </w:r>
          </w:p>
        </w:tc>
      </w:tr>
      <w:tr>
        <w:trPr>
          <w:trHeight w:val="189"/>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860,769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910,359</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121,520</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186,026</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716,688</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loss on derivatives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13,661</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on impairment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expense related to contingent consideration and other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(6,038)</w:t>
            </w:r>
          </w:p>
        </w:tc>
      </w:tr>
      <w:tr>
        <w:trPr>
          <w:trHeight w:val="203"/>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Consolidated Adjusted EBITDA</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2,438,662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2,422,824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1,947,622</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Adjusted EBITDA attributable to non-controlling interest in subsidiaries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(98,075)</w:t>
            </w:r>
          </w:p>
        </w:tc>
      </w:tr>
      <w:tr>
        <w:trPr>
          <w:trHeight w:val="221"/>
        </w:trPr>
        <w:tc>
          <w:tcPr>
            <w:tcW w:w="81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Adjusted EBITDA attributable to Matador Resources Company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2,294,551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2,298,777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1,849,547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Adjusted EBITDA Reconciliation to Net Cash Provided by Operating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2,425,015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2,246,885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1,867,828</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operating assets and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(50,027)</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 of non-cash portion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114,473</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provision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non-cash and non-recurring (income)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Adjusted EBITDA attributable to non-controlling interest in subsidiaries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(124,047)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(98,075)</w:t>
            </w:r>
          </w:p>
        </w:tc>
      </w:tr>
      <w:tr>
        <w:trPr>
          <w:trHeight w:val="22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attributable to Matador Resources Company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2,294,551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2,298,777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1,849,547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we reported net income attributable to Matador shareholders of $759.2 million, as compared to $885.3 million for the year ended December 31, 2024. This decrease primarily resulted from (i) a $221.1 million increase in depletion, depreciation and amortization expenses, (ii) a $90.7 million increase in lease operating expenses, (iii) a $40.7 million increase in midstream operating expenses, (iv) a $36.8 million increase in interest expense, (v) an $8.2 million increase in transportation and processing expenses and (vi) lower realized oil and natural gas prices for the year ended December 31, 2025, as compared to the year ended December 31, 2024. These expense increases were partially offset by (i) increased oil and natural gas production and (ii) a $119.7 million decrease in the income tax provision for the year ended December 31, 2025, as compared to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material off-balance sheet obligations. As of December 31, 2025,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6"/>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14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8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1"/>
                <w:szCs w:val="11"/>
                <w:color w:val="auto"/>
              </w:rPr>
            </w:pPr>
          </w:p>
        </w:tc>
        <w:tc>
          <w:tcPr>
            <w:tcW w:w="9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99"/>
              </w:rPr>
              <w:t>More Than 5</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6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Borrowings, including letters of credit</w:t>
            </w:r>
            <w:r>
              <w:rPr>
                <w:rFonts w:ascii="Times New Roman" w:cs="Times New Roman" w:eastAsia="Times New Roman" w:hAnsi="Times New Roman"/>
                <w:sz w:val="18"/>
                <w:szCs w:val="18"/>
                <w:color w:val="auto"/>
                <w:vertAlign w:val="superscript"/>
              </w:rPr>
              <w:t>(1)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1,350,244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1,350,244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Senior unsecured notes</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1,650,000</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leases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72,418</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Non-operated drilling commitments</w:t>
            </w:r>
            <w:r>
              <w:rPr>
                <w:rFonts w:ascii="Times New Roman" w:cs="Times New Roman" w:eastAsia="Times New Roman" w:hAnsi="Times New Roman"/>
                <w:sz w:val="18"/>
                <w:szCs w:val="18"/>
                <w:color w:val="auto"/>
                <w:vertAlign w:val="superscript"/>
              </w:rPr>
              <w:t>(3)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56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Drilling rig contracts</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Asset retirement obligations</w:t>
            </w:r>
            <w:r>
              <w:rPr>
                <w:rFonts w:ascii="Times New Roman" w:cs="Times New Roman" w:eastAsia="Times New Roman" w:hAnsi="Times New Roman"/>
                <w:sz w:val="18"/>
                <w:szCs w:val="18"/>
                <w:color w:val="auto"/>
                <w:vertAlign w:val="superscript"/>
              </w:rPr>
              <w:t>(5)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135,558</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Transportation, gathering, processing and disposal agreements with non-affiliates</w:t>
            </w:r>
            <w:r>
              <w:rPr>
                <w:rFonts w:ascii="Times New Roman" w:cs="Times New Roman" w:eastAsia="Times New Roman" w:hAnsi="Times New Roman"/>
                <w:sz w:val="18"/>
                <w:szCs w:val="18"/>
                <w:color w:val="auto"/>
                <w:vertAlign w:val="superscript"/>
              </w:rPr>
              <w:t>(6)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2,320,113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452,288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1,140,563</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Transportation, gathering, processing and disposal agreements with San Mateo</w:t>
            </w:r>
            <w:r>
              <w:rPr>
                <w:rFonts w:ascii="Times New Roman" w:cs="Times New Roman" w:eastAsia="Times New Roman" w:hAnsi="Times New Roman"/>
                <w:sz w:val="18"/>
                <w:szCs w:val="18"/>
                <w:color w:val="auto"/>
                <w:vertAlign w:val="superscript"/>
              </w:rPr>
              <w:t>(7)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206,590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201,425</w:t>
            </w:r>
          </w:p>
        </w:tc>
        <w:tc>
          <w:tcPr>
            <w:tcW w:w="0" w:type="dxa"/>
            <w:vAlign w:val="bottom"/>
          </w:tcPr>
          <w:p>
            <w:pPr>
              <w:spacing w:after="0"/>
              <w:rPr>
                <w:sz w:val="1"/>
                <w:szCs w:val="1"/>
                <w:color w:val="auto"/>
              </w:rPr>
            </w:pP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Midstream contracts</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contractual cash obligations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6,929,324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1,380,899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2,023,933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3,199,964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40" w:hanging="331"/>
        <w:spacing w:after="0" w:line="265" w:lineRule="auto"/>
        <w:tabs>
          <w:tab w:leader="none" w:pos="45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December 31, 2025, we had $398.0 million in borrowings outstanding under the Credit Agreement and approximately $53.8 million in outstanding letters of credit issued pursuant to the Credit Agreement. The outstanding borrowings under the Credit Agreement mature on March 22, 2029. At December 31, 2025, San Mateo had $883.0 million of borrowings outstanding under the San Mateo Credit Facility and approximately $15.4 million in outstanding letters of credit issued pursuant to the San Mateo Credit Facility. The outstanding borrowings under the San Mateo Credit Facility mature on November 26, 2029. Assuming the amounts outstanding and interest rates of 5.63% and 5.72%, respectively, for the Credit Agreement and the San Mateo Credit Facility at December 31, 2025, the interest expense for such facilities is expected to be approximately $22.4 million and $50.5 million, respectively, each year until maturity.</w:t>
      </w:r>
    </w:p>
    <w:p>
      <w:pPr>
        <w:spacing w:after="0" w:line="80" w:lineRule="exact"/>
        <w:rPr>
          <w:rFonts w:ascii="Times New Roman" w:cs="Times New Roman" w:eastAsia="Times New Roman" w:hAnsi="Times New Roman"/>
          <w:sz w:val="14"/>
          <w:szCs w:val="14"/>
          <w:color w:val="auto"/>
        </w:rPr>
      </w:pPr>
    </w:p>
    <w:p>
      <w:pPr>
        <w:ind w:left="460" w:right="140" w:hanging="331"/>
        <w:spacing w:after="0" w:line="271" w:lineRule="auto"/>
        <w:tabs>
          <w:tab w:leader="none" w:pos="45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$500.0 million of outstanding 2028 Notes as of December 31, 2025 is expected to be approximately $34.4 million each year until maturity. Interest expense on the $900.0 million of outstanding 2032 Notes as of December 31, 2025 is expected to be approximately</w:t>
      </w:r>
    </w:p>
    <w:p>
      <w:pPr>
        <w:ind w:left="460" w:right="4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$58.5 million each year until maturity. Interest expense on the $750.0 million of outstanding 2033 Notes as of December 31, 2025 is expected to be approximately $46.9 million each year until maturity.</w:t>
      </w:r>
    </w:p>
    <w:p>
      <w:pPr>
        <w:spacing w:after="0" w:line="7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we had outstanding commitments to participate in the drilling and completion of various non-operated wells.</w:t>
      </w:r>
    </w:p>
    <w:p>
      <w:pPr>
        <w:spacing w:after="0" w:line="122" w:lineRule="exact"/>
        <w:rPr>
          <w:rFonts w:ascii="Times New Roman" w:cs="Times New Roman" w:eastAsia="Times New Roman" w:hAnsi="Times New Roman"/>
          <w:sz w:val="14"/>
          <w:szCs w:val="14"/>
          <w:color w:val="auto"/>
        </w:rPr>
      </w:pPr>
    </w:p>
    <w:p>
      <w:pPr>
        <w:ind w:left="460" w:right="340" w:hanging="331"/>
        <w:spacing w:after="0" w:line="302" w:lineRule="auto"/>
        <w:tabs>
          <w:tab w:leader="none" w:pos="45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 See Note 14 to the consolidated financial statements in this Annual Report for more information regarding these contractual commitments.</w:t>
      </w:r>
    </w:p>
    <w:p>
      <w:pPr>
        <w:spacing w:after="0" w:line="53"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December 31, 2025.</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right="60" w:hanging="331"/>
        <w:spacing w:after="0" w:line="268" w:lineRule="auto"/>
        <w:tabs>
          <w:tab w:leader="none" w:pos="4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including contracts related to firm transportation on Energy Transfer’s Hugh Brinson Pipeline. If we do not meet the minimum volume commitments under these agreements, we would be required to pay deficiency fees. See Note 14 to the consolidated financial statements in this Annual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460" w:hanging="331"/>
        <w:spacing w:after="0" w:line="265" w:lineRule="auto"/>
        <w:tabs>
          <w:tab w:leader="none" w:pos="4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asset area and the Wolf portion of the West Texas asset area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In connection with the Pronto Transaction, we dedicated to San Mateo our current and certain future leasehold interests in the Ranger and Antelope Ridge asset areas pursuant to 15-year, fixed fee natural gas gathering, compression, treating and processing agreements with San Mateo whereby San Mateo will gather, compress, treat and process natural gas produced from our operated wells in northern Lea County, New Mexico. See Note 14 to the consolidated financial statements in this Annual Report for more information regarding these contractual commitments.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Our business success and financial results are dependent on many factors beyond our control, such as economic, political and regulatory developments, as well as competition from other sources of energy. For example, the current administration and Congress have altered, and may continue to alter, our current regulatory framework and may impact our business and the oil and natural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the ongoing military conflicts between Russia and Ukraine and in the Middle East, political instability, particularly in China and in the Middle East, the actions of OPEC+, weather, pipeline capacity constraints, inventory storage levels, oil and natural gas price differentials and other factors.</w:t>
      </w:r>
    </w:p>
    <w:p>
      <w:pPr>
        <w:spacing w:after="0" w:line="8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prices we receive for oil, natural gas and NGLs heavily influence our revenues, profitability, cash flow available for capital expenditures, the repayment of debt, the payment of cash dividends, if any, the repurchase of our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80" w:lineRule="exact"/>
        <w:rPr>
          <w:sz w:val="20"/>
          <w:szCs w:val="20"/>
          <w:color w:val="auto"/>
        </w:rPr>
      </w:pPr>
    </w:p>
    <w:p>
      <w:pPr>
        <w:ind w:right="260" w:firstLine="44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oil prices averaged $64.73 per Bbl, as compared to $75.76 per Bbl in 2024, ranging from a high of $80.04 per Bbl in mid-January to a low of $55.27 per Bbl in mid-December, based upon the WTI oil futures contract price for the earliest delivery date. We realized a weighted average oil price of $64.99 per Bbl (with no realized gains or losses from oil derivatives) for our oil production for the year ended December 31, 2025, as compared to $75.89 per Bbl (with no realized gains or losses from oil derivatives) for the year ended December 31, 2024. At February 24, 2026, the WTI oil futures contract price for the earliest delivery date had increased from year-end 2025, closing at $65.63 per Bbl, but was lower compared to $70.70 per Bbl on February 24, 2025.</w:t>
      </w:r>
    </w:p>
    <w:p>
      <w:pPr>
        <w:spacing w:after="0" w:line="7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natural gas prices averaged $3.62 per MMBtu, as compared to $2.40 per MMBtu in 2024, based upon the NYMEX Henry Hub natural gas futures contract price for the earliest delivery date. During 2025, natural gas prices ranged from a low of $2.70 per MMBtu in late August to a high of $5.29 per MMBtu in early December. We report production volumes in two streams, oil and natural gas (which includes both dry gas and NGLs). NGL prices were also lower in 2025 as compared to 2024, which contributed to lower realized weighted average natural gas prices for the year ended December 31, 2025. We realized a weighted average natural gas price of $2.08 per Mcf ($2.20 per Mcf including realized gains from natural gas derivatives) for our natural gas production for the year ended December 31, 2025, as compared to $2.38 per Mcf ($2.47 per Mcf including realized losses from natural gas derivatives) for the year ended December 31, 2024. At February 24, 2026, the NYMEX Henry Hub natural gas futures contract price for the earliest delivery date had decreased from year-end 2025, closing at $2.92 per MMBtu, and was lower as compared to $3.99 per MMBtu at February 24, 2025.</w:t>
      </w:r>
    </w:p>
    <w:p>
      <w:pPr>
        <w:spacing w:after="0" w:line="8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2025,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February 24, 2026, this oil price differential was approximately +$0.66 per Bbl. At February 24, 2026, we had no derivative contracts in place to mitigate our exposure to this Midland-Cushing (Oklahoma) oil price differential for 2026.</w:t>
      </w:r>
    </w:p>
    <w:p>
      <w:pPr>
        <w:spacing w:after="0" w:line="68"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 result, the Waha-Henry Hub basis differential began to widen. The Waha-Henry Hub basis differential averaged ($2.96) per MMBtu for the year ended December 31, 2025. Between December 31, 2025 and February 24, 2026, this natural gas price differential remained wide at approximately ($5.11) per MMBtu. A significant portion of our Delaware Basin natural gas production, however, is sold at Houston Ship Channel pricing and is not exposed to Waha pricing. At certain times, we may also sell a portion of our natural gas production into other markets to improve our realized natural gas pricing. For example, in the fourth quarter of 2025, the Company entered into an agreement to transport natural gas on Energy Transfer’s Hugh Brinson Pipeline. The Hugh Brinson Pipeline is expected to provide direct access from the Waha hub in the Permian Basin to Henry Hub markets along the Louisiana Gulf Coast. Further, approximately 4% of our reported natural gas production for the year ended December 31, 2025 was attributable to the Haynesville shale play, which is not exposed to Waha pricing. In addition, most of our natural gas volumes in the Delaware Basin are processed for NGLs, resulting in a further reduction in the reported natural gas volumes exposed to Waha pricing.</w:t>
      </w:r>
    </w:p>
    <w:p>
      <w:pPr>
        <w:spacing w:after="0" w:line="8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year ended December 31, 2025, we realized gains on our natural gas basis differential derivative contracts of approximately $21.7 million resulting primarily from natural gas basis differentials that were below the fixed prices of our natural gas basis differential swap contracts.</w:t>
      </w:r>
    </w:p>
    <w:p>
      <w:pPr>
        <w:spacing w:after="0" w:line="79"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We have at times, including in the fourth quarter of 2025,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2024 and 2025, we may again temporarily shut in certain high gas-oil ratio wells and take other actions to mitigate the impact on our realized natural gas prices and results.</w:t>
      </w:r>
    </w:p>
    <w:p>
      <w:pPr>
        <w:spacing w:after="0" w:line="8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have at times experienced inflation in the costs of certain oilfield services, materials and equipment,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 See “Risk Factors—Risks Related to our Financial Condition—Our industry and the broader U.S. economy have experienced higher than expected inflationary pressures in recent years.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Factors—Risks Related to Laws and Regulations—Changes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spacing w:after="0" w:line="8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w:t>
      </w:r>
    </w:p>
    <w:p>
      <w:pPr>
        <w:spacing w:after="0" w:line="7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Certain segments of the investor community have at times expressed negative sentiment towards investing in the oil and natural gas industry and some investors, including certain pension funds, sovereign wealth funds, university endowments and family foundations, have stated policies to reduce or eliminate their investments in the oil and natural gas sector based on social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environmental considerations. See “Risk Factors—Risks Related to our Common Stock—Attention to ESG and conservation matters and a negative shift in market perception towards the oil and natural gas industry could adversely affect demand for oil and natural gas and our stock price.”</w:t>
      </w:r>
    </w:p>
    <w:p>
      <w:pPr>
        <w:spacing w:after="0" w:line="5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84"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Properties</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use the full-cost method of accounting for our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7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Capitalized costs of oil and natural gas properties are depleted using the unit-of-production method based upon production and estimates of proved reserves quantities. Unproved and unevaluated property costs are excluded from the depletable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depletable base. Exploratory dry holes are included in the depletable base immediately upon the determination that the well is not productive.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Ceiling Test</w:t>
      </w:r>
    </w:p>
    <w:p>
      <w:pPr>
        <w:spacing w:after="0" w:line="11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54" w:lineRule="exact"/>
        <w:rPr>
          <w:sz w:val="20"/>
          <w:szCs w:val="20"/>
          <w:color w:val="auto"/>
        </w:rPr>
      </w:pPr>
    </w:p>
    <w:p>
      <w:pPr>
        <w:ind w:right="100" w:firstLine="453"/>
        <w:spacing w:after="0" w:line="282" w:lineRule="auto"/>
        <w:tabs>
          <w:tab w:leader="none" w:pos="6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10%, of future net revenues of proved oil and natural gas reserves, reduced by the estimated costs of developing these reserves, plus</w:t>
      </w:r>
    </w:p>
    <w:p>
      <w:pPr>
        <w:spacing w:after="0" w:line="53"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unproved and unevaluated property costs not being amortized, plus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estimated fair value of unproved and unevaluated properties included in the costs being amortized, if any, less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tax effects related to the properties involved.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Any excess of our net capitalized costs above the cost center ceiling as described above is charged to operations as a full-cost ceiling impairment. Our derivative instruments are not considered in the ceiling test computation as we do not designate these instruments as hedge instruments for accounting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Reserves Quantities and Standardized Measure of Future Net Revenue</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81"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assumptions related to oil and natural gas prices, development expenditures, operating expenses, capital expenditures, taxes and availability of funds.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Condition—We may be required to write down the carrying value of our proved properties under accounting rules, and these write-downs could adversely affect our financial condition.”</w:t>
      </w:r>
    </w:p>
    <w:p>
      <w:pPr>
        <w:spacing w:after="0" w:line="8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Estimates of proved oil and natural gas reserves are key inputs used for the calculations of depletion, the ceiling test and the fair value assigned to proved oil and natural gas reserves acquired in a business combination. The estimated present value of future net cash flows from proved oil and natural gas reserves is highly dependent upon the quantities of proved reserves, the estimation of which requires substantial judgment. Oil and natural gas reserves are estimated using then-current operating and economic conditions, with no provision for price and cost escalations in future periods except by contractual arrangements. The associated commodity prices and the applicable discount rate used to determine the fair value assigned to proved oil and natural gas reserves acquired in a business combination are based upon a variety of factors on the date of acquisition. The associated commodity prices and the applicable discount rate used in estimates for depletion and the ceiling test are in accordance with guidelines established by the SEC. Under these guidelines,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spacing w:after="0" w:line="75" w:lineRule="exact"/>
        <w:rPr>
          <w:sz w:val="20"/>
          <w:szCs w:val="20"/>
          <w:color w:val="auto"/>
        </w:rPr>
      </w:pPr>
    </w:p>
    <w:p>
      <w:pPr>
        <w:jc w:val="both"/>
        <w:ind w:right="180" w:firstLine="445"/>
        <w:spacing w:after="0" w:line="261" w:lineRule="auto"/>
        <w:rPr>
          <w:sz w:val="20"/>
          <w:szCs w:val="20"/>
          <w:color w:val="auto"/>
        </w:rPr>
      </w:pPr>
      <w:r>
        <w:rPr>
          <w:rFonts w:ascii="Times New Roman" w:cs="Times New Roman" w:eastAsia="Times New Roman" w:hAnsi="Times New Roman"/>
          <w:sz w:val="18"/>
          <w:szCs w:val="18"/>
          <w:color w:val="auto"/>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Accounting</w:t>
      </w:r>
    </w:p>
    <w:p>
      <w:pPr>
        <w:spacing w:after="0" w:line="1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Periodically we acquire assets and assume liabilities in transactions accounted for as business combinations, such as the Advance Acquisition in 2023 and the Ameredev Acquisition in 2024.</w:t>
      </w:r>
    </w:p>
    <w:p>
      <w:pPr>
        <w:spacing w:after="0" w:line="5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In estimating the fair value of assets acquired and liabilities assumed in these transactions, including the Advance Acquisition and the Ameredev Acquisition, we must make a number of estimates and assumptions and may engage third-party valuation experts. The most significant assumptions relate to the estimated fair values of oil and natural gas properties. Significant judgments and assumptions are inherent in these estimates and include, among other things, estimates of future production volumes, estimates of future commodity prices, expected development and operating costs, an estimate of a market-based weighted average cost of capital rate and recent market comparable transactions for unproved acreage.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the consolidated financial statements in this Annual Report for a description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66" w:lineRule="exact"/>
        <w:rPr>
          <w:sz w:val="20"/>
          <w:szCs w:val="20"/>
          <w:color w:val="auto"/>
        </w:rPr>
      </w:pPr>
    </w:p>
    <w:p>
      <w:pPr>
        <w:jc w:val="both"/>
        <w:ind w:right="2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spacing w:after="0" w:line="84" w:lineRule="exact"/>
        <w:rPr>
          <w:sz w:val="20"/>
          <w:szCs w:val="20"/>
          <w:color w:val="auto"/>
        </w:rPr>
      </w:pPr>
    </w:p>
    <w:p>
      <w:pPr>
        <w:jc w:val="both"/>
        <w:ind w:right="220" w:firstLine="445"/>
        <w:spacing w:after="0" w:line="312" w:lineRule="auto"/>
        <w:rPr>
          <w:sz w:val="20"/>
          <w:szCs w:val="20"/>
          <w:color w:val="auto"/>
        </w:rPr>
      </w:pPr>
      <w:r>
        <w:rPr>
          <w:rFonts w:ascii="Times New Roman" w:cs="Times New Roman" w:eastAsia="Times New Roman" w:hAnsi="Times New Roman"/>
          <w:sz w:val="17"/>
          <w:szCs w:val="17"/>
          <w:color w:val="auto"/>
        </w:rPr>
        <w:t>We record all derivative financial instruments at fair value, which is determined using purchase and sale information available for similarly traded securities. Additionally, we have considered the credit standing of the counterparties in determining the fair value of our derivative financial instruments.</w:t>
      </w:r>
    </w:p>
    <w:p>
      <w:pPr>
        <w:spacing w:after="0" w:line="3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2025, we had various costless collar contracts open and in place to mitigate our exposure to oil price volatility, each with an established price floor and ceiling. At December 31, 2025, we had natural gas basis differential swap contracts open and in place to mitigate our exposure to natural gas price volatility, with a specific term (calculation period), notional quantity (volume hedged) and fixed price. We had no open contracts associated with NGL prices at December 31, 2025.</w:t>
      </w:r>
    </w:p>
    <w:p>
      <w:pPr>
        <w:spacing w:after="0" w:line="72" w:lineRule="exact"/>
        <w:rPr>
          <w:sz w:val="20"/>
          <w:szCs w:val="20"/>
          <w:color w:val="auto"/>
        </w:rPr>
      </w:pPr>
    </w:p>
    <w:p>
      <w:pPr>
        <w:ind w:right="960" w:firstLine="445"/>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in this Annual Report for a summary of our open derivative financial instruments at December 31, 2025. Such information is incorporated herein by reference.</w:t>
      </w:r>
    </w:p>
    <w:p>
      <w:pPr>
        <w:spacing w:after="0" w:line="52"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Effect of Derivatives Legislation. </w:t>
      </w:r>
      <w:r>
        <w:rPr>
          <w:rFonts w:ascii="Times New Roman" w:cs="Times New Roman" w:eastAsia="Times New Roman" w:hAnsi="Times New Roman"/>
          <w:sz w:val="18"/>
          <w:szCs w:val="18"/>
          <w:color w:val="auto"/>
        </w:rPr>
        <w:t>The Dodd-Frank Act, among other things, established federal oversight and regulation of certain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this legislation could have a substantial impact on our counterparties and may increase the cost of our derivative arrangements in the future. See “Risk Factors—Risks Related to Laws and Regulations—Derivatives legislation adopted by Congress could have an adverse impact on our ability to hedge risks associated with our business.”</w:t>
      </w:r>
    </w:p>
    <w:p>
      <w:pPr>
        <w:spacing w:after="0" w:line="66"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do not and have not used interest rate derivatives to alter interest rate exposure in an attempt to reduce interest rate expense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debt. At December 31, 2025, we had $398.0 million of outstanding borrowings under our Credit Agreement at an interest rate of 5.63%, $500.0 million of outstanding 2028 Notes at a coupon rate of 6.875%, $900.0 million of outstanding 2032 Notes at a coupon rate of 6.500%, $750.0 million of outstanding 2033 Notes at a coupon rate of 6.250% and $883.0 million of outstanding borrowings under the San Mateo Credit Facility at an interest rate of 5.72%.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74"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Counterparty and customer credit risk. </w:t>
      </w:r>
      <w:r>
        <w:rPr>
          <w:rFonts w:ascii="Times New Roman" w:cs="Times New Roman" w:eastAsia="Times New Roman" w:hAnsi="Times New Roman"/>
          <w:sz w:val="18"/>
          <w:szCs w:val="18"/>
          <w:color w:val="auto"/>
        </w:rPr>
        <w:t>Joint interest receivables arise from billing entities that own partial interests in the wells we operate.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is subject to the credit risk of their customers. The inability or failure of our or San Mateo’s significant customers to meet their obligations or their insolvency or liquidation may adversely affect our financial condition, results of operations and cash flows. In addition, our derivative arrangements expose us to credit risk in the event of nonperformance by our counterparties.</w:t>
      </w:r>
    </w:p>
    <w:p>
      <w:pPr>
        <w:spacing w:after="0" w:line="7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counterparties on our derivative financial instruments in place at February 24, 2026 were Bank of America, PNC Bank, Truist Bank, The Bank of Nova Scotia, Royal Bank of Canada, Comerica Bank, BOKF (or affiliates thereof), The Toronto Dominion Bank, J.P. Morgan Chase Bank and Wells Fargo Bank, which are all lenders under our Credit Agreement.</w:t>
      </w:r>
    </w:p>
    <w:p>
      <w:pPr>
        <w:spacing w:after="0" w:line="8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Impact of inflation</w:t>
      </w:r>
      <w:r>
        <w:rPr>
          <w:rFonts w:ascii="Times New Roman" w:cs="Times New Roman" w:eastAsia="Times New Roman" w:hAnsi="Times New Roman"/>
          <w:sz w:val="18"/>
          <w:szCs w:val="18"/>
          <w:color w:val="auto"/>
        </w:rPr>
        <w:t>. Although inflation in the U.S. softened in 2024 and 2025, prices for many services, materials and equipment have remained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elevated relative to pre-2022 levels. We do not know how long these inflationary pressures may persist or the impact they may have on our business moving forward.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and the Haynesville shale play. See “Risk Factors—Risks Related to our Financial Condition—Our industry and the broader U.S. economy have experienced higher than expected inflationary pressures in recent years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financial statements appear at the end of this Annual Report beginning on page F-1.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2025 to ensure that (i) information required to be disclosed in the reports it files and submits under the Exchange Act is recorded, processed, summarized and reported within the time periods specified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there were no changes in our internal controls that have materially affected or are reasonably likely to have a material effect on our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spacing w:after="0" w:line="81" w:lineRule="exact"/>
        <w:rPr>
          <w:sz w:val="20"/>
          <w:szCs w:val="20"/>
          <w:color w:val="auto"/>
        </w:rPr>
      </w:pPr>
    </w:p>
    <w:p>
      <w:pPr>
        <w:ind w:right="960" w:firstLine="445"/>
        <w:spacing w:after="0" w:line="282" w:lineRule="auto"/>
        <w:rPr>
          <w:sz w:val="20"/>
          <w:szCs w:val="20"/>
          <w:color w:val="auto"/>
        </w:rPr>
      </w:pPr>
      <w:r>
        <w:rPr>
          <w:rFonts w:ascii="Times New Roman" w:cs="Times New Roman" w:eastAsia="Times New Roman" w:hAnsi="Times New Roman"/>
          <w:sz w:val="18"/>
          <w:szCs w:val="18"/>
          <w:color w:val="auto"/>
        </w:rPr>
        <w:t>KPMG, our independent registered public accounting firm, has issued an attestation report on our controls over financial reporting as of December 31, 2025 as included herein.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Considerations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Matador Resources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4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We have audited Matador Resources Company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21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changes in shareholders’ equity, and cash flows for each of the years in the three-year period ended December 31, 2025, and the related notes (collectively, the consolidated financial statements), and our report dated February 26, 2026 expressed an unqualified opinion on those consolidated financial statements.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40" w:firstLine="567"/>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60" w:firstLine="567"/>
        <w:spacing w:after="0" w:line="261" w:lineRule="auto"/>
        <w:rPr>
          <w:sz w:val="20"/>
          <w:szCs w:val="20"/>
          <w:color w:val="auto"/>
        </w:rPr>
      </w:pPr>
      <w:r>
        <w:rPr>
          <w:rFonts w:ascii="Times New Roman" w:cs="Times New Roman" w:eastAsia="Times New Roman" w:hAnsi="Times New Roman"/>
          <w:sz w:val="18"/>
          <w:szCs w:val="18"/>
          <w:color w:val="auto"/>
        </w:rPr>
        <w:t>The information required in response to this Item 10 is incorporated herein by reference to our definitive proxy statement for our 2026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60"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11 is incorporated herein by reference to our Definitive Proxy Statement under the caption “Executive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securities authorized for issuance under our equity compensation plans as of December 31, 2025.</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9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to be</w:t>
            </w: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98"/>
        </w:trPr>
        <w:tc>
          <w:tcPr>
            <w:tcW w:w="5920" w:type="dxa"/>
            <w:vAlign w:val="bottom"/>
            <w:vMerge w:val="continue"/>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01"/>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9"/>
                <w:szCs w:val="9"/>
                <w:color w:val="auto"/>
              </w:rPr>
              <w:t>(1)(2)</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1,297,593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6,739,067</w:t>
            </w:r>
          </w:p>
        </w:tc>
        <w:tc>
          <w:tcPr>
            <w:tcW w:w="0" w:type="dxa"/>
            <w:vAlign w:val="bottom"/>
          </w:tcPr>
          <w:p>
            <w:pPr>
              <w:spacing w:after="0"/>
              <w:rPr>
                <w:sz w:val="1"/>
                <w:szCs w:val="1"/>
                <w:color w:val="auto"/>
              </w:rPr>
            </w:pPr>
          </w:p>
        </w:tc>
      </w:tr>
      <w:tr>
        <w:trPr>
          <w:trHeight w:val="19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6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5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1,297,593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6,739,067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60" w:right="340" w:hanging="331"/>
        <w:spacing w:after="0" w:line="302" w:lineRule="auto"/>
        <w:tabs>
          <w:tab w:leader="none" w:pos="4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Matador Resources Company 2019 Long-Term Incentive Plan (the “2019 Incentive Plan”) was adopted by our Board in April 2019 and approved by our shareholders on June 6, 2019. For a description of our 2019 Incentive Plan, see Note 9 to the consolidated financial statements in this Annual Report.</w:t>
      </w:r>
    </w:p>
    <w:p>
      <w:pPr>
        <w:spacing w:after="0" w:line="53" w:lineRule="exact"/>
        <w:rPr>
          <w:rFonts w:ascii="Times New Roman" w:cs="Times New Roman" w:eastAsia="Times New Roman" w:hAnsi="Times New Roman"/>
          <w:sz w:val="14"/>
          <w:szCs w:val="14"/>
          <w:color w:val="auto"/>
        </w:rPr>
      </w:pPr>
    </w:p>
    <w:p>
      <w:pPr>
        <w:ind w:left="460" w:right="120" w:hanging="331"/>
        <w:spacing w:after="0" w:line="282" w:lineRule="auto"/>
        <w:tabs>
          <w:tab w:leader="none" w:pos="4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Matador Resources Company 2022 Employee Stock Purchase Plan (the “ESPP”) was adopted by our Board in April 2022 and approved by our shareholders on June 10, 2022. For a description of our ESPP, see Note 9 to the consolidated financial statements in this Annual Report.</w:t>
      </w:r>
    </w:p>
    <w:p>
      <w:pPr>
        <w:spacing w:after="0" w:line="72"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Other information required in response to this Item 12 is incorporated herein by reference to our Definitive Proxy Statement under the caption “Security Ownership of Certain Beneficial Owners and Management.”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14 is incorporated herein by reference to our Definitive Proxy Statement under the caption “Proposal 3—Ratification of Appointment of KPMG LLP.”</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firstLine="453"/>
        <w:spacing w:after="0" w:line="261" w:lineRule="auto"/>
        <w:tabs>
          <w:tab w:leader="none" w:pos="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Consolidated Financial Statements, Report of Independent Registered Public Accounting Firm, Consolidated Balance Sheets as of December 31, 2025 and 2024, Consolidated Statements of Income for the Years Ended December 31, 2025, 2024 and 2023, Consolidated Statements of Changes in Shareholders’ Equity for the Years Ended December 31, 2025, 2024 and 2023 and Consolidated Statements of Cash Flows for the Years Ended December 31, 2025, 2024 and 2023.</w:t>
      </w:r>
    </w:p>
    <w:p>
      <w:pPr>
        <w:spacing w:after="0" w:line="69" w:lineRule="exact"/>
        <w:rPr>
          <w:rFonts w:ascii="Times New Roman" w:cs="Times New Roman" w:eastAsia="Times New Roman" w:hAnsi="Times New Roman"/>
          <w:sz w:val="18"/>
          <w:szCs w:val="18"/>
          <w:color w:val="auto"/>
        </w:rPr>
      </w:pPr>
    </w:p>
    <w:p>
      <w:pPr>
        <w:ind w:right="160" w:firstLine="453"/>
        <w:spacing w:after="0" w:line="284" w:lineRule="auto"/>
        <w:tabs>
          <w:tab w:leader="none" w:pos="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other schedules for which provision is made in the applicable accounting regulations of the SEC are omitted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required information is either not applicable, not required or is shown in the respective financial statements or in the notes thereto.</w:t>
      </w:r>
    </w:p>
    <w:p>
      <w:pPr>
        <w:spacing w:after="0" w:line="5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required to be filed by this Item 15 are set forth in the Exhibit Index included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8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064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37" w:lineRule="exact"/>
        <w:rPr>
          <w:sz w:val="20"/>
          <w:szCs w:val="20"/>
          <w:color w:val="auto"/>
        </w:rPr>
      </w:pPr>
    </w:p>
    <w:p>
      <w:pPr>
        <w:ind w:left="820" w:right="539" w:hanging="633"/>
        <w:spacing w:after="0" w:line="22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106">
        <w:r>
          <w:rPr>
            <w:rFonts w:ascii="Times New Roman" w:cs="Times New Roman" w:eastAsia="Times New Roman" w:hAnsi="Times New Roman"/>
            <w:sz w:val="18"/>
            <w:szCs w:val="18"/>
            <w:u w:val="single" w:color="auto"/>
            <w:color w:val="0000FF"/>
          </w:rPr>
          <w:t>Securities Purchase Agreement, dated January 24, 2023, by and among MRC Hat Mesa, LLC, MRC Energy Company</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(solely for the limited purposes stated therein), AEP EnCap HoldCo, LLC, Ameradvance Management LLC and Advance</w:t>
        </w:r>
      </w:hyperlink>
    </w:p>
    <w:p>
      <w:pPr>
        <w:spacing w:after="0" w:line="2" w:lineRule="exact"/>
        <w:rPr>
          <w:sz w:val="20"/>
          <w:szCs w:val="20"/>
          <w:color w:val="auto"/>
        </w:rPr>
      </w:pPr>
    </w:p>
    <w:p>
      <w:pPr>
        <w:ind w:left="820" w:right="879"/>
        <w:spacing w:after="0" w:line="226"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Energy Partners Holdings, LLC (incorporated by reference to Exhibit 2.1 to the Current Report on Form 8-K filed on</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January 24, 2023).</w:t>
        </w:r>
      </w:hyperlink>
    </w:p>
    <w:p>
      <w:pPr>
        <w:spacing w:after="0" w:line="49" w:lineRule="exact"/>
        <w:rPr>
          <w:sz w:val="20"/>
          <w:szCs w:val="20"/>
          <w:color w:val="auto"/>
        </w:rPr>
      </w:pPr>
    </w:p>
    <w:p>
      <w:pPr>
        <w:ind w:left="820" w:right="759" w:hanging="588"/>
        <w:spacing w:after="0" w:line="22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107">
        <w:r>
          <w:rPr>
            <w:rFonts w:ascii="Times New Roman" w:cs="Times New Roman" w:eastAsia="Times New Roman" w:hAnsi="Times New Roman"/>
            <w:sz w:val="18"/>
            <w:szCs w:val="18"/>
            <w:u w:val="single" w:color="auto"/>
            <w:color w:val="0000FF"/>
          </w:rPr>
          <w:t>Amendment No. 1 to Securities Purchase Agreement, dated April 5, 2023, by and among MRC Hat Mesa, LLC, AEP</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EnCap HoldCo, LLC, Ameradvance Management LLC and Advance Energy Partners Holdings, LLC (incorporated by</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reference to Exhibit 2.2 to the Annual Report on Form 10-K for the year ended December 31, 2023).</w:t>
        </w:r>
      </w:hyperlink>
    </w:p>
    <w:p>
      <w:pPr>
        <w:spacing w:after="0" w:line="57" w:lineRule="exact"/>
        <w:rPr>
          <w:sz w:val="20"/>
          <w:szCs w:val="20"/>
          <w:color w:val="auto"/>
        </w:rPr>
      </w:pPr>
    </w:p>
    <w:p>
      <w:pPr>
        <w:ind w:left="820" w:right="459" w:hanging="633"/>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r:id="rId108">
        <w:r>
          <w:rPr>
            <w:rFonts w:ascii="Times New Roman" w:cs="Times New Roman" w:eastAsia="Times New Roman" w:hAnsi="Times New Roman"/>
            <w:sz w:val="17"/>
            <w:szCs w:val="17"/>
            <w:u w:val="single" w:color="auto"/>
            <w:color w:val="0000FF"/>
          </w:rPr>
          <w:t>Waiver and Release Agreement and Amendment No. 2 to Securities Purchase Agreement, dated December 1, 2023, by and</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among MRC Hat Mesa, LLC, AEP EnCap HoldCo, LLC, Ameradvance Management LLC and Advance Energy Partners</w:t>
        </w:r>
      </w:hyperlink>
    </w:p>
    <w:p>
      <w:pPr>
        <w:ind w:left="820" w:right="479"/>
        <w:spacing w:after="0" w:line="226"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Holdings, LLC (incorporated by reference to Exhibit 2.3 to the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31, 2023.).</w:t>
        </w:r>
      </w:hyperlink>
    </w:p>
    <w:p>
      <w:pPr>
        <w:spacing w:after="0" w:line="49" w:lineRule="exact"/>
        <w:rPr>
          <w:sz w:val="20"/>
          <w:szCs w:val="20"/>
          <w:color w:val="auto"/>
        </w:rPr>
      </w:pPr>
    </w:p>
    <w:p>
      <w:pPr>
        <w:ind w:left="820" w:right="479" w:hanging="633"/>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2.4*</w:t>
      </w:r>
      <w:r>
        <w:rPr>
          <w:sz w:val="20"/>
          <w:szCs w:val="20"/>
          <w:color w:val="auto"/>
        </w:rPr>
        <w:tab/>
      </w:r>
      <w:hyperlink r:id="rId109">
        <w:r>
          <w:rPr>
            <w:rFonts w:ascii="Times New Roman" w:cs="Times New Roman" w:eastAsia="Times New Roman" w:hAnsi="Times New Roman"/>
            <w:sz w:val="17"/>
            <w:szCs w:val="17"/>
            <w:u w:val="single" w:color="auto"/>
            <w:color w:val="0000FF"/>
          </w:rPr>
          <w:t>Securities Purchase Agreement, dated June 12, 2024, by and among MRC Toro, LLC, MRC Energy Company (solely for</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the limited purposes stated therein), Ameredev II Parent, LLC, Ameredev Intermediate II, LLC and Ameredev Stateline II,</w:t>
        </w:r>
      </w:hyperlink>
    </w:p>
    <w:p>
      <w:pPr>
        <w:ind w:left="82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LLC (incorporated by reference to Exhibit 2.1 to the Current Report on Form 8-K filed on June 12, 2024).</w:t>
        </w:r>
      </w:hyperlink>
    </w:p>
    <w:p>
      <w:pPr>
        <w:spacing w:after="0" w:line="57" w:lineRule="exact"/>
        <w:rPr>
          <w:sz w:val="20"/>
          <w:szCs w:val="20"/>
          <w:color w:val="auto"/>
        </w:rPr>
      </w:pPr>
    </w:p>
    <w:p>
      <w:pPr>
        <w:ind w:left="820" w:right="419" w:hanging="633"/>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2.5*</w:t>
      </w:r>
      <w:r>
        <w:rPr>
          <w:sz w:val="20"/>
          <w:szCs w:val="20"/>
          <w:color w:val="auto"/>
        </w:rPr>
        <w:tab/>
      </w:r>
      <w:hyperlink r:id="rId110">
        <w:r>
          <w:rPr>
            <w:rFonts w:ascii="Times New Roman" w:cs="Times New Roman" w:eastAsia="Times New Roman" w:hAnsi="Times New Roman"/>
            <w:sz w:val="17"/>
            <w:szCs w:val="17"/>
            <w:u w:val="single" w:color="auto"/>
            <w:color w:val="0000FF"/>
          </w:rPr>
          <w:t>Amendment No. 1 to Securities Purchase Agreement, dated August 29, 2024, by and among MRC Toro, LLC, Ameredev II</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Parent, LLC, Ameredev Intermediate II, LLC and Ameredev Stateline II, LLC (incorporated by reference to Exhibit 2.3 to</w:t>
        </w:r>
      </w:hyperlink>
    </w:p>
    <w:p>
      <w:pPr>
        <w:ind w:left="82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the Quarterly Report on Form 10-Q for the quarter ended September 30, 2024).</w:t>
        </w:r>
      </w:hyperlink>
    </w:p>
    <w:p>
      <w:pPr>
        <w:spacing w:after="0" w:line="45"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2.6</w:t>
      </w:r>
      <w:r>
        <w:rPr>
          <w:sz w:val="20"/>
          <w:szCs w:val="20"/>
          <w:color w:val="auto"/>
        </w:rPr>
        <w:tab/>
      </w:r>
      <w:hyperlink r:id="rId111">
        <w:r>
          <w:rPr>
            <w:rFonts w:ascii="Times New Roman" w:cs="Times New Roman" w:eastAsia="Times New Roman" w:hAnsi="Times New Roman"/>
            <w:sz w:val="17"/>
            <w:szCs w:val="17"/>
            <w:u w:val="single" w:color="auto"/>
            <w:color w:val="0000FF"/>
          </w:rPr>
          <w:t>Amendment No. 2 to Securities Purchase Agreement, dated February 14, 2025, by and among MRC Toro, LLC, Ameredev</w:t>
        </w:r>
      </w:hyperlink>
    </w:p>
    <w:p>
      <w:pPr>
        <w:ind w:left="820" w:right="379" w:firstLine="2"/>
        <w:spacing w:after="0" w:line="233" w:lineRule="auto"/>
        <w:tabs>
          <w:tab w:leader="none" w:pos="985" w:val="left"/>
        </w:tabs>
        <w:numPr>
          <w:ilvl w:val="0"/>
          <w:numId w:val="58"/>
        </w:numPr>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Parent, LLC, Ameredev Intermediate II, LLC (incorporated by reference to Exhibit 2.6 to the Annual Report on Form 10-</w:t>
        </w:r>
      </w:hyperlink>
      <w:hyperlink r:id="rId111">
        <w:r>
          <w:rPr>
            <w:rFonts w:ascii="Times New Roman" w:cs="Times New Roman" w:eastAsia="Times New Roman" w:hAnsi="Times New Roman"/>
            <w:sz w:val="18"/>
            <w:szCs w:val="18"/>
            <w:u w:val="single" w:color="auto"/>
            <w:color w:val="0000FF"/>
          </w:rPr>
          <w:t>K for the year ended December 31, 2024).</w:t>
        </w:r>
      </w:hyperlink>
    </w:p>
    <w:p>
      <w:pPr>
        <w:spacing w:after="0" w:line="51" w:lineRule="exact"/>
        <w:rPr>
          <w:rFonts w:ascii="Times New Roman" w:cs="Times New Roman" w:eastAsia="Times New Roman" w:hAnsi="Times New Roman"/>
          <w:sz w:val="18"/>
          <w:szCs w:val="18"/>
          <w:u w:val="single" w:color="auto"/>
          <w:color w:val="0000FF"/>
        </w:rPr>
      </w:pPr>
    </w:p>
    <w:p>
      <w:pPr>
        <w:ind w:left="820" w:right="499" w:hanging="58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12">
        <w:r>
          <w:rPr>
            <w:rFonts w:ascii="Times New Roman" w:cs="Times New Roman" w:eastAsia="Times New Roman" w:hAnsi="Times New Roman"/>
            <w:sz w:val="18"/>
            <w:szCs w:val="18"/>
            <w:u w:val="single" w:color="auto"/>
            <w:color w:val="0000FF"/>
          </w:rPr>
          <w:t>Amended and Restated Certificate of Formation of Matador Resources Company (incorporated by reference to Exhibit 3.2</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to the Quarterly Report on Form 10-Q for the quarter ended June 30, 2017).</w:t>
        </w:r>
      </w:hyperlink>
    </w:p>
    <w:p>
      <w:pPr>
        <w:spacing w:after="0" w:line="64" w:lineRule="exact"/>
        <w:rPr>
          <w:sz w:val="20"/>
          <w:szCs w:val="20"/>
          <w:color w:val="auto"/>
        </w:rPr>
      </w:pPr>
    </w:p>
    <w:p>
      <w:pPr>
        <w:ind w:left="820" w:right="379" w:hanging="588"/>
        <w:spacing w:after="0" w:line="22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13">
        <w:r>
          <w:rPr>
            <w:rFonts w:ascii="Times New Roman" w:cs="Times New Roman" w:eastAsia="Times New Roman" w:hAnsi="Times New Roman"/>
            <w:sz w:val="18"/>
            <w:szCs w:val="18"/>
            <w:u w:val="single" w:color="auto"/>
            <w:color w:val="0000FF"/>
          </w:rPr>
          <w:t>Certificate of Amendment to the Amended and Restated Certificate of Formation of Matador Resources Company dated</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April 2, 2015 (incorporated by reference to Exhibit 3.3 to the Quarterly Report on Form 10-Q for the quarter ended June 30,</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2017).</w:t>
        </w:r>
      </w:hyperlink>
    </w:p>
    <w:p>
      <w:pPr>
        <w:spacing w:after="0" w:line="57" w:lineRule="exact"/>
        <w:rPr>
          <w:sz w:val="20"/>
          <w:szCs w:val="20"/>
          <w:color w:val="auto"/>
        </w:rPr>
      </w:pPr>
    </w:p>
    <w:p>
      <w:pPr>
        <w:jc w:val="right"/>
        <w:ind w:left="240" w:right="419"/>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114">
        <w:r>
          <w:rPr>
            <w:rFonts w:ascii="Times New Roman" w:cs="Times New Roman" w:eastAsia="Times New Roman" w:hAnsi="Times New Roman"/>
            <w:sz w:val="18"/>
            <w:szCs w:val="18"/>
            <w:u w:val="single" w:color="auto"/>
            <w:color w:val="0000FF"/>
          </w:rPr>
          <w:t>Certificate of Amendment to the Amended and Restated Certificate of Formation of Matador Resources Company effective</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June 2, 2017 (incorporated by reference to Exhibit 3.4 to the Quarterly Report on Form 10-Q for the quarter ended June 30,</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2017).</w:t>
        </w:r>
      </w:hyperlink>
    </w:p>
    <w:p>
      <w:pPr>
        <w:spacing w:after="0" w:line="57" w:lineRule="exact"/>
        <w:rPr>
          <w:sz w:val="20"/>
          <w:szCs w:val="20"/>
          <w:color w:val="auto"/>
        </w:rPr>
      </w:pPr>
    </w:p>
    <w:p>
      <w:pPr>
        <w:ind w:left="820" w:right="599" w:hanging="58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15">
        <w:r>
          <w:rPr>
            <w:rFonts w:ascii="Times New Roman" w:cs="Times New Roman" w:eastAsia="Times New Roman" w:hAnsi="Times New Roman"/>
            <w:sz w:val="18"/>
            <w:szCs w:val="18"/>
            <w:u w:val="single" w:color="auto"/>
            <w:color w:val="0000FF"/>
          </w:rPr>
          <w:t>Amended and Restated Bylaws of Matador Resources Company, as amended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the Current Report on Form 8-K filed on February 22, 2018).</w:t>
        </w:r>
      </w:hyperlink>
    </w:p>
    <w:p>
      <w:pPr>
        <w:spacing w:after="0" w:line="64" w:lineRule="exact"/>
        <w:rPr>
          <w:sz w:val="20"/>
          <w:szCs w:val="20"/>
          <w:color w:val="auto"/>
        </w:rPr>
      </w:pPr>
    </w:p>
    <w:p>
      <w:pPr>
        <w:ind w:left="820" w:right="839" w:hanging="58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16">
        <w:r>
          <w:rPr>
            <w:rFonts w:ascii="Times New Roman" w:cs="Times New Roman" w:eastAsia="Times New Roman" w:hAnsi="Times New Roman"/>
            <w:sz w:val="18"/>
            <w:szCs w:val="18"/>
            <w:u w:val="single" w:color="auto"/>
            <w:color w:val="0000FF"/>
          </w:rPr>
          <w:t>Form of Common Stock Certificate (incorporated by reference to Exhibit 4.1 to Amendment No. 4 to the Registration</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Statement on Form S-1 filed on January 19, 2012).</w:t>
        </w:r>
      </w:hyperlink>
    </w:p>
    <w:p>
      <w:pPr>
        <w:spacing w:after="0" w:line="64" w:lineRule="exact"/>
        <w:rPr>
          <w:sz w:val="20"/>
          <w:szCs w:val="20"/>
          <w:color w:val="auto"/>
        </w:rPr>
      </w:pPr>
    </w:p>
    <w:p>
      <w:pPr>
        <w:ind w:left="820" w:right="51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17">
        <w:r>
          <w:rPr>
            <w:rFonts w:ascii="Times New Roman" w:cs="Times New Roman" w:eastAsia="Times New Roman" w:hAnsi="Times New Roman"/>
            <w:sz w:val="17"/>
            <w:szCs w:val="17"/>
            <w:u w:val="single" w:color="auto"/>
            <w:color w:val="0000FF"/>
          </w:rPr>
          <w:t>Indenture, dated as of April 11, 2023, by and among Matador Resources Company, the subsidiary guarantors party thereto</w:t>
        </w:r>
      </w:hyperlink>
      <w:r>
        <w:rPr>
          <w:rFonts w:ascii="Times New Roman" w:cs="Times New Roman" w:eastAsia="Times New Roman" w:hAnsi="Times New Roman"/>
          <w:sz w:val="17"/>
          <w:szCs w:val="17"/>
          <w:u w:val="single" w:color="auto"/>
          <w:color w:val="0000FF"/>
        </w:rPr>
        <w:t xml:space="preserve"> </w:t>
      </w:r>
      <w:hyperlink r:id="rId117">
        <w:r>
          <w:rPr>
            <w:rFonts w:ascii="Times New Roman" w:cs="Times New Roman" w:eastAsia="Times New Roman" w:hAnsi="Times New Roman"/>
            <w:sz w:val="17"/>
            <w:szCs w:val="17"/>
            <w:u w:val="single" w:color="auto"/>
            <w:color w:val="0000FF"/>
          </w:rPr>
          <w:t>and Computershare Trust Company, N.A., as trustee (incorporated by reference to Exhibit 4.1 to the Current Report on</w:t>
        </w:r>
      </w:hyperlink>
    </w:p>
    <w:p>
      <w:pPr>
        <w:ind w:left="82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Form 8-K filed on April 11, 2023).</w:t>
        </w:r>
      </w:hyperlink>
    </w:p>
    <w:p>
      <w:pPr>
        <w:spacing w:after="0" w:line="57" w:lineRule="exact"/>
        <w:rPr>
          <w:sz w:val="20"/>
          <w:szCs w:val="20"/>
          <w:color w:val="auto"/>
        </w:rPr>
      </w:pPr>
    </w:p>
    <w:p>
      <w:pPr>
        <w:ind w:left="820" w:right="77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18">
        <w:r>
          <w:rPr>
            <w:rFonts w:ascii="Times New Roman" w:cs="Times New Roman" w:eastAsia="Times New Roman" w:hAnsi="Times New Roman"/>
            <w:sz w:val="17"/>
            <w:szCs w:val="17"/>
            <w:u w:val="single" w:color="auto"/>
            <w:color w:val="0000FF"/>
          </w:rPr>
          <w:t>First Supplemental Indenture, dated as of July 25, 2023, by and among Matador Resources Company, MRC Hat Mesa,</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LLC, the subsidiary guarantors party thereto and Computershare Trust Company, N.A., as trustee (incorporated by</w:t>
        </w:r>
      </w:hyperlink>
    </w:p>
    <w:p>
      <w:pPr>
        <w:ind w:left="82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reference to Exhibit 4.3 to the Quarterly Report on Form 10-Q for the quarter ended June 30, 2023).</w:t>
        </w:r>
      </w:hyperlink>
    </w:p>
    <w:p>
      <w:pPr>
        <w:spacing w:after="0" w:line="57" w:lineRule="exact"/>
        <w:rPr>
          <w:sz w:val="20"/>
          <w:szCs w:val="20"/>
          <w:color w:val="auto"/>
        </w:rPr>
      </w:pPr>
    </w:p>
    <w:p>
      <w:pPr>
        <w:ind w:left="820" w:right="59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19">
        <w:r>
          <w:rPr>
            <w:rFonts w:ascii="Times New Roman" w:cs="Times New Roman" w:eastAsia="Times New Roman" w:hAnsi="Times New Roman"/>
            <w:sz w:val="17"/>
            <w:szCs w:val="17"/>
            <w:u w:val="single" w:color="auto"/>
            <w:color w:val="0000FF"/>
          </w:rPr>
          <w:t>Indenture, dated as of April 2, 2024, by and among Matador Resources Company, the subsidiary guarantors party thereto</w:t>
        </w:r>
      </w:hyperlink>
      <w:r>
        <w:rPr>
          <w:rFonts w:ascii="Times New Roman" w:cs="Times New Roman" w:eastAsia="Times New Roman" w:hAnsi="Times New Roman"/>
          <w:sz w:val="17"/>
          <w:szCs w:val="17"/>
          <w:u w:val="single" w:color="auto"/>
          <w:color w:val="0000FF"/>
        </w:rPr>
        <w:t xml:space="preserve"> </w:t>
      </w:r>
      <w:hyperlink r:id="rId119">
        <w:r>
          <w:rPr>
            <w:rFonts w:ascii="Times New Roman" w:cs="Times New Roman" w:eastAsia="Times New Roman" w:hAnsi="Times New Roman"/>
            <w:sz w:val="17"/>
            <w:szCs w:val="17"/>
            <w:u w:val="single" w:color="auto"/>
            <w:color w:val="0000FF"/>
          </w:rPr>
          <w:t>and U.S. Bank Trust Company, National Association, as trustee (incorporated by reference to Exhibit 4.1 to the Current</w:t>
        </w:r>
      </w:hyperlink>
    </w:p>
    <w:p>
      <w:pPr>
        <w:ind w:left="82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Report on Form 8-K filed on April 2, 2024).</w:t>
        </w:r>
      </w:hyperlink>
    </w:p>
    <w:p>
      <w:pPr>
        <w:spacing w:after="0" w:line="57" w:lineRule="exact"/>
        <w:rPr>
          <w:sz w:val="20"/>
          <w:szCs w:val="20"/>
          <w:color w:val="auto"/>
        </w:rPr>
      </w:pPr>
    </w:p>
    <w:p>
      <w:pPr>
        <w:jc w:val="right"/>
        <w:ind w:left="240" w:right="599"/>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120">
        <w:r>
          <w:rPr>
            <w:rFonts w:ascii="Times New Roman" w:cs="Times New Roman" w:eastAsia="Times New Roman" w:hAnsi="Times New Roman"/>
            <w:sz w:val="18"/>
            <w:szCs w:val="18"/>
            <w:u w:val="single" w:color="auto"/>
            <w:color w:val="0000FF"/>
          </w:rPr>
          <w:t>First Supplemental Indenture, dated as of September 20, 2024, by and among MRC Toro, LLC, the subsidiary guarantors</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party thereto and U.S. Bank Trust Company, National Association, as trustee (incorporated by reference to Exhibit 4.2 to</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the Quarterly Report on Form 10-Q for the quarter ended September 30, 2024).</w:t>
        </w:r>
      </w:hyperlink>
    </w:p>
    <w:p>
      <w:pPr>
        <w:spacing w:after="0" w:line="57" w:lineRule="exact"/>
        <w:rPr>
          <w:sz w:val="20"/>
          <w:szCs w:val="20"/>
          <w:color w:val="auto"/>
        </w:rPr>
      </w:pPr>
    </w:p>
    <w:p>
      <w:pPr>
        <w:jc w:val="right"/>
        <w:ind w:left="240" w:right="399"/>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4.6    </w:t>
      </w:r>
      <w:hyperlink r:id="rId121">
        <w:r>
          <w:rPr>
            <w:rFonts w:ascii="Times New Roman" w:cs="Times New Roman" w:eastAsia="Times New Roman" w:hAnsi="Times New Roman"/>
            <w:sz w:val="18"/>
            <w:szCs w:val="18"/>
            <w:u w:val="single" w:color="auto"/>
            <w:color w:val="0000FF"/>
          </w:rPr>
          <w:t>Second Supplemental Indenture, dated as of September 20, 2024, by and among MRC Toro, LLC, the subsidiary guarantors</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party thereto and Computershare Trust Company, N.A., as trustee (incorporated by reference to Exhibit 4.3 to the Quarterly</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Report on Form 10-Q for the quarter ended September 30, 2024).</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right="679" w:hanging="58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123">
        <w:r>
          <w:rPr>
            <w:rFonts w:ascii="Times New Roman" w:cs="Times New Roman" w:eastAsia="Times New Roman" w:hAnsi="Times New Roman"/>
            <w:sz w:val="18"/>
            <w:szCs w:val="18"/>
            <w:u w:val="single" w:color="auto"/>
            <w:color w:val="0000FF"/>
          </w:rPr>
          <w:t>Indenture, dated as of September 25, 2024, by and among Matador Resources Company, the subsidiary guarantors party</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thereto and U.S. Bank Trust Company, National Association, as trustee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Current Report on Form 8-K filed on September 25, 2024).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619" w:hanging="58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124">
        <w:r>
          <w:rPr>
            <w:rFonts w:ascii="Times New Roman" w:cs="Times New Roman" w:eastAsia="Times New Roman" w:hAnsi="Times New Roman"/>
            <w:sz w:val="18"/>
            <w:szCs w:val="18"/>
            <w:u w:val="single" w:color="auto"/>
            <w:color w:val="0000FF"/>
          </w:rPr>
          <w:t>First Supplemental Indenture, dated as of March 18, 2025, by and among Matador Resources Company, MRC Royalties,</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LLC, the existing subsidiary guarantors and U.S. Bank Trust Company, National Association, as trustee (incorporated by</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reference to Exhibit 4.1 to the Quarterly Report on Form 10-Q for the quarter ended March 31, 2025).</w:t>
        </w:r>
      </w:hyperlink>
    </w:p>
    <w:p>
      <w:pPr>
        <w:spacing w:after="0" w:line="63" w:lineRule="exact"/>
        <w:rPr>
          <w:rFonts w:ascii="Times New Roman" w:cs="Times New Roman" w:eastAsia="Times New Roman" w:hAnsi="Times New Roman"/>
          <w:sz w:val="18"/>
          <w:szCs w:val="18"/>
          <w:u w:val="single" w:color="auto"/>
          <w:color w:val="0000FF"/>
        </w:rPr>
      </w:pPr>
    </w:p>
    <w:p>
      <w:pPr>
        <w:ind w:left="820" w:right="419" w:hanging="58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125">
        <w:r>
          <w:rPr>
            <w:rFonts w:ascii="Times New Roman" w:cs="Times New Roman" w:eastAsia="Times New Roman" w:hAnsi="Times New Roman"/>
            <w:sz w:val="18"/>
            <w:szCs w:val="18"/>
            <w:u w:val="single" w:color="auto"/>
            <w:color w:val="0000FF"/>
          </w:rPr>
          <w:t>Second Supplemental Indenture, dated as of March 18, 2025, by and among Matador Resources Company, MRC Royalties,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LLC, the existing subsidiary guarantors and U.S. Bank Trust Company, National Association, as trustee (incorporated by</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reference to Exhibit 4.2 to the Quarterly Report on Form 10-Q for the quarter ended March 31, 2025).</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539" w:hanging="63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126">
        <w:r>
          <w:rPr>
            <w:rFonts w:ascii="Times New Roman" w:cs="Times New Roman" w:eastAsia="Times New Roman" w:hAnsi="Times New Roman"/>
            <w:sz w:val="18"/>
            <w:szCs w:val="18"/>
            <w:u w:val="single" w:color="auto"/>
            <w:color w:val="0000FF"/>
          </w:rPr>
          <w:t>Third Supplemental Indenture, dated as of March 18, 2025, by and among Matador Resources Company, MRC Royalties,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LLC, the existing subsidiary guarantors and U.S. Bank Trust Company, National Association, as trustee (incorporated by</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reference to Exhibit 4.3 to the Quarterly Report on Form 10-Q for the quarter ended March 31, 2025).</w:t>
        </w:r>
      </w:hyperlink>
    </w:p>
    <w:p>
      <w:pPr>
        <w:spacing w:after="0" w:line="63" w:lineRule="exact"/>
        <w:rPr>
          <w:rFonts w:ascii="Times New Roman" w:cs="Times New Roman" w:eastAsia="Times New Roman" w:hAnsi="Times New Roman"/>
          <w:sz w:val="18"/>
          <w:szCs w:val="18"/>
          <w:u w:val="single" w:color="auto"/>
          <w:color w:val="0000FF"/>
        </w:rPr>
      </w:pPr>
    </w:p>
    <w:p>
      <w:pPr>
        <w:ind w:left="820" w:right="779" w:hanging="630"/>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127">
        <w:r>
          <w:rPr>
            <w:rFonts w:ascii="Times New Roman" w:cs="Times New Roman" w:eastAsia="Times New Roman" w:hAnsi="Times New Roman"/>
            <w:sz w:val="18"/>
            <w:szCs w:val="18"/>
            <w:u w:val="single" w:color="auto"/>
            <w:color w:val="0000FF"/>
          </w:rPr>
          <w:t>Description of Capital Stock (incorporated by reference to Exhibit 4.4 to the Annual Report on Form 10-K for the year</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ended December 31, 2019).</w:t>
        </w:r>
      </w:hyperlink>
    </w:p>
    <w:p>
      <w:pPr>
        <w:spacing w:after="0" w:line="64" w:lineRule="exact"/>
        <w:rPr>
          <w:sz w:val="20"/>
          <w:szCs w:val="20"/>
          <w:color w:val="auto"/>
        </w:rPr>
      </w:pPr>
    </w:p>
    <w:p>
      <w:pPr>
        <w:jc w:val="center"/>
        <w:ind w:right="739"/>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28">
        <w:r>
          <w:rPr>
            <w:rFonts w:ascii="Times New Roman" w:cs="Times New Roman" w:eastAsia="Times New Roman" w:hAnsi="Times New Roman"/>
            <w:sz w:val="18"/>
            <w:szCs w:val="18"/>
            <w:u w:val="single" w:color="auto"/>
            <w:color w:val="0000FF"/>
          </w:rPr>
          <w:t>Employment Agreement between Matador Resources Company and Joseph Wm. Foran (incorporated by reference to</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FF"/>
          </w:rPr>
          <w:t>Exhibit 10.3 to Amendment No. 1 to the Registration Statement on Form S-1 filed on November 14, 2011).</w:t>
        </w:r>
      </w:hyperlink>
    </w:p>
    <w:p>
      <w:pPr>
        <w:spacing w:after="0" w:line="64" w:lineRule="exact"/>
        <w:rPr>
          <w:sz w:val="20"/>
          <w:szCs w:val="20"/>
          <w:color w:val="auto"/>
        </w:rPr>
      </w:pPr>
    </w:p>
    <w:p>
      <w:pPr>
        <w:ind w:left="820" w:right="103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29">
        <w:r>
          <w:rPr>
            <w:rFonts w:ascii="Times New Roman" w:cs="Times New Roman" w:eastAsia="Times New Roman" w:hAnsi="Times New Roman"/>
            <w:sz w:val="18"/>
            <w:szCs w:val="18"/>
            <w:u w:val="single" w:color="auto"/>
            <w:color w:val="0000FF"/>
          </w:rPr>
          <w:t>First Amendment to the Employment Agreement between Matador Resources Company and Joseph Wm. Foran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(incorporated by reference to Exhibit 10.8 to Amendment No. 1 to the Registration Statement on Form S-1 filed on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November 14, 2011).</w:t>
        </w:r>
      </w:hyperlink>
    </w:p>
    <w:p>
      <w:pPr>
        <w:spacing w:after="0" w:line="63" w:lineRule="exact"/>
        <w:rPr>
          <w:rFonts w:ascii="Times New Roman" w:cs="Times New Roman" w:eastAsia="Times New Roman" w:hAnsi="Times New Roman"/>
          <w:sz w:val="18"/>
          <w:szCs w:val="18"/>
          <w:u w:val="single" w:color="auto"/>
          <w:color w:val="0000FF"/>
        </w:rPr>
      </w:pPr>
    </w:p>
    <w:p>
      <w:pPr>
        <w:ind w:left="820" w:right="93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30">
        <w:r>
          <w:rPr>
            <w:rFonts w:ascii="Times New Roman" w:cs="Times New Roman" w:eastAsia="Times New Roman" w:hAnsi="Times New Roman"/>
            <w:sz w:val="18"/>
            <w:szCs w:val="18"/>
            <w:u w:val="single" w:color="auto"/>
            <w:color w:val="0000FF"/>
          </w:rPr>
          <w:t>Second Amendment to the Employment Agreement between Matador Resources Company and Joseph Wm. Foran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(incorporated by reference to Exhibit 10.12 to Amendment No. 2 to the Registration Statement on Form S-1 filed on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December 30, 2011).</w:t>
        </w:r>
      </w:hyperlink>
    </w:p>
    <w:p>
      <w:pPr>
        <w:spacing w:after="0" w:line="52" w:lineRule="exact"/>
        <w:rPr>
          <w:rFonts w:ascii="Times New Roman" w:cs="Times New Roman" w:eastAsia="Times New Roman" w:hAnsi="Times New Roman"/>
          <w:sz w:val="18"/>
          <w:szCs w:val="18"/>
          <w:u w:val="single" w:color="auto"/>
          <w:color w:val="0000FF"/>
        </w:rPr>
      </w:pPr>
    </w:p>
    <w:p>
      <w:pPr>
        <w:ind w:left="140"/>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31">
        <w:r>
          <w:rPr>
            <w:rFonts w:ascii="Times New Roman" w:cs="Times New Roman" w:eastAsia="Times New Roman" w:hAnsi="Times New Roman"/>
            <w:sz w:val="17"/>
            <w:szCs w:val="17"/>
            <w:u w:val="single" w:color="auto"/>
            <w:color w:val="0000FF"/>
          </w:rPr>
          <w:t>Form of Employment Agreement between Matador Resources Company and Van H. Singleton, II, effective February 5,</w:t>
        </w:r>
      </w:hyperlink>
    </w:p>
    <w:p>
      <w:pPr>
        <w:ind w:left="820"/>
        <w:spacing w:after="0" w:line="203"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2015 (incorporated by reference to Exhibit 10.52 to the Annual Report on Form 10-K for the year ended December 31,</w:t>
        </w:r>
      </w:hyperlink>
    </w:p>
    <w:p>
      <w:pPr>
        <w:ind w:left="8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2014).</w:t>
        </w:r>
      </w:hyperlink>
    </w:p>
    <w:p>
      <w:pPr>
        <w:spacing w:after="0" w:line="70" w:lineRule="exact"/>
        <w:rPr>
          <w:rFonts w:ascii="Times New Roman" w:cs="Times New Roman" w:eastAsia="Times New Roman" w:hAnsi="Times New Roman"/>
          <w:sz w:val="18"/>
          <w:szCs w:val="18"/>
          <w:u w:val="single" w:color="auto"/>
          <w:color w:val="0000FF"/>
        </w:rPr>
      </w:pPr>
    </w:p>
    <w:p>
      <w:pPr>
        <w:ind w:left="820" w:right="559" w:hanging="67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32">
        <w:r>
          <w:rPr>
            <w:rFonts w:ascii="Times New Roman" w:cs="Times New Roman" w:eastAsia="Times New Roman" w:hAnsi="Times New Roman"/>
            <w:sz w:val="18"/>
            <w:szCs w:val="18"/>
            <w:u w:val="single" w:color="auto"/>
            <w:color w:val="0000FF"/>
          </w:rPr>
          <w:t>Form of Employment Agreement between Matador Resources Company and G. Gregg Krug, effective February 19, 2016</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(incorporated by reference to Exhibit 10.1 to the Quarterly Report on Form 10-Q for the quarter ended March 31, 2017).</w:t>
        </w:r>
      </w:hyperlink>
    </w:p>
    <w:p>
      <w:pPr>
        <w:spacing w:after="0" w:line="64" w:lineRule="exact"/>
        <w:rPr>
          <w:sz w:val="20"/>
          <w:szCs w:val="20"/>
          <w:color w:val="auto"/>
        </w:rPr>
      </w:pPr>
    </w:p>
    <w:p>
      <w:pPr>
        <w:ind w:left="820" w:right="499" w:hanging="67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33">
        <w:r>
          <w:rPr>
            <w:rFonts w:ascii="Times New Roman" w:cs="Times New Roman" w:eastAsia="Times New Roman" w:hAnsi="Times New Roman"/>
            <w:sz w:val="18"/>
            <w:szCs w:val="18"/>
            <w:u w:val="single" w:color="auto"/>
            <w:color w:val="0000FF"/>
          </w:rPr>
          <w:t>First Amendment to the Employment Agreement between Matador Resources Company and G. Gregg Krug (incorporated</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by reference to Exhibit 10.4 to the Quarterly Report on Form 10-Q for the quarter ended June 30, 2019).</w:t>
        </w:r>
      </w:hyperlink>
    </w:p>
    <w:p>
      <w:pPr>
        <w:spacing w:after="0" w:line="199" w:lineRule="exact"/>
        <w:rPr>
          <w:sz w:val="20"/>
          <w:szCs w:val="20"/>
          <w:color w:val="auto"/>
        </w:rPr>
      </w:pPr>
    </w:p>
    <w:p>
      <w:pPr>
        <w:ind w:left="820" w:right="379" w:hanging="67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4">
        <w:r>
          <w:rPr>
            <w:rFonts w:ascii="Times New Roman" w:cs="Times New Roman" w:eastAsia="Times New Roman" w:hAnsi="Times New Roman"/>
            <w:sz w:val="18"/>
            <w:szCs w:val="18"/>
            <w:u w:val="single" w:color="auto"/>
            <w:color w:val="0000FF"/>
          </w:rPr>
          <w:t>Form of Employment Agreement between Matador Resources Company and Michael D. Frenzel (incorporated by reference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to Exhibit 10.1 to the Quarterly Report on Form 10-Q for the quarter ended September 30, 2022).</w:t>
        </w:r>
      </w:hyperlink>
    </w:p>
    <w:p>
      <w:pPr>
        <w:spacing w:after="0" w:line="64" w:lineRule="exact"/>
        <w:rPr>
          <w:sz w:val="20"/>
          <w:szCs w:val="20"/>
          <w:color w:val="auto"/>
        </w:rPr>
      </w:pPr>
    </w:p>
    <w:p>
      <w:pPr>
        <w:ind w:left="820" w:right="65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5">
        <w:r>
          <w:rPr>
            <w:rFonts w:ascii="Times New Roman" w:cs="Times New Roman" w:eastAsia="Times New Roman" w:hAnsi="Times New Roman"/>
            <w:sz w:val="18"/>
            <w:szCs w:val="18"/>
            <w:u w:val="single" w:color="auto"/>
            <w:color w:val="0000FF"/>
          </w:rPr>
          <w:t>Form of Employment Agreement between Matador Resources Company and each of Christopher P. Calvert, W. Thomas</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Elsener, Bryan A. Erman, Robert T. Macalik and Glenn W. Stetson (incorporated by reference to Exhibit 10.2 to the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Quarterly Report on Form 10-Q for the quarter ended March 31, 2024).</w:t>
        </w:r>
      </w:hyperlink>
    </w:p>
    <w:p>
      <w:pPr>
        <w:spacing w:after="0" w:line="63" w:lineRule="exact"/>
        <w:rPr>
          <w:rFonts w:ascii="Times New Roman" w:cs="Times New Roman" w:eastAsia="Times New Roman" w:hAnsi="Times New Roman"/>
          <w:sz w:val="18"/>
          <w:szCs w:val="18"/>
          <w:u w:val="single" w:color="auto"/>
          <w:color w:val="0000FF"/>
        </w:rPr>
      </w:pPr>
    </w:p>
    <w:p>
      <w:pPr>
        <w:ind w:left="820" w:right="739" w:hanging="67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36">
        <w:r>
          <w:rPr>
            <w:rFonts w:ascii="Times New Roman" w:cs="Times New Roman" w:eastAsia="Times New Roman" w:hAnsi="Times New Roman"/>
            <w:sz w:val="18"/>
            <w:szCs w:val="18"/>
            <w:u w:val="single" w:color="auto"/>
            <w:color w:val="0000FF"/>
          </w:rPr>
          <w:t>Advisor Agreement between MRC Energy Company and G. Gregg Krug, effective February 28, 2026 (incorporated by</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reference to Exhibit 10.1 to the Current Report on Form 8-K filed on January 23, 2026).</w:t>
        </w:r>
      </w:hyperlink>
    </w:p>
    <w:p>
      <w:pPr>
        <w:spacing w:after="0" w:line="118" w:lineRule="exact"/>
        <w:rPr>
          <w:sz w:val="20"/>
          <w:szCs w:val="20"/>
          <w:color w:val="auto"/>
        </w:rPr>
      </w:pPr>
    </w:p>
    <w:p>
      <w:pPr>
        <w:jc w:val="both"/>
        <w:ind w:left="820" w:right="37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37">
        <w:r>
          <w:rPr>
            <w:rFonts w:ascii="Times New Roman" w:cs="Times New Roman" w:eastAsia="Times New Roman" w:hAnsi="Times New Roman"/>
            <w:sz w:val="18"/>
            <w:szCs w:val="18"/>
            <w:u w:val="single" w:color="auto"/>
            <w:color w:val="0000FF"/>
          </w:rPr>
          <w:t>Form of Indemnification Agreement between Matador Resources Company and each of the directors and executive officers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thereof (incorporated by reference to Exhibit 10.22 to Amendment No. 1 to the Registration Statement on Form S-1 filed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November 14, 2011).</w:t>
        </w:r>
      </w:hyperlink>
    </w:p>
    <w:p>
      <w:pPr>
        <w:spacing w:after="0" w:line="63" w:lineRule="exact"/>
        <w:rPr>
          <w:rFonts w:ascii="Times New Roman" w:cs="Times New Roman" w:eastAsia="Times New Roman" w:hAnsi="Times New Roman"/>
          <w:sz w:val="18"/>
          <w:szCs w:val="18"/>
          <w:u w:val="single" w:color="auto"/>
          <w:color w:val="0000FF"/>
        </w:rPr>
      </w:pPr>
    </w:p>
    <w:p>
      <w:pPr>
        <w:ind w:left="820" w:right="559" w:hanging="675"/>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38">
        <w:r>
          <w:rPr>
            <w:rFonts w:ascii="Times New Roman" w:cs="Times New Roman" w:eastAsia="Times New Roman" w:hAnsi="Times New Roman"/>
            <w:sz w:val="17"/>
            <w:szCs w:val="17"/>
            <w:u w:val="single" w:color="auto"/>
            <w:color w:val="0000FF"/>
          </w:rPr>
          <w:t>Second Amended and Restated Pledge and Security Agreement, by and among MRC Energy Company, Longwood</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Gathering and Disposal Systems GP, Inc. and Royal Bank of Canada, as Administrative Agent, dated as of September 28,</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2012 (incorporated by reference to Exhibit 10.49 to the Annual Report on Form 10-K for the year ended December 31,</w:t>
        </w:r>
      </w:hyperlink>
    </w:p>
    <w:p>
      <w:pPr>
        <w:ind w:left="82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2012).</w:t>
        </w:r>
      </w:hyperlink>
    </w:p>
    <w:p>
      <w:pPr>
        <w:spacing w:after="0" w:line="57" w:lineRule="exact"/>
        <w:rPr>
          <w:rFonts w:ascii="Times New Roman" w:cs="Times New Roman" w:eastAsia="Times New Roman" w:hAnsi="Times New Roman"/>
          <w:sz w:val="17"/>
          <w:szCs w:val="17"/>
          <w:u w:val="single" w:color="auto"/>
          <w:color w:val="0000FF"/>
        </w:rPr>
      </w:pPr>
    </w:p>
    <w:p>
      <w:pPr>
        <w:ind w:left="820" w:right="579" w:hanging="678"/>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39">
        <w:r>
          <w:rPr>
            <w:rFonts w:ascii="Times New Roman" w:cs="Times New Roman" w:eastAsia="Times New Roman" w:hAnsi="Times New Roman"/>
            <w:sz w:val="17"/>
            <w:szCs w:val="17"/>
            <w:u w:val="single" w:color="auto"/>
            <w:color w:val="0000FF"/>
          </w:rPr>
          <w:t>Second Amended, Restated and Consolidated Unconditional Guaranty, by and among MRC Permian Company, MRC</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Rockies Company, Matador Production Company, Longwood Gathering and Disposal Systems GP, Inc., Longwood</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Gathering and Disposal Systems, LP, Matador Resources Company and Royal Bank of Canada, as Administrative Agent,</w:t>
        </w:r>
      </w:hyperlink>
    </w:p>
    <w:p>
      <w:pPr>
        <w:ind w:left="820" w:right="379"/>
        <w:spacing w:after="0" w:line="22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dated as of September 28, 2012 (incorporated by reference to Exhibit 10.50 to the Annual Report on Form 10-K for the year</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ended December 31, 2012).</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right="439" w:hanging="678"/>
        <w:spacing w:after="0" w:line="21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1">
        <w:r>
          <w:rPr>
            <w:rFonts w:ascii="Times New Roman" w:cs="Times New Roman" w:eastAsia="Times New Roman" w:hAnsi="Times New Roman"/>
            <w:sz w:val="18"/>
            <w:szCs w:val="18"/>
            <w:u w:val="single" w:color="auto"/>
            <w:color w:val="0000FF"/>
          </w:rPr>
          <w:t>Fourth Amended and Restated Credit Agreement, dated as of November 18, 2021, by and among MRC Energy Company,</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as Borrower, the Lending Entities from time to time parties thereto, as Lenders, and Royal Bank of Canada, as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Administrative Agent (incorporated by reference to Exhibit 10.1 to the Current Report on Form 8-K filed on November 18,</w:t>
        </w:r>
      </w:hyperlink>
    </w:p>
    <w:p>
      <w:pPr>
        <w:spacing w:after="0" w:line="1" w:lineRule="exact"/>
        <w:rPr>
          <w:rFonts w:ascii="Times New Roman" w:cs="Times New Roman" w:eastAsia="Times New Roman" w:hAnsi="Times New Roman"/>
          <w:sz w:val="18"/>
          <w:szCs w:val="18"/>
          <w:u w:val="single" w:color="auto"/>
          <w:color w:val="0000FF"/>
        </w:rPr>
      </w:pPr>
    </w:p>
    <w:p>
      <w:pPr>
        <w:ind w:left="82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2021).</w:t>
        </w:r>
      </w:hyperlink>
    </w:p>
    <w:p>
      <w:pPr>
        <w:spacing w:after="0" w:line="86" w:lineRule="exact"/>
        <w:rPr>
          <w:rFonts w:ascii="Times New Roman" w:cs="Times New Roman" w:eastAsia="Times New Roman" w:hAnsi="Times New Roman"/>
          <w:sz w:val="18"/>
          <w:szCs w:val="18"/>
          <w:u w:val="single" w:color="auto"/>
          <w:color w:val="0000FF"/>
        </w:rPr>
      </w:pPr>
    </w:p>
    <w:p>
      <w:pPr>
        <w:ind w:left="140"/>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2">
        <w:r>
          <w:rPr>
            <w:rFonts w:ascii="Times New Roman" w:cs="Times New Roman" w:eastAsia="Times New Roman" w:hAnsi="Times New Roman"/>
            <w:sz w:val="17"/>
            <w:szCs w:val="17"/>
            <w:u w:val="single" w:color="auto"/>
            <w:color w:val="0000FF"/>
          </w:rPr>
          <w:t>First Amendment to Fourth Amended and Restated Credit Agreement dated as of April 25, 2022, by and among MRC</w:t>
        </w:r>
      </w:hyperlink>
    </w:p>
    <w:p>
      <w:pPr>
        <w:ind w:left="820" w:right="819"/>
        <w:spacing w:after="0" w:line="223" w:lineRule="auto"/>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Energy Company, as Borrower, the lending entities parties thereto as Lenders, and Royal Bank of Canada, as</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Administrative Agent (incorporated by reference to Exhibit 10.1 to the Quarterly Report on Form 10-Q for the quarter</w:t>
        </w:r>
      </w:hyperlink>
    </w:p>
    <w:p>
      <w:pPr>
        <w:spacing w:after="0" w:line="1"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ended March 31, 2022).</w:t>
        </w:r>
      </w:hyperlink>
    </w:p>
    <w:p>
      <w:pPr>
        <w:spacing w:after="0" w:line="57" w:lineRule="exact"/>
        <w:rPr>
          <w:sz w:val="20"/>
          <w:szCs w:val="20"/>
          <w:color w:val="auto"/>
        </w:rPr>
      </w:pPr>
    </w:p>
    <w:p>
      <w:pPr>
        <w:ind w:left="820" w:right="399" w:hanging="678"/>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43">
        <w:r>
          <w:rPr>
            <w:rFonts w:ascii="Times New Roman" w:cs="Times New Roman" w:eastAsia="Times New Roman" w:hAnsi="Times New Roman"/>
            <w:sz w:val="17"/>
            <w:szCs w:val="17"/>
            <w:u w:val="single" w:color="auto"/>
            <w:color w:val="0000FF"/>
          </w:rPr>
          <w:t>Second Amendment to Fourth Amended and Restated Credit Agreement, dated as of March 31, 2023, by and among MRC</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Energy Company, as Borrower, the lending entities parties thereto as Lenders, Royal Bank of Canada, as resigning</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Administrative Agent, and Truist Bank, as successor Administrative Agent (incorporated by reference to Exhibit 10.1 to the</w:t>
        </w:r>
      </w:hyperlink>
    </w:p>
    <w:p>
      <w:pPr>
        <w:ind w:left="8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Current Report on Form 8-K filed on April 3, 2023).</w:t>
        </w:r>
      </w:hyperlink>
    </w:p>
    <w:p>
      <w:pPr>
        <w:spacing w:after="0" w:line="57" w:lineRule="exact"/>
        <w:rPr>
          <w:rFonts w:ascii="Times New Roman" w:cs="Times New Roman" w:eastAsia="Times New Roman" w:hAnsi="Times New Roman"/>
          <w:sz w:val="17"/>
          <w:szCs w:val="17"/>
          <w:u w:val="single" w:color="auto"/>
          <w:color w:val="0000FF"/>
        </w:rPr>
      </w:pPr>
    </w:p>
    <w:p>
      <w:pPr>
        <w:jc w:val="both"/>
        <w:ind w:left="820" w:right="659" w:hanging="678"/>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44">
        <w:r>
          <w:rPr>
            <w:rFonts w:ascii="Times New Roman" w:cs="Times New Roman" w:eastAsia="Times New Roman" w:hAnsi="Times New Roman"/>
            <w:sz w:val="17"/>
            <w:szCs w:val="17"/>
            <w:u w:val="single" w:color="auto"/>
            <w:color w:val="0000FF"/>
          </w:rPr>
          <w:t>Third Amendment to Fourth Amended and Restated Credit Agreement, dated as of April 10, 2023, by and among MRC</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Energy Company, as Borrower, the lending entities parties thereto as Lenders, and Truist Bank, as Administrative Agent</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(incorporated by reference to Exhibit 10.2 to the Quarterly Report on Form 10-Q for the quarter ended March 31, 2023).</w:t>
        </w:r>
      </w:hyperlink>
    </w:p>
    <w:p>
      <w:pPr>
        <w:spacing w:after="0" w:line="64" w:lineRule="exact"/>
        <w:rPr>
          <w:rFonts w:ascii="Times New Roman" w:cs="Times New Roman" w:eastAsia="Times New Roman" w:hAnsi="Times New Roman"/>
          <w:sz w:val="17"/>
          <w:szCs w:val="17"/>
          <w:u w:val="single" w:color="auto"/>
          <w:color w:val="0000FF"/>
        </w:rPr>
      </w:pPr>
    </w:p>
    <w:p>
      <w:pPr>
        <w:ind w:left="820" w:right="41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45">
        <w:r>
          <w:rPr>
            <w:rFonts w:ascii="Times New Roman" w:cs="Times New Roman" w:eastAsia="Times New Roman" w:hAnsi="Times New Roman"/>
            <w:sz w:val="18"/>
            <w:szCs w:val="18"/>
            <w:u w:val="single" w:color="auto"/>
            <w:color w:val="0000FF"/>
          </w:rPr>
          <w:t>Fourth Amendment to Fourth Amended and Restated Credit Agreement, dated as of October 19, 2023, by and among MRC</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Energy Company, as Borrower, the lending entities parties thereto as Lenders, and Truist Bank, as Administrative Agent</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(incorporated by reference to Exhibit 10.1 to the Current Report on Form 8-K filed on October 19, 2023).</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659" w:hanging="678"/>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46">
        <w:r>
          <w:rPr>
            <w:rFonts w:ascii="Times New Roman" w:cs="Times New Roman" w:eastAsia="Times New Roman" w:hAnsi="Times New Roman"/>
            <w:sz w:val="17"/>
            <w:szCs w:val="17"/>
            <w:u w:val="single" w:color="auto"/>
            <w:color w:val="0000FF"/>
          </w:rPr>
          <w:t>Fifth Amendment to Fourth Amended and Restated Credit Agreement, dated as of March 22, 2024, by and among MRC</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Energy Company, as Borrower, the lending entities parties thereto as Lenders, and PNC Bank, National Association, as</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Administrative Agent (incorporated by reference to Exhibit 10.1 to the Current Report on Form 8-K filed on March 25,</w:t>
        </w:r>
      </w:hyperlink>
    </w:p>
    <w:p>
      <w:pPr>
        <w:ind w:left="8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2024).</w:t>
        </w:r>
      </w:hyperlink>
    </w:p>
    <w:p>
      <w:pPr>
        <w:spacing w:after="0" w:line="57" w:lineRule="exact"/>
        <w:rPr>
          <w:rFonts w:ascii="Times New Roman" w:cs="Times New Roman" w:eastAsia="Times New Roman" w:hAnsi="Times New Roman"/>
          <w:sz w:val="17"/>
          <w:szCs w:val="17"/>
          <w:u w:val="single" w:color="auto"/>
          <w:color w:val="0000FF"/>
        </w:rPr>
      </w:pPr>
    </w:p>
    <w:p>
      <w:pPr>
        <w:ind w:left="820" w:right="479" w:hanging="678"/>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47">
        <w:r>
          <w:rPr>
            <w:rFonts w:ascii="Times New Roman" w:cs="Times New Roman" w:eastAsia="Times New Roman" w:hAnsi="Times New Roman"/>
            <w:sz w:val="17"/>
            <w:szCs w:val="17"/>
            <w:u w:val="single" w:color="auto"/>
            <w:color w:val="0000FF"/>
          </w:rPr>
          <w:t>Sixth Amendment to Fourth Amended and Restated Credit Agreement, dated as of September 18, 2024, by and among</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MRC Energy Company, as Borrower, the lending entities parties thereto as Lenders, and PNC Bank, National Association,</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as Administrative Agent (incorporated by reference to Exhibit 10.1 to the Current Report on Form 8-K filed on September</w:t>
        </w:r>
      </w:hyperlink>
    </w:p>
    <w:p>
      <w:pPr>
        <w:ind w:left="8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19, 2024).</w:t>
        </w:r>
      </w:hyperlink>
    </w:p>
    <w:p>
      <w:pPr>
        <w:spacing w:after="0" w:line="7" w:lineRule="exact"/>
        <w:rPr>
          <w:rFonts w:ascii="Times New Roman" w:cs="Times New Roman" w:eastAsia="Times New Roman" w:hAnsi="Times New Roman"/>
          <w:sz w:val="17"/>
          <w:szCs w:val="17"/>
          <w:u w:val="single" w:color="auto"/>
          <w:color w:val="0000FF"/>
        </w:rPr>
      </w:pPr>
    </w:p>
    <w:p>
      <w:pPr>
        <w:ind w:left="820" w:right="479" w:hanging="678"/>
        <w:spacing w:after="0" w:line="227"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48">
        <w:r>
          <w:rPr>
            <w:rFonts w:ascii="Times New Roman" w:cs="Times New Roman" w:eastAsia="Times New Roman" w:hAnsi="Times New Roman"/>
            <w:sz w:val="17"/>
            <w:szCs w:val="17"/>
            <w:u w:val="single" w:color="auto"/>
            <w:color w:val="0000FF"/>
          </w:rPr>
          <w:t>Seventh Amendment to Fourth Amended and Restated Credit Agreement, dated as of December 9, 2025, by and among</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MRC Energy Company, as Borrower, the lending entities parties thereto as Lenders, and PNC Bank, National Association,</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as Administrative Agent (incorporated by reference to Exhibit 10.1 to the Current Report on Form 8-K filed on December</w:t>
        </w:r>
      </w:hyperlink>
    </w:p>
    <w:p>
      <w:pPr>
        <w:ind w:left="82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9, 2025).</w:t>
        </w:r>
      </w:hyperlink>
    </w:p>
    <w:p>
      <w:pPr>
        <w:spacing w:after="0" w:line="7" w:lineRule="exact"/>
        <w:rPr>
          <w:rFonts w:ascii="Times New Roman" w:cs="Times New Roman" w:eastAsia="Times New Roman" w:hAnsi="Times New Roman"/>
          <w:sz w:val="17"/>
          <w:szCs w:val="17"/>
          <w:u w:val="single" w:color="auto"/>
          <w:color w:val="0000FF"/>
        </w:rPr>
      </w:pPr>
    </w:p>
    <w:p>
      <w:pPr>
        <w:ind w:left="820" w:right="699" w:hanging="723"/>
        <w:spacing w:after="0" w:line="23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49">
        <w:r>
          <w:rPr>
            <w:rFonts w:ascii="Times New Roman" w:cs="Times New Roman" w:eastAsia="Times New Roman" w:hAnsi="Times New Roman"/>
            <w:sz w:val="18"/>
            <w:szCs w:val="18"/>
            <w:u w:val="single" w:color="auto"/>
            <w:color w:val="0000FF"/>
          </w:rPr>
          <w:t>Matador Resources Company Nonqualified Deferred Compensation Plan for Non-Employee Directors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10.59 to the Annual Report on Form 10-K for the year ended December 31, 2015).</w:t>
        </w:r>
      </w:hyperlink>
    </w:p>
    <w:p>
      <w:pPr>
        <w:spacing w:after="0" w:line="64" w:lineRule="exact"/>
        <w:rPr>
          <w:sz w:val="20"/>
          <w:szCs w:val="20"/>
          <w:color w:val="auto"/>
        </w:rPr>
      </w:pPr>
    </w:p>
    <w:p>
      <w:pPr>
        <w:ind w:left="820" w:right="67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50">
        <w:r>
          <w:rPr>
            <w:rFonts w:ascii="Times New Roman" w:cs="Times New Roman" w:eastAsia="Times New Roman" w:hAnsi="Times New Roman"/>
            <w:sz w:val="18"/>
            <w:szCs w:val="18"/>
            <w:u w:val="single" w:color="auto"/>
            <w:color w:val="0000FF"/>
          </w:rPr>
          <w:t>Matador Resources Company Annual Cash Incentive Plan, effective as of January 1, 2019 (incorporated by reference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Exhibit 10.66 to the Annual Report on Form 10-K for the year ended December 31, 2018).</w:t>
        </w:r>
      </w:hyperlink>
    </w:p>
    <w:p>
      <w:pPr>
        <w:spacing w:after="0" w:line="64" w:lineRule="exact"/>
        <w:rPr>
          <w:sz w:val="20"/>
          <w:szCs w:val="20"/>
          <w:color w:val="auto"/>
        </w:rPr>
      </w:pPr>
    </w:p>
    <w:p>
      <w:pPr>
        <w:ind w:left="820" w:right="41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51">
        <w:r>
          <w:rPr>
            <w:rFonts w:ascii="Times New Roman" w:cs="Times New Roman" w:eastAsia="Times New Roman" w:hAnsi="Times New Roman"/>
            <w:sz w:val="18"/>
            <w:szCs w:val="18"/>
            <w:u w:val="single" w:color="auto"/>
            <w:color w:val="0000FF"/>
          </w:rPr>
          <w:t>Amended and Restated 2012 Long-Term Incentive Plan (incorporated by reference to Exhibit 10.2 to the Current Report on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Form 8-K filed on June 11, 2015).</w:t>
        </w:r>
      </w:hyperlink>
    </w:p>
    <w:p>
      <w:pPr>
        <w:spacing w:after="0" w:line="64" w:lineRule="exact"/>
        <w:rPr>
          <w:sz w:val="20"/>
          <w:szCs w:val="20"/>
          <w:color w:val="auto"/>
        </w:rPr>
      </w:pPr>
    </w:p>
    <w:p>
      <w:pPr>
        <w:ind w:left="820" w:right="7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52">
        <w:r>
          <w:rPr>
            <w:rFonts w:ascii="Times New Roman" w:cs="Times New Roman" w:eastAsia="Times New Roman" w:hAnsi="Times New Roman"/>
            <w:sz w:val="18"/>
            <w:szCs w:val="18"/>
            <w:u w:val="single" w:color="auto"/>
            <w:color w:val="0000FF"/>
          </w:rPr>
          <w:t>Amendment Number One to the Matador Resources Company Amended and Restated 2012 Long-Term Incentive Plan</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(incorporated by reference to Exhibit 10.1 to the Quarterly Report on Form 10-Q for the quarter ended September 30,</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53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53">
        <w:r>
          <w:rPr>
            <w:rFonts w:ascii="Times New Roman" w:cs="Times New Roman" w:eastAsia="Times New Roman" w:hAnsi="Times New Roman"/>
            <w:sz w:val="18"/>
            <w:szCs w:val="18"/>
            <w:u w:val="single" w:color="auto"/>
            <w:color w:val="0000FF"/>
          </w:rPr>
          <w:t>Form of Nonqualified Stock Option Agreement relating to the Matador Resources Company Amended and Restated 2012</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Long-Term Incentive Plan for employees without employment agreements (incorporated by reference to Exhibit 10.53 to</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the Annual Report on Form 10-K for the year ended December 31, 2015).</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54">
        <w:r>
          <w:rPr>
            <w:rFonts w:ascii="Times New Roman" w:cs="Times New Roman" w:eastAsia="Times New Roman" w:hAnsi="Times New Roman"/>
            <w:sz w:val="18"/>
            <w:szCs w:val="18"/>
            <w:u w:val="single" w:color="auto"/>
            <w:color w:val="0000FF"/>
          </w:rPr>
          <w:t>Form of Restricted Stock Award Agreement relating to the Matador Resources Company Amended and Restated 2012</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Long-Term Incentive Plan for employees without employment agreements (incorporated by reference to Exhibit 10.54 to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the Annual Report on Form 10-K for the year ended December 31, 2015).</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55">
        <w:r>
          <w:rPr>
            <w:rFonts w:ascii="Times New Roman" w:cs="Times New Roman" w:eastAsia="Times New Roman" w:hAnsi="Times New Roman"/>
            <w:sz w:val="18"/>
            <w:szCs w:val="18"/>
            <w:u w:val="single" w:color="auto"/>
            <w:color w:val="0000FF"/>
          </w:rPr>
          <w:t>Form of Restricted Stock Unit Award Agreement for deferred delivery relating to the Matador Resources Company 2012</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Long-Term Incentive Plan (incorporated by reference to Exhibit 10.63 to the Annual Report on Form 10-K for the year</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ended December 31, 2016).</w:t>
        </w:r>
      </w:hyperlink>
    </w:p>
    <w:p>
      <w:pPr>
        <w:spacing w:after="0" w:line="63" w:lineRule="exact"/>
        <w:rPr>
          <w:rFonts w:ascii="Times New Roman" w:cs="Times New Roman" w:eastAsia="Times New Roman" w:hAnsi="Times New Roman"/>
          <w:sz w:val="18"/>
          <w:szCs w:val="18"/>
          <w:u w:val="single" w:color="auto"/>
          <w:color w:val="0000FF"/>
        </w:rPr>
      </w:pPr>
    </w:p>
    <w:p>
      <w:pPr>
        <w:ind w:left="820" w:right="51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56">
        <w:r>
          <w:rPr>
            <w:rFonts w:ascii="Times New Roman" w:cs="Times New Roman" w:eastAsia="Times New Roman" w:hAnsi="Times New Roman"/>
            <w:sz w:val="18"/>
            <w:szCs w:val="18"/>
            <w:u w:val="single" w:color="auto"/>
            <w:color w:val="0000FF"/>
          </w:rPr>
          <w:t>Form of Restricted Stock Unit Award Agreement for Annual Grants with delayed delivery relating to the Matador</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Resources Company Amended and Restated 2012 Long-Term Incentive Plan (incorporated by reference to Exhibit 10.4 to</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the Quarterly Report on Form 10-Q for the quarter ended June 30, 2017).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4"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right="5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58">
        <w:r>
          <w:rPr>
            <w:rFonts w:ascii="Times New Roman" w:cs="Times New Roman" w:eastAsia="Times New Roman" w:hAnsi="Times New Roman"/>
            <w:sz w:val="18"/>
            <w:szCs w:val="18"/>
            <w:u w:val="single" w:color="auto"/>
            <w:color w:val="0000FF"/>
          </w:rPr>
          <w:t>Form of Restricted Stock Unit Award Agreement for director awards with deferred delivery under the Matador Resources</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Company Amended and Restated 2012 Long-Term Incentive Plan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59">
        <w:r>
          <w:rPr>
            <w:rFonts w:ascii="Times New Roman" w:cs="Times New Roman" w:eastAsia="Times New Roman" w:hAnsi="Times New Roman"/>
            <w:sz w:val="18"/>
            <w:szCs w:val="18"/>
            <w:u w:val="single" w:color="auto"/>
            <w:color w:val="0000FF"/>
          </w:rPr>
          <w:t>Form of Nonqualified Stock Option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2012 Long-Term Incentive Plan for employees without employment agreements (incorporated by reference to Exhibit 10.4</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to 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60">
        <w:r>
          <w:rPr>
            <w:rFonts w:ascii="Times New Roman" w:cs="Times New Roman" w:eastAsia="Times New Roman" w:hAnsi="Times New Roman"/>
            <w:sz w:val="18"/>
            <w:szCs w:val="18"/>
            <w:u w:val="single" w:color="auto"/>
            <w:color w:val="0000FF"/>
          </w:rPr>
          <w:t>Form of Nonqualified Stock Option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2012 Long-Term Incentive Plan for employees with employment agreements (incorporated by reference to Exhibit 10.5 to</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ind w:left="820" w:right="47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61">
        <w:r>
          <w:rPr>
            <w:rFonts w:ascii="Times New Roman" w:cs="Times New Roman" w:eastAsia="Times New Roman" w:hAnsi="Times New Roman"/>
            <w:sz w:val="18"/>
            <w:szCs w:val="18"/>
            <w:u w:val="single" w:color="auto"/>
            <w:color w:val="0000FF"/>
          </w:rPr>
          <w:t>Form of Restricted Stock Award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2012 Long-Term Incentive Plan for employees without employment agreements (incorporated by reference to Exhibit 10.6</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to 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ind w:left="820" w:right="51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62">
        <w:r>
          <w:rPr>
            <w:rFonts w:ascii="Times New Roman" w:cs="Times New Roman" w:eastAsia="Times New Roman" w:hAnsi="Times New Roman"/>
            <w:sz w:val="18"/>
            <w:szCs w:val="18"/>
            <w:u w:val="single" w:color="auto"/>
            <w:color w:val="0000FF"/>
          </w:rPr>
          <w:t>Form of Restricted Stock Award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2012 Long-Term Incentive Plan for employees with employment agreements (incorporated by reference to Exhibit 10.7 to</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7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63">
        <w:r>
          <w:rPr>
            <w:rFonts w:ascii="Times New Roman" w:cs="Times New Roman" w:eastAsia="Times New Roman" w:hAnsi="Times New Roman"/>
            <w:sz w:val="18"/>
            <w:szCs w:val="18"/>
            <w:u w:val="single" w:color="auto"/>
            <w:color w:val="0000FF"/>
          </w:rPr>
          <w:t>Form of Phantom Unit Award Agreement for awards under the Matador Resources Company Amended and Restated 2012</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Long-Term Incentive Plan for employees with employment agreements (incorporated by reference to Exhibit 10.67 to the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Annual Report on Form 10-K for the year ended December 31, 2018).</w:t>
        </w:r>
      </w:hyperlink>
    </w:p>
    <w:p>
      <w:pPr>
        <w:spacing w:after="0" w:line="63" w:lineRule="exact"/>
        <w:rPr>
          <w:rFonts w:ascii="Times New Roman" w:cs="Times New Roman" w:eastAsia="Times New Roman" w:hAnsi="Times New Roman"/>
          <w:sz w:val="18"/>
          <w:szCs w:val="18"/>
          <w:u w:val="single" w:color="auto"/>
          <w:color w:val="0000FF"/>
        </w:rPr>
      </w:pPr>
    </w:p>
    <w:p>
      <w:pPr>
        <w:ind w:left="820" w:right="3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64">
        <w:r>
          <w:rPr>
            <w:rFonts w:ascii="Times New Roman" w:cs="Times New Roman" w:eastAsia="Times New Roman" w:hAnsi="Times New Roman"/>
            <w:sz w:val="18"/>
            <w:szCs w:val="18"/>
            <w:u w:val="single" w:color="auto"/>
            <w:color w:val="0000FF"/>
          </w:rPr>
          <w:t>Form of Performance Stock Unit Award Agreement for awards under the Matador Resources Company Amended and</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Restated 2012 Long-Term Incentive Plan for employees with employment agreements (incorporated by reference to Exhibit</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10.68 to the Annual Report on Form 10-K for the year ended December 31, 2018).</w:t>
        </w:r>
      </w:hyperlink>
    </w:p>
    <w:p>
      <w:pPr>
        <w:spacing w:after="0" w:line="63" w:lineRule="exact"/>
        <w:rPr>
          <w:rFonts w:ascii="Times New Roman" w:cs="Times New Roman" w:eastAsia="Times New Roman" w:hAnsi="Times New Roman"/>
          <w:sz w:val="18"/>
          <w:szCs w:val="18"/>
          <w:u w:val="single" w:color="auto"/>
          <w:color w:val="0000FF"/>
        </w:rPr>
      </w:pPr>
    </w:p>
    <w:p>
      <w:pPr>
        <w:ind w:left="820" w:right="37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65">
        <w:r>
          <w:rPr>
            <w:rFonts w:ascii="Times New Roman" w:cs="Times New Roman" w:eastAsia="Times New Roman" w:hAnsi="Times New Roman"/>
            <w:sz w:val="18"/>
            <w:szCs w:val="18"/>
            <w:u w:val="single" w:color="auto"/>
            <w:color w:val="0000FF"/>
          </w:rPr>
          <w:t>Matador Resources Company 2019 Long-Term Incentive Plan (incorporated by reference to Exhibit 99.1 to the Registration</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Statement on Form S-8 filed on June 6, 2019).</w:t>
        </w:r>
      </w:hyperlink>
    </w:p>
    <w:p>
      <w:pPr>
        <w:spacing w:after="0" w:line="64" w:lineRule="exact"/>
        <w:rPr>
          <w:sz w:val="20"/>
          <w:szCs w:val="20"/>
          <w:color w:val="auto"/>
        </w:rPr>
      </w:pPr>
    </w:p>
    <w:p>
      <w:pPr>
        <w:ind w:left="820" w:right="55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66">
        <w:r>
          <w:rPr>
            <w:rFonts w:ascii="Times New Roman" w:cs="Times New Roman" w:eastAsia="Times New Roman" w:hAnsi="Times New Roman"/>
            <w:sz w:val="18"/>
            <w:szCs w:val="18"/>
            <w:u w:val="single" w:color="auto"/>
            <w:color w:val="0000FF"/>
          </w:rPr>
          <w:t>First Amendment to Matador Resources Company 2019 Long-Term Incentive Plan effective April 21, 2022 (incorporated</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by reference to Exhibit 10.1 to the Current Report on Form 8-K filed on June 16, 2022).</w:t>
        </w:r>
      </w:hyperlink>
    </w:p>
    <w:p>
      <w:pPr>
        <w:spacing w:after="0" w:line="64" w:lineRule="exact"/>
        <w:rPr>
          <w:sz w:val="20"/>
          <w:szCs w:val="20"/>
          <w:color w:val="auto"/>
        </w:rPr>
      </w:pPr>
    </w:p>
    <w:p>
      <w:pPr>
        <w:ind w:left="820" w:right="43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67">
        <w:r>
          <w:rPr>
            <w:rFonts w:ascii="Times New Roman" w:cs="Times New Roman" w:eastAsia="Times New Roman" w:hAnsi="Times New Roman"/>
            <w:sz w:val="18"/>
            <w:szCs w:val="18"/>
            <w:u w:val="single" w:color="auto"/>
            <w:color w:val="0000FF"/>
          </w:rPr>
          <w:t>Form of Restricted Stock Unit Award Agreement for director awards under the Matador Resources Company 2019 Long-</w:t>
        </w:r>
      </w:hyperlink>
      <w:hyperlink r:id="rId167">
        <w:r>
          <w:rPr>
            <w:rFonts w:ascii="Times New Roman" w:cs="Times New Roman" w:eastAsia="Times New Roman" w:hAnsi="Times New Roman"/>
            <w:sz w:val="18"/>
            <w:szCs w:val="18"/>
            <w:u w:val="single" w:color="auto"/>
            <w:color w:val="0000FF"/>
          </w:rPr>
          <w:t>Term Incentive Plan (incorporated by reference to Exhibit 10.2 to the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June 30, 2019).</w:t>
        </w:r>
      </w:hyperlink>
    </w:p>
    <w:p>
      <w:pPr>
        <w:spacing w:after="0" w:line="63" w:lineRule="exact"/>
        <w:rPr>
          <w:rFonts w:ascii="Times New Roman" w:cs="Times New Roman" w:eastAsia="Times New Roman" w:hAnsi="Times New Roman"/>
          <w:sz w:val="18"/>
          <w:szCs w:val="18"/>
          <w:u w:val="single" w:color="auto"/>
          <w:color w:val="0000FF"/>
        </w:rPr>
      </w:pPr>
    </w:p>
    <w:p>
      <w:pPr>
        <w:ind w:left="820" w:right="3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68">
        <w:r>
          <w:rPr>
            <w:rFonts w:ascii="Times New Roman" w:cs="Times New Roman" w:eastAsia="Times New Roman" w:hAnsi="Times New Roman"/>
            <w:sz w:val="18"/>
            <w:szCs w:val="18"/>
            <w:u w:val="single" w:color="auto"/>
            <w:color w:val="0000FF"/>
          </w:rPr>
          <w:t>Form of Restricted Stock Unit Award Agreement for director awards with deferred delivery under the Matador Resources</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Company 2019 Long-Term Incentive Plan (incorporated by reference to Exhibit 10.3 to the Quarterly Report on Form 10-Q</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for the quarter ended June 30, 2019).</w:t>
        </w:r>
      </w:hyperlink>
    </w:p>
    <w:p>
      <w:pPr>
        <w:spacing w:after="0" w:line="63" w:lineRule="exact"/>
        <w:rPr>
          <w:rFonts w:ascii="Times New Roman" w:cs="Times New Roman" w:eastAsia="Times New Roman" w:hAnsi="Times New Roman"/>
          <w:sz w:val="18"/>
          <w:szCs w:val="18"/>
          <w:u w:val="single" w:color="auto"/>
          <w:color w:val="0000FF"/>
        </w:rPr>
      </w:pPr>
    </w:p>
    <w:p>
      <w:pPr>
        <w:ind w:left="820" w:right="61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69">
        <w:r>
          <w:rPr>
            <w:rFonts w:ascii="Times New Roman" w:cs="Times New Roman" w:eastAsia="Times New Roman" w:hAnsi="Times New Roman"/>
            <w:sz w:val="18"/>
            <w:szCs w:val="18"/>
            <w:u w:val="single" w:color="auto"/>
            <w:color w:val="0000FF"/>
          </w:rPr>
          <w:t>Form of Phantom Unit Award Agreement for awards under the Matador Resources Company 2019 Long-Term Incentive</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Plan for employees with employment agreements (incorporated by reference to Exhibit 10.1 to the Quarterly Report on</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Form 10-Q for the quarter ended March 31, 2020).</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70">
        <w:r>
          <w:rPr>
            <w:rFonts w:ascii="Times New Roman" w:cs="Times New Roman" w:eastAsia="Times New Roman" w:hAnsi="Times New Roman"/>
            <w:sz w:val="18"/>
            <w:szCs w:val="18"/>
            <w:u w:val="single" w:color="auto"/>
            <w:color w:val="0000FF"/>
          </w:rPr>
          <w:t>Form of Performance Stock Unit Award Agreement for awards under the Matador Resources Company 2019 Long-Term</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Incentive Plan for employees with employment agreements (incorporated by reference to Exhibit 10.2 to the Quarterly</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Report on Form 10-Q for the quarter ended March 31, 2020).</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171">
        <w:r>
          <w:rPr>
            <w:rFonts w:ascii="Times New Roman" w:cs="Times New Roman" w:eastAsia="Times New Roman" w:hAnsi="Times New Roman"/>
            <w:sz w:val="18"/>
            <w:szCs w:val="18"/>
            <w:u w:val="single" w:color="auto"/>
            <w:color w:val="0000FF"/>
          </w:rPr>
          <w:t>Form of Performance Stock Unit Award Agreement for awards under the Matador Resources Company 2019 Long-Term</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Incentive Plan for employees with employment agreements (incorporated by reference to Exhibit 10.58 to the Annual</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Report on Form 10-K for the year ended December 31, 2021).</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172">
        <w:r>
          <w:rPr>
            <w:rFonts w:ascii="Times New Roman" w:cs="Times New Roman" w:eastAsia="Times New Roman" w:hAnsi="Times New Roman"/>
            <w:sz w:val="18"/>
            <w:szCs w:val="18"/>
            <w:u w:val="single" w:color="auto"/>
            <w:color w:val="0000FF"/>
          </w:rPr>
          <w:t>Form of Performance Stock Unit Award Agreement for awards under the Matador Resources Company 2019 Long-Term</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Incentive Plan for employees without employment agreements (incorporated by reference to Exhibit 10.59 to the Annual</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Report on Form 10-K for the year ended December 31, 2021).</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3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10.44†</w:t>
      </w:r>
      <w:r>
        <w:rPr>
          <w:sz w:val="20"/>
          <w:szCs w:val="20"/>
          <w:color w:val="auto"/>
        </w:rPr>
        <w:tab/>
      </w:r>
      <w:hyperlink r:id="rId173">
        <w:r>
          <w:rPr>
            <w:rFonts w:ascii="Times New Roman" w:cs="Times New Roman" w:eastAsia="Times New Roman" w:hAnsi="Times New Roman"/>
            <w:sz w:val="18"/>
            <w:szCs w:val="18"/>
            <w:u w:val="single" w:color="auto"/>
            <w:color w:val="0000FF"/>
          </w:rPr>
          <w:t>Form of Restricted Stock Award Agreement for awards under the Matador Resources Company 2019 Long-Term Incentive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Plan with ratable vesting for employees without employment agreements (incorporated by reference to Exhibit 10.60 to the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Annual Report on Form 10-K for the year ended December 31, 2021).</w:t>
        </w:r>
      </w:hyperlink>
    </w:p>
    <w:p>
      <w:pPr>
        <w:spacing w:after="0" w:line="63" w:lineRule="exact"/>
        <w:rPr>
          <w:rFonts w:ascii="Times New Roman" w:cs="Times New Roman" w:eastAsia="Times New Roman" w:hAnsi="Times New Roman"/>
          <w:sz w:val="18"/>
          <w:szCs w:val="18"/>
          <w:u w:val="single" w:color="auto"/>
          <w:color w:val="0000FF"/>
        </w:rPr>
      </w:pPr>
    </w:p>
    <w:p>
      <w:pPr>
        <w:ind w:left="820" w:right="379" w:hanging="723"/>
        <w:spacing w:after="0" w:line="250"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10.45†</w:t>
      </w:r>
      <w:r>
        <w:rPr>
          <w:sz w:val="20"/>
          <w:szCs w:val="20"/>
          <w:color w:val="auto"/>
        </w:rPr>
        <w:tab/>
      </w:r>
      <w:hyperlink r:id="rId174">
        <w:r>
          <w:rPr>
            <w:rFonts w:ascii="Times New Roman" w:cs="Times New Roman" w:eastAsia="Times New Roman" w:hAnsi="Times New Roman"/>
            <w:sz w:val="18"/>
            <w:szCs w:val="18"/>
            <w:u w:val="single" w:color="auto"/>
            <w:color w:val="0000FF"/>
          </w:rPr>
          <w:t>Form of Stock Option Cancellation Agreement for certain stock options under the Matador Resources Company Amended</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and Restated 2012 Long-Term Incentive Plan (incorporated by reference to Exhibit 10.56 to the Annual Report on Form 10-</w:t>
        </w:r>
      </w:hyperlink>
      <w:hyperlink r:id="rId174">
        <w:r>
          <w:rPr>
            <w:rFonts w:ascii="Times New Roman" w:cs="Times New Roman" w:eastAsia="Times New Roman" w:hAnsi="Times New Roman"/>
            <w:sz w:val="18"/>
            <w:szCs w:val="18"/>
            <w:u w:val="single" w:color="auto"/>
            <w:color w:val="0000FF"/>
          </w:rPr>
          <w:t>K for the year ended December 31, 2020).</w:t>
        </w:r>
      </w:hyperlink>
    </w:p>
    <w:p>
      <w:pPr>
        <w:spacing w:after="0" w:line="82" w:lineRule="exact"/>
        <w:rPr>
          <w:rFonts w:ascii="Times New Roman" w:cs="Times New Roman" w:eastAsia="Times New Roman" w:hAnsi="Times New Roman"/>
          <w:sz w:val="18"/>
          <w:szCs w:val="18"/>
          <w:u w:val="single" w:color="auto"/>
          <w:color w:val="0000FF"/>
        </w:rPr>
      </w:pPr>
    </w:p>
    <w:p>
      <w:pPr>
        <w:ind w:left="820" w:right="95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10.46†</w:t>
      </w:r>
      <w:r>
        <w:rPr>
          <w:sz w:val="20"/>
          <w:szCs w:val="20"/>
          <w:color w:val="auto"/>
        </w:rPr>
        <w:tab/>
      </w:r>
      <w:hyperlink r:id="rId175">
        <w:r>
          <w:rPr>
            <w:rFonts w:ascii="Times New Roman" w:cs="Times New Roman" w:eastAsia="Times New Roman" w:hAnsi="Times New Roman"/>
            <w:sz w:val="18"/>
            <w:szCs w:val="18"/>
            <w:u w:val="single" w:color="auto"/>
            <w:color w:val="0000FF"/>
          </w:rPr>
          <w:t>Matador Resources Company 2022 Employee Stock Purchase Plan (incorporated by reference to Exhibit 10.2 to the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Current Report on Form 8-K filed on June 16, 2022).</w:t>
        </w:r>
      </w:hyperlink>
    </w:p>
    <w:p>
      <w:pPr>
        <w:spacing w:after="0" w:line="64"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u w:val="single" w:color="auto"/>
          <w:color w:val="0000FF"/>
        </w:rPr>
        <w:t>Matador Resources Company Insider Trading Policy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FF"/>
        </w:rPr>
        <w:t>List of Subsidiaries of Matador Resources Company (filed herewith).</w:t>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KPMG LLP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Netherland, Sewell &amp; Associates, Inc.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Section 302 of the Sarbanes-Oxley Act of 2002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Principal Financial Officer pursuant to Section 302 of the Sarbanes-Oxley Act of 2002 (filed herewith).</w:t>
      </w:r>
    </w:p>
    <w:p>
      <w:pPr>
        <w:spacing w:after="0" w:line="77" w:lineRule="exact"/>
        <w:rPr>
          <w:sz w:val="20"/>
          <w:szCs w:val="20"/>
          <w:color w:val="auto"/>
        </w:rPr>
      </w:pPr>
    </w:p>
    <w:p>
      <w:pPr>
        <w:ind w:left="820" w:right="539" w:hanging="633"/>
        <w:spacing w:after="0" w:line="237" w:lineRule="auto"/>
        <w:tabs>
          <w:tab w:leader="none" w:pos="8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 (furnished herewith).</w:t>
      </w:r>
    </w:p>
    <w:p>
      <w:pPr>
        <w:spacing w:after="0" w:line="64" w:lineRule="exact"/>
        <w:rPr>
          <w:sz w:val="20"/>
          <w:szCs w:val="20"/>
          <w:color w:val="auto"/>
        </w:rPr>
      </w:pPr>
    </w:p>
    <w:p>
      <w:pPr>
        <w:ind w:left="820" w:right="579" w:hanging="633"/>
        <w:spacing w:after="0" w:line="237" w:lineRule="auto"/>
        <w:tabs>
          <w:tab w:leader="none" w:pos="8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 (furnished herewith).</w:t>
      </w:r>
    </w:p>
    <w:p>
      <w:pPr>
        <w:spacing w:after="0" w:line="64" w:lineRule="exact"/>
        <w:rPr>
          <w:sz w:val="20"/>
          <w:szCs w:val="20"/>
          <w:color w:val="auto"/>
        </w:rPr>
      </w:pPr>
    </w:p>
    <w:p>
      <w:pPr>
        <w:ind w:left="820" w:right="459" w:hanging="565"/>
        <w:spacing w:after="0" w:line="237" w:lineRule="auto"/>
        <w:tabs>
          <w:tab w:leader="none" w:pos="820" w:val="left"/>
        </w:tabs>
        <w:numPr>
          <w:ilvl w:val="0"/>
          <w:numId w:val="59"/>
        </w:numPr>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Matador Resources Company Clawback Policy (incorporated by reference to Exhibit 97 to the Annual Report on Form 10-</w:t>
        </w:r>
      </w:hyperlink>
      <w:hyperlink r:id="rId177">
        <w:r>
          <w:rPr>
            <w:rFonts w:ascii="Times New Roman" w:cs="Times New Roman" w:eastAsia="Times New Roman" w:hAnsi="Times New Roman"/>
            <w:sz w:val="18"/>
            <w:szCs w:val="18"/>
            <w:u w:val="single" w:color="auto"/>
            <w:color w:val="0000FF"/>
          </w:rPr>
          <w:t>K for the year ended December 31, 2023).</w:t>
        </w:r>
      </w:hyperlink>
    </w:p>
    <w:p>
      <w:pPr>
        <w:spacing w:after="0" w:line="64" w:lineRule="exact"/>
        <w:rPr>
          <w:rFonts w:ascii="Times New Roman" w:cs="Times New Roman" w:eastAsia="Times New Roman" w:hAnsi="Times New Roman"/>
          <w:sz w:val="18"/>
          <w:szCs w:val="18"/>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Audit report of Netherland, Sewell &amp; Associates, Inc. (filed herewith).</w:t>
      </w:r>
    </w:p>
    <w:p>
      <w:pPr>
        <w:spacing w:after="0" w:line="77" w:lineRule="exact"/>
        <w:rPr>
          <w:rFonts w:ascii="Times New Roman" w:cs="Times New Roman" w:eastAsia="Times New Roman" w:hAnsi="Times New Roman"/>
          <w:sz w:val="18"/>
          <w:szCs w:val="18"/>
          <w:color w:val="auto"/>
        </w:rPr>
      </w:pPr>
    </w:p>
    <w:p>
      <w:pPr>
        <w:ind w:left="820" w:right="479" w:hanging="610"/>
        <w:spacing w:after="0" w:line="220"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Annual Report on Form 10-K for the year ended December 31, 2025, formatted in Inline XBRL (Inline eXtensible Business Reporting Language): (i) the Consolidated Balance Sheets, (ii) the Consolidated Statements of Income, (iii) the Consolidated Statements of Changes in Shareholders’ Equity, (iv) the Consolidated Statements of Cash Flows and (v) the Notes to Consolidated Financial Statements (submitted electronically herewith).</w:t>
      </w:r>
    </w:p>
    <w:p>
      <w:pPr>
        <w:spacing w:after="0" w:line="64" w:lineRule="exact"/>
        <w:rPr>
          <w:rFonts w:ascii="Times New Roman" w:cs="Times New Roman" w:eastAsia="Times New Roman" w:hAnsi="Times New Roman"/>
          <w:sz w:val="18"/>
          <w:szCs w:val="18"/>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(included as Exhibit 101).</w:t>
      </w:r>
    </w:p>
    <w:p>
      <w:pPr>
        <w:spacing w:after="0" w:line="293" w:lineRule="exact"/>
        <w:rPr>
          <w:rFonts w:ascii="Times New Roman" w:cs="Times New Roman" w:eastAsia="Times New Roman" w:hAnsi="Times New Roman"/>
          <w:sz w:val="18"/>
          <w:szCs w:val="18"/>
          <w:color w:val="auto"/>
        </w:rPr>
      </w:pPr>
    </w:p>
    <w:p>
      <w:pPr>
        <w:ind w:left="820" w:hanging="519"/>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77" w:lineRule="exact"/>
        <w:rPr>
          <w:rFonts w:ascii="Times New Roman" w:cs="Times New Roman" w:eastAsia="Times New Roman" w:hAnsi="Times New Roman"/>
          <w:sz w:val="18"/>
          <w:szCs w:val="18"/>
          <w:color w:val="auto"/>
        </w:rPr>
      </w:pPr>
    </w:p>
    <w:p>
      <w:pPr>
        <w:ind w:left="820" w:right="559" w:hanging="519"/>
        <w:spacing w:after="0" w:line="224" w:lineRule="auto"/>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5"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MATADOR RESOURCES COMPANY</w:t>
            </w: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31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3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37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3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3"/>
              </w:rPr>
              <w:t>Title</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8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Wm. Foran</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Wm. Foran</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T. Macalik</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T. Macalik</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Benjamin T. Colodney</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Benjamin T. Colodney</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Shelley F. Appel</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Shelley F. Appel</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Reynald A. Baribault</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Reynald A. Baribault</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Gaines Baty</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 Gaines Baty</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M. Byerley</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M. Byerley</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Monika U. Ehrman</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Monika U. Ehrman</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Paul W. Harvey</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Paul W. Harvey</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E. Parker</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Timothy E. Parker</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L. Stewart</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1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L. Stewart</w:t>
            </w:r>
          </w:p>
        </w:tc>
        <w:tc>
          <w:tcPr>
            <w:tcW w:w="53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4"/>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M. Ward</w:t>
            </w:r>
          </w:p>
        </w:tc>
        <w:tc>
          <w:tcPr>
            <w:tcW w:w="53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M. Ward</w:t>
            </w: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GLOSSARY OF OIL AND NATURAL GAS TERMS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description of the meanings of some of the oil and natural gas industry terms used in this Annual Report.</w:t>
      </w:r>
    </w:p>
    <w:p>
      <w:pPr>
        <w:spacing w:after="0" w:line="113" w:lineRule="exact"/>
        <w:rPr>
          <w:sz w:val="20"/>
          <w:szCs w:val="20"/>
          <w:color w:val="auto"/>
        </w:rPr>
      </w:pPr>
    </w:p>
    <w:p>
      <w:pPr>
        <w:ind w:right="3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Batch drilling</w:t>
      </w:r>
      <w:r>
        <w:rPr>
          <w:rFonts w:ascii="Times New Roman" w:cs="Times New Roman" w:eastAsia="Times New Roman" w:hAnsi="Times New Roman"/>
          <w:sz w:val="18"/>
          <w:szCs w:val="18"/>
          <w:color w:val="auto"/>
        </w:rPr>
        <w:t>. The process by which multiple horizontal wells are drilled from a single pad. In batch drilling, the surface holes for each well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drilled first and then the production holes, including the horizontal laterals for each well, are drilled.</w:t>
      </w:r>
    </w:p>
    <w:p>
      <w:pPr>
        <w:spacing w:after="0" w:line="47" w:lineRule="exact"/>
        <w:rPr>
          <w:sz w:val="20"/>
          <w:szCs w:val="20"/>
          <w:color w:val="auto"/>
        </w:rPr>
      </w:pPr>
    </w:p>
    <w:p>
      <w:pPr>
        <w:ind w:right="5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Bbl</w:t>
      </w:r>
      <w:r>
        <w:rPr>
          <w:rFonts w:ascii="Times New Roman" w:cs="Times New Roman" w:eastAsia="Times New Roman" w:hAnsi="Times New Roman"/>
          <w:sz w:val="18"/>
          <w:szCs w:val="18"/>
          <w:color w:val="auto"/>
        </w:rPr>
        <w:t>. One stock tank barrel, or 42 U.S. gallons liquid volume, used in this Annual Report in reference to crude oil, other liquid hydrocarbons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produced water.</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Bcf</w:t>
      </w:r>
      <w:r>
        <w:rPr>
          <w:rFonts w:ascii="Times New Roman" w:cs="Times New Roman" w:eastAsia="Times New Roman" w:hAnsi="Times New Roman"/>
          <w:sz w:val="18"/>
          <w:szCs w:val="18"/>
          <w:color w:val="auto"/>
        </w:rPr>
        <w:t>. One billion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Bench</w:t>
      </w:r>
      <w:r>
        <w:rPr>
          <w:rFonts w:ascii="Times New Roman" w:cs="Times New Roman" w:eastAsia="Times New Roman" w:hAnsi="Times New Roman"/>
          <w:sz w:val="18"/>
          <w:szCs w:val="18"/>
          <w:color w:val="auto"/>
        </w:rPr>
        <w:t>. A geologic zone or formation or a subdivision of a geologic formation.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BOE</w:t>
      </w:r>
      <w:r>
        <w:rPr>
          <w:rFonts w:ascii="Times New Roman" w:cs="Times New Roman" w:eastAsia="Times New Roman" w:hAnsi="Times New Roman"/>
          <w:sz w:val="18"/>
          <w:szCs w:val="18"/>
          <w:color w:val="auto"/>
        </w:rPr>
        <w:t>. Barrels of oil equivalent, determined using the ratio of one Bbl of crude oil, condensate or NGLs to six Mcf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BOE/d</w:t>
      </w:r>
      <w:r>
        <w:rPr>
          <w:rFonts w:ascii="Times New Roman" w:cs="Times New Roman" w:eastAsia="Times New Roman" w:hAnsi="Times New Roman"/>
          <w:sz w:val="18"/>
          <w:szCs w:val="18"/>
          <w:color w:val="auto"/>
        </w:rPr>
        <w:t>. 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Btu or British thermal unit</w:t>
      </w:r>
      <w:r>
        <w:rPr>
          <w:rFonts w:ascii="Times New Roman" w:cs="Times New Roman" w:eastAsia="Times New Roman" w:hAnsi="Times New Roman"/>
          <w:sz w:val="18"/>
          <w:szCs w:val="18"/>
          <w:color w:val="auto"/>
        </w:rPr>
        <w:t>. The quantity of heat required to raise the temperature of one pound of water by one degree Fahrenheit.</w:t>
      </w:r>
    </w:p>
    <w:p>
      <w:pPr>
        <w:spacing w:after="0" w:line="117" w:lineRule="exact"/>
        <w:rPr>
          <w:sz w:val="20"/>
          <w:szCs w:val="20"/>
          <w:color w:val="auto"/>
        </w:rPr>
      </w:pPr>
    </w:p>
    <w:p>
      <w:pPr>
        <w:ind w:right="4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Central delivery point or CDP</w:t>
      </w:r>
      <w:r>
        <w:rPr>
          <w:rFonts w:ascii="Times New Roman" w:cs="Times New Roman" w:eastAsia="Times New Roman" w:hAnsi="Times New Roman"/>
          <w:sz w:val="18"/>
          <w:szCs w:val="18"/>
          <w:color w:val="auto"/>
        </w:rPr>
        <w:t>. The point on an oil, natural gas or produced water system where such product is aggregated from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gathering or transportation pipelines, wells, tank batteries or leases. Custody is often transferred to a third party at a central delivery point.</w:t>
      </w:r>
    </w:p>
    <w:p>
      <w:pPr>
        <w:spacing w:after="0" w:line="47" w:lineRule="exact"/>
        <w:rPr>
          <w:sz w:val="20"/>
          <w:szCs w:val="20"/>
          <w:color w:val="auto"/>
        </w:rPr>
      </w:pPr>
    </w:p>
    <w:p>
      <w:pPr>
        <w:ind w:right="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The operations required to establish production of oil or natural gas from a wellbore, usually involving perforations, stimulation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installation of permanent equipment in the well, or in the case of a dry hole, the reporting of abandonment to the appropriate agency.</w:t>
      </w:r>
    </w:p>
    <w:p>
      <w:pPr>
        <w:spacing w:after="0" w:line="4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Condensate</w:t>
      </w:r>
      <w:r>
        <w:rPr>
          <w:rFonts w:ascii="Times New Roman" w:cs="Times New Roman" w:eastAsia="Times New Roman" w:hAnsi="Times New Roman"/>
          <w:sz w:val="18"/>
          <w:szCs w:val="18"/>
          <w:color w:val="auto"/>
        </w:rPr>
        <w:t>. A mixture of hydrocarbons that exists in the gaseous phase at original reservoir temperature and pressure, but that, when produced,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liquid phase at surface pressure and temperature.</w:t>
      </w:r>
    </w:p>
    <w:p>
      <w:pPr>
        <w:spacing w:after="0" w:line="4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Conventional reservoirs or resources</w:t>
      </w:r>
      <w:r>
        <w:rPr>
          <w:rFonts w:ascii="Times New Roman" w:cs="Times New Roman" w:eastAsia="Times New Roman" w:hAnsi="Times New Roman"/>
          <w:sz w:val="18"/>
          <w:szCs w:val="18"/>
          <w:color w:val="auto"/>
        </w:rPr>
        <w:t>. Natural gas or oil that is produced by a well drilled into a geologic formation in which the reservoir and fluid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characteristics permit the natural gas or oil to readily flow to the wellbore.</w:t>
      </w:r>
    </w:p>
    <w:p>
      <w:pPr>
        <w:spacing w:after="0" w:line="47" w:lineRule="exact"/>
        <w:rPr>
          <w:sz w:val="20"/>
          <w:szCs w:val="20"/>
          <w:color w:val="auto"/>
        </w:rPr>
      </w:pPr>
    </w:p>
    <w:p>
      <w:pPr>
        <w:ind w:right="4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Coring</w:t>
      </w:r>
      <w:r>
        <w:rPr>
          <w:rFonts w:ascii="Times New Roman" w:cs="Times New Roman" w:eastAsia="Times New Roman" w:hAnsi="Times New Roman"/>
          <w:sz w:val="18"/>
          <w:szCs w:val="18"/>
          <w:color w:val="auto"/>
        </w:rPr>
        <w:t>. The act of taking a core. A core is a solid column of rock, usually from two to four inches in diameter, taken as a sample of an underground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Developed acreage</w:t>
      </w:r>
      <w:r>
        <w:rPr>
          <w:rFonts w:ascii="Times New Roman" w:cs="Times New Roman" w:eastAsia="Times New Roman" w:hAnsi="Times New Roman"/>
          <w:sz w:val="18"/>
          <w:szCs w:val="18"/>
          <w:color w:val="auto"/>
        </w:rPr>
        <w:t>. The number of acres that are allocated or assignable to productive wells.</w:t>
      </w:r>
    </w:p>
    <w:p>
      <w:pPr>
        <w:spacing w:after="0" w:line="117" w:lineRule="exact"/>
        <w:rPr>
          <w:sz w:val="20"/>
          <w:szCs w:val="20"/>
          <w:color w:val="auto"/>
        </w:rPr>
      </w:pPr>
    </w:p>
    <w:p>
      <w:pPr>
        <w:ind w:right="30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Developed oil and natural gas reserves</w:t>
      </w:r>
      <w:r>
        <w:rPr>
          <w:rFonts w:ascii="Times New Roman" w:cs="Times New Roman" w:eastAsia="Times New Roman" w:hAnsi="Times New Roman"/>
          <w:sz w:val="18"/>
          <w:szCs w:val="18"/>
          <w:color w:val="auto"/>
        </w:rPr>
        <w:t>. Reserves of any category that can be expected to be recovered (i) through existing wells with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63" w:lineRule="exact"/>
        <w:rPr>
          <w:sz w:val="20"/>
          <w:szCs w:val="20"/>
          <w:color w:val="auto"/>
        </w:rPr>
      </w:pPr>
    </w:p>
    <w:p>
      <w:pPr>
        <w:ind w:right="6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Development well</w:t>
      </w:r>
      <w:r>
        <w:rPr>
          <w:rFonts w:ascii="Times New Roman" w:cs="Times New Roman" w:eastAsia="Times New Roman" w:hAnsi="Times New Roman"/>
          <w:sz w:val="18"/>
          <w:szCs w:val="18"/>
          <w:color w:val="auto"/>
        </w:rPr>
        <w:t>. A well drilled within the proved area of an oil or natural gas reservoir to the depth of a stratigraphic horizon known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productive.</w:t>
      </w:r>
    </w:p>
    <w:p>
      <w:pPr>
        <w:spacing w:after="0" w:line="47" w:lineRule="exact"/>
        <w:rPr>
          <w:sz w:val="20"/>
          <w:szCs w:val="20"/>
          <w:color w:val="auto"/>
        </w:rPr>
      </w:pPr>
    </w:p>
    <w:p>
      <w:pPr>
        <w:ind w:right="5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Differential</w:t>
      </w:r>
      <w:r>
        <w:rPr>
          <w:rFonts w:ascii="Times New Roman" w:cs="Times New Roman" w:eastAsia="Times New Roman" w:hAnsi="Times New Roman"/>
          <w:sz w:val="18"/>
          <w:szCs w:val="18"/>
          <w:color w:val="auto"/>
        </w:rPr>
        <w:t>. The difference between a particular oil or natural gas price and the applicable benchmark price, such as the NYMEX West Texas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Intermediate oil price or the NYMEX Henry Hub natural gas price.</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Dry hole</w:t>
      </w:r>
      <w:r>
        <w:rPr>
          <w:rFonts w:ascii="Times New Roman" w:cs="Times New Roman" w:eastAsia="Times New Roman" w:hAnsi="Times New Roman"/>
          <w:sz w:val="18"/>
          <w:szCs w:val="18"/>
          <w:color w:val="auto"/>
        </w:rPr>
        <w:t>. A well found to be incapable of producing hydrocarbons.</w:t>
      </w:r>
    </w:p>
    <w:p>
      <w:pPr>
        <w:spacing w:after="0" w:line="11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Economically producible</w:t>
      </w:r>
      <w:r>
        <w:rPr>
          <w:rFonts w:ascii="Times New Roman" w:cs="Times New Roman" w:eastAsia="Times New Roman" w:hAnsi="Times New Roman"/>
          <w:sz w:val="18"/>
          <w:szCs w:val="18"/>
          <w:color w:val="auto"/>
        </w:rPr>
        <w:t>. As it relates to a resource, a resource which generates revenue that exceeds, or is reasonably expected to exceed, the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operation.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ESP</w:t>
      </w:r>
      <w:r>
        <w:rPr>
          <w:rFonts w:ascii="Times New Roman" w:cs="Times New Roman" w:eastAsia="Times New Roman" w:hAnsi="Times New Roman"/>
          <w:sz w:val="18"/>
          <w:szCs w:val="18"/>
          <w:color w:val="auto"/>
        </w:rPr>
        <w:t>. Electric submersible pump.</w:t>
      </w:r>
    </w:p>
    <w:p>
      <w:pPr>
        <w:spacing w:after="0" w:line="117" w:lineRule="exact"/>
        <w:rPr>
          <w:sz w:val="20"/>
          <w:szCs w:val="20"/>
          <w:color w:val="auto"/>
        </w:rPr>
      </w:pPr>
    </w:p>
    <w:p>
      <w:pPr>
        <w:jc w:val="both"/>
        <w:ind w:right="300" w:firstLine="445"/>
        <w:spacing w:after="0" w:line="317" w:lineRule="auto"/>
        <w:rPr>
          <w:sz w:val="20"/>
          <w:szCs w:val="20"/>
          <w:color w:val="auto"/>
        </w:rPr>
      </w:pPr>
      <w:r>
        <w:rPr>
          <w:rFonts w:ascii="Times New Roman" w:cs="Times New Roman" w:eastAsia="Times New Roman" w:hAnsi="Times New Roman"/>
          <w:sz w:val="17"/>
          <w:szCs w:val="17"/>
          <w:b w:val="1"/>
          <w:bCs w:val="1"/>
          <w:color w:val="auto"/>
        </w:rPr>
        <w:t>Exploratory well</w:t>
      </w:r>
      <w:r>
        <w:rPr>
          <w:rFonts w:ascii="Times New Roman" w:cs="Times New Roman" w:eastAsia="Times New Roman" w:hAnsi="Times New Roman"/>
          <w:sz w:val="17"/>
          <w:szCs w:val="17"/>
          <w:color w:val="auto"/>
        </w:rPr>
        <w:t>. A well drilled to find a new field or to find a new reservoir in a field previously found to be productive of oil or natural gas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another reservoir. Generally, an exploratory well is any well that is not a development well, an extension well, a service well or a stratigraphic test well.</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Extension well</w:t>
      </w:r>
      <w:r>
        <w:rPr>
          <w:rFonts w:ascii="Times New Roman" w:cs="Times New Roman" w:eastAsia="Times New Roman" w:hAnsi="Times New Roman"/>
          <w:sz w:val="18"/>
          <w:szCs w:val="18"/>
          <w:color w:val="auto"/>
        </w:rPr>
        <w:t>. A well drilled to extend the limits of a known reservoir.</w:t>
      </w:r>
    </w:p>
    <w:p>
      <w:pPr>
        <w:spacing w:after="0" w:line="117" w:lineRule="exact"/>
        <w:rPr>
          <w:sz w:val="20"/>
          <w:szCs w:val="20"/>
          <w:color w:val="auto"/>
        </w:rPr>
      </w:pPr>
    </w:p>
    <w:p>
      <w:pPr>
        <w:ind w:right="5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Farmin or farmout</w:t>
      </w:r>
      <w:r>
        <w:rPr>
          <w:rFonts w:ascii="Times New Roman" w:cs="Times New Roman" w:eastAsia="Times New Roman" w:hAnsi="Times New Roman"/>
          <w:sz w:val="18"/>
          <w:szCs w:val="18"/>
          <w:color w:val="auto"/>
        </w:rPr>
        <w:t>. An agreement under which the owner of a working interest in an oil or natural gas lease assigns the working interest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working interest to another party who desires to drill on the leased acreage. Generally,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50" w:lineRule="exact"/>
        <w:rPr>
          <w:sz w:val="20"/>
          <w:szCs w:val="20"/>
          <w:color w:val="auto"/>
        </w:rPr>
      </w:pPr>
    </w:p>
    <w:p>
      <w:pPr>
        <w:ind w:right="3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stratigraphic condition.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GAAP, or U.S. GAAP</w:t>
      </w:r>
      <w:r>
        <w:rPr>
          <w:rFonts w:ascii="Times New Roman" w:cs="Times New Roman" w:eastAsia="Times New Roman" w:hAnsi="Times New Roman"/>
          <w:sz w:val="18"/>
          <w:szCs w:val="18"/>
          <w:color w:val="auto"/>
        </w:rPr>
        <w:t>. United States, generally accepted accounting principles.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acres or gross wells</w:t>
      </w:r>
      <w:r>
        <w:rPr>
          <w:rFonts w:ascii="Times New Roman" w:cs="Times New Roman" w:eastAsia="Times New Roman" w:hAnsi="Times New Roman"/>
          <w:sz w:val="18"/>
          <w:szCs w:val="18"/>
          <w:color w:val="auto"/>
        </w:rPr>
        <w:t>. The total acres or wells in which a working interest is owned.</w:t>
      </w:r>
    </w:p>
    <w:p>
      <w:pPr>
        <w:spacing w:after="0" w:line="117" w:lineRule="exact"/>
        <w:rPr>
          <w:sz w:val="20"/>
          <w:szCs w:val="20"/>
          <w:color w:val="auto"/>
        </w:rPr>
      </w:pPr>
    </w:p>
    <w:p>
      <w:pPr>
        <w:ind w:right="3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Held by production</w:t>
      </w:r>
      <w:r>
        <w:rPr>
          <w:rFonts w:ascii="Times New Roman" w:cs="Times New Roman" w:eastAsia="Times New Roman" w:hAnsi="Times New Roman"/>
          <w:sz w:val="18"/>
          <w:szCs w:val="18"/>
          <w:color w:val="auto"/>
        </w:rPr>
        <w:t>. An oil and natural gas property under lease in which the lease continues to be in force after the primary term of the lease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as a result of production from the property.</w:t>
      </w:r>
    </w:p>
    <w:p>
      <w:pPr>
        <w:spacing w:after="0" w:line="47" w:lineRule="exact"/>
        <w:rPr>
          <w:sz w:val="20"/>
          <w:szCs w:val="20"/>
          <w:color w:val="auto"/>
        </w:rPr>
      </w:pPr>
    </w:p>
    <w:p>
      <w:pPr>
        <w:ind w:right="2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Horizontal drilling or well</w:t>
      </w:r>
      <w:r>
        <w:rPr>
          <w:rFonts w:ascii="Times New Roman" w:cs="Times New Roman" w:eastAsia="Times New Roman" w:hAnsi="Times New Roman"/>
          <w:sz w:val="18"/>
          <w:szCs w:val="18"/>
          <w:color w:val="auto"/>
        </w:rPr>
        <w:t>. A drilling operation in which a portion of the well is drilled horizontally within a productive or potentially productive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spacing w:after="0" w:line="68" w:lineRule="exact"/>
        <w:rPr>
          <w:sz w:val="20"/>
          <w:szCs w:val="20"/>
          <w:color w:val="auto"/>
        </w:rPr>
      </w:pPr>
    </w:p>
    <w:p>
      <w:pPr>
        <w:ind w:right="4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Hydraulic fracturing</w:t>
      </w:r>
      <w:r>
        <w:rPr>
          <w:rFonts w:ascii="Times New Roman" w:cs="Times New Roman" w:eastAsia="Times New Roman" w:hAnsi="Times New Roman"/>
          <w:sz w:val="18"/>
          <w:szCs w:val="18"/>
          <w:color w:val="auto"/>
        </w:rPr>
        <w:t>. The technique of improving a well’s production or injection rates by pumping a mixture of fluids into the 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Lateral length</w:t>
      </w:r>
      <w:r>
        <w:rPr>
          <w:rFonts w:ascii="Times New Roman" w:cs="Times New Roman" w:eastAsia="Times New Roman" w:hAnsi="Times New Roman"/>
          <w:sz w:val="18"/>
          <w:szCs w:val="18"/>
          <w:color w:val="auto"/>
        </w:rPr>
        <w:t>. Length of the drilled or completed portion of a horizontal well.</w:t>
      </w:r>
    </w:p>
    <w:p>
      <w:pPr>
        <w:spacing w:after="0" w:line="117" w:lineRule="exact"/>
        <w:rPr>
          <w:sz w:val="20"/>
          <w:szCs w:val="20"/>
          <w:color w:val="auto"/>
        </w:rPr>
      </w:pPr>
    </w:p>
    <w:p>
      <w:pPr>
        <w:ind w:right="3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Liquids</w:t>
      </w:r>
      <w:r>
        <w:rPr>
          <w:rFonts w:ascii="Times New Roman" w:cs="Times New Roman" w:eastAsia="Times New Roman" w:hAnsi="Times New Roman"/>
          <w:sz w:val="18"/>
          <w:szCs w:val="18"/>
          <w:color w:val="auto"/>
        </w:rPr>
        <w:t>. Liquids, or natural gas liquids, are marketable liquid products including ethane, propane, butane, pentane and natural gasoline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further processing of liquefiable hydrocarbons separated from raw natural gas by a natural gas processing facility.</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MBbl</w:t>
      </w:r>
      <w:r>
        <w:rPr>
          <w:rFonts w:ascii="Times New Roman" w:cs="Times New Roman" w:eastAsia="Times New Roman" w:hAnsi="Times New Roman"/>
          <w:sz w:val="18"/>
          <w:szCs w:val="18"/>
          <w:color w:val="auto"/>
        </w:rPr>
        <w:t>. One thousand barrels of crude oil, other liquid hydrocarbons or produced water.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MBOE</w:t>
      </w:r>
      <w:r>
        <w:rPr>
          <w:rFonts w:ascii="Times New Roman" w:cs="Times New Roman" w:eastAsia="Times New Roman" w:hAnsi="Times New Roman"/>
          <w:sz w:val="18"/>
          <w:szCs w:val="18"/>
          <w:color w:val="auto"/>
        </w:rPr>
        <w:t>. One thousand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Mcf</w:t>
      </w:r>
      <w:r>
        <w:rPr>
          <w:rFonts w:ascii="Times New Roman" w:cs="Times New Roman" w:eastAsia="Times New Roman" w:hAnsi="Times New Roman"/>
          <w:sz w:val="18"/>
          <w:szCs w:val="18"/>
          <w:color w:val="auto"/>
        </w:rPr>
        <w:t>. One thousand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MMBtu</w:t>
      </w:r>
      <w:r>
        <w:rPr>
          <w:rFonts w:ascii="Times New Roman" w:cs="Times New Roman" w:eastAsia="Times New Roman" w:hAnsi="Times New Roman"/>
          <w:sz w:val="18"/>
          <w:szCs w:val="18"/>
          <w:color w:val="auto"/>
        </w:rPr>
        <w:t>. One million British thermal units.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MMcf</w:t>
      </w:r>
      <w:r>
        <w:rPr>
          <w:rFonts w:ascii="Times New Roman" w:cs="Times New Roman" w:eastAsia="Times New Roman" w:hAnsi="Times New Roman"/>
          <w:sz w:val="18"/>
          <w:szCs w:val="18"/>
          <w:color w:val="auto"/>
        </w:rPr>
        <w:t>. One million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NGL</w:t>
      </w:r>
      <w:r>
        <w:rPr>
          <w:rFonts w:ascii="Times New Roman" w:cs="Times New Roman" w:eastAsia="Times New Roman" w:hAnsi="Times New Roman"/>
          <w:sz w:val="18"/>
          <w:szCs w:val="18"/>
          <w:color w:val="auto"/>
        </w:rPr>
        <w:t>. Natural gas liquids.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acres or net wells</w:t>
      </w:r>
      <w:r>
        <w:rPr>
          <w:rFonts w:ascii="Times New Roman" w:cs="Times New Roman" w:eastAsia="Times New Roman" w:hAnsi="Times New Roman"/>
          <w:sz w:val="18"/>
          <w:szCs w:val="18"/>
          <w:color w:val="auto"/>
        </w:rPr>
        <w:t>. The sum of the fractional working interest owned in gross acres or wells.</w:t>
      </w:r>
    </w:p>
    <w:p>
      <w:pPr>
        <w:spacing w:after="0" w:line="117"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Net revenue interest</w:t>
      </w:r>
      <w:r>
        <w:rPr>
          <w:rFonts w:ascii="Times New Roman" w:cs="Times New Roman" w:eastAsia="Times New Roman" w:hAnsi="Times New Roman"/>
          <w:sz w:val="18"/>
          <w:szCs w:val="18"/>
          <w:color w:val="auto"/>
        </w:rPr>
        <w:t>. The interest that defines the percentage of revenue that an owner of a well receives from the sale of oil, natural gas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gas liquids that are produced from the well.</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NYMEX</w:t>
      </w:r>
      <w:r>
        <w:rPr>
          <w:rFonts w:ascii="Times New Roman" w:cs="Times New Roman" w:eastAsia="Times New Roman" w:hAnsi="Times New Roman"/>
          <w:sz w:val="18"/>
          <w:szCs w:val="18"/>
          <w:color w:val="auto"/>
        </w:rPr>
        <w:t>. New York Mercantile Exchange.</w:t>
      </w:r>
    </w:p>
    <w:p>
      <w:pPr>
        <w:spacing w:after="0" w:line="117" w:lineRule="exact"/>
        <w:rPr>
          <w:sz w:val="20"/>
          <w:szCs w:val="20"/>
          <w:color w:val="auto"/>
        </w:rPr>
      </w:pPr>
    </w:p>
    <w:p>
      <w:pPr>
        <w:ind w:right="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Organization of Petroleum Exporting Countries or OPEC</w:t>
      </w:r>
      <w:r>
        <w:rPr>
          <w:rFonts w:ascii="Times New Roman" w:cs="Times New Roman" w:eastAsia="Times New Roman" w:hAnsi="Times New Roman"/>
          <w:sz w:val="18"/>
          <w:szCs w:val="18"/>
          <w:color w:val="auto"/>
        </w:rPr>
        <w:t>. An intergovernmental group of 12 of the world’s major oil-exporting countries,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founded in 1960 to coordinate the petroleum policies of its members and to provide member countries with technical and economic aid.</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OPEC+</w:t>
      </w:r>
      <w:r>
        <w:rPr>
          <w:rFonts w:ascii="Times New Roman" w:cs="Times New Roman" w:eastAsia="Times New Roman" w:hAnsi="Times New Roman"/>
          <w:sz w:val="18"/>
          <w:szCs w:val="18"/>
          <w:color w:val="auto"/>
        </w:rPr>
        <w:t>. A loose affiliation of the member countries of OPEC and 11 of the world’s other major oil-exporting countries, including Russia.</w:t>
      </w:r>
    </w:p>
    <w:p>
      <w:pPr>
        <w:spacing w:after="0" w:line="117" w:lineRule="exact"/>
        <w:rPr>
          <w:sz w:val="20"/>
          <w:szCs w:val="20"/>
          <w:color w:val="auto"/>
        </w:rPr>
      </w:pPr>
    </w:p>
    <w:p>
      <w:pPr>
        <w:jc w:val="both"/>
        <w:ind w:right="100" w:firstLine="445"/>
        <w:spacing w:after="0" w:line="291" w:lineRule="auto"/>
        <w:rPr>
          <w:sz w:val="20"/>
          <w:szCs w:val="20"/>
          <w:color w:val="auto"/>
        </w:rPr>
      </w:pPr>
      <w:r>
        <w:rPr>
          <w:rFonts w:ascii="Times New Roman" w:cs="Times New Roman" w:eastAsia="Times New Roman" w:hAnsi="Times New Roman"/>
          <w:sz w:val="17"/>
          <w:szCs w:val="17"/>
          <w:b w:val="1"/>
          <w:bCs w:val="1"/>
          <w:color w:val="auto"/>
        </w:rPr>
        <w:t>Overriding royalty interest</w:t>
      </w:r>
      <w:r>
        <w:rPr>
          <w:rFonts w:ascii="Times New Roman" w:cs="Times New Roman" w:eastAsia="Times New Roman" w:hAnsi="Times New Roman"/>
          <w:sz w:val="17"/>
          <w:szCs w:val="17"/>
          <w:color w:val="auto"/>
        </w:rPr>
        <w:t>. A fractional interest in the gross production of oil and natural gas under a lease, in addition to the usual royalties paid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Pad</w:t>
      </w:r>
      <w:r>
        <w:rPr>
          <w:rFonts w:ascii="Times New Roman" w:cs="Times New Roman" w:eastAsia="Times New Roman" w:hAnsi="Times New Roman"/>
          <w:sz w:val="18"/>
          <w:szCs w:val="18"/>
          <w:color w:val="auto"/>
        </w:rPr>
        <w:t>. The surface constructed to accommodate the drilling, completion and production operations of an oil or natural gas well.</w:t>
      </w:r>
    </w:p>
    <w:p>
      <w:pPr>
        <w:spacing w:after="0" w:line="117" w:lineRule="exact"/>
        <w:rPr>
          <w:sz w:val="20"/>
          <w:szCs w:val="20"/>
          <w:color w:val="auto"/>
        </w:rPr>
      </w:pPr>
    </w:p>
    <w:p>
      <w:pPr>
        <w:ind w:right="3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Pad drilling</w:t>
      </w:r>
      <w:r>
        <w:rPr>
          <w:rFonts w:ascii="Times New Roman" w:cs="Times New Roman" w:eastAsia="Times New Roman" w:hAnsi="Times New Roman"/>
          <w:sz w:val="18"/>
          <w:szCs w:val="18"/>
          <w:color w:val="auto"/>
        </w:rPr>
        <w:t>. The process by which multiple horizontal wells are drilled from a single pad. In pad drilling, each well on the pad is drilled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depth before the next well is initiated.</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Permeability</w:t>
      </w:r>
      <w:r>
        <w:rPr>
          <w:rFonts w:ascii="Times New Roman" w:cs="Times New Roman" w:eastAsia="Times New Roman" w:hAnsi="Times New Roman"/>
          <w:sz w:val="18"/>
          <w:szCs w:val="18"/>
          <w:color w:val="auto"/>
        </w:rPr>
        <w:t>. A reference to the ability of oil and/or natural gas to flow through a reservoir.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Petrophysical analysis</w:t>
      </w:r>
      <w:r>
        <w:rPr>
          <w:rFonts w:ascii="Times New Roman" w:cs="Times New Roman" w:eastAsia="Times New Roman" w:hAnsi="Times New Roman"/>
          <w:sz w:val="18"/>
          <w:szCs w:val="18"/>
          <w:color w:val="auto"/>
        </w:rPr>
        <w:t>. The interpretation of well log measurements, obtained from a string of electronic tools inserted into the borehole,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core measurements, in which rock samples are retrieved from the subsurface, then combining these measurements with other relevant geological and geophysical information to describe the reservoir rock properties.</w:t>
      </w:r>
    </w:p>
    <w:p>
      <w:pPr>
        <w:spacing w:after="0" w:line="63" w:lineRule="exact"/>
        <w:rPr>
          <w:sz w:val="20"/>
          <w:szCs w:val="20"/>
          <w:color w:val="auto"/>
        </w:rPr>
      </w:pPr>
    </w:p>
    <w:p>
      <w:pPr>
        <w:ind w:right="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Play</w:t>
      </w:r>
      <w:r>
        <w:rPr>
          <w:rFonts w:ascii="Times New Roman" w:cs="Times New Roman" w:eastAsia="Times New Roman" w:hAnsi="Times New Roman"/>
          <w:sz w:val="18"/>
          <w:szCs w:val="18"/>
          <w:color w:val="auto"/>
        </w:rPr>
        <w:t>. A set of known or postulated oil and/or natural gas accumulations sharing similar geologic, geographic and temporal properties, such as source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rock, migration pathways, timing, trapping mechanism and hydrocarbon type.</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Possible reserves</w:t>
      </w:r>
      <w:r>
        <w:rPr>
          <w:rFonts w:ascii="Times New Roman" w:cs="Times New Roman" w:eastAsia="Times New Roman" w:hAnsi="Times New Roman"/>
          <w:sz w:val="18"/>
          <w:szCs w:val="18"/>
          <w:color w:val="auto"/>
        </w:rPr>
        <w:t>. Additional reserves that are less certain to be recovered than probable reserves.</w:t>
      </w:r>
    </w:p>
    <w:p>
      <w:pPr>
        <w:spacing w:after="0" w:line="117" w:lineRule="exact"/>
        <w:rPr>
          <w:sz w:val="20"/>
          <w:szCs w:val="20"/>
          <w:color w:val="auto"/>
        </w:rPr>
      </w:pPr>
    </w:p>
    <w:p>
      <w:pPr>
        <w:ind w:right="3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Probable reserves</w:t>
      </w:r>
      <w:r>
        <w:rPr>
          <w:rFonts w:ascii="Times New Roman" w:cs="Times New Roman" w:eastAsia="Times New Roman" w:hAnsi="Times New Roman"/>
          <w:sz w:val="18"/>
          <w:szCs w:val="18"/>
          <w:color w:val="auto"/>
        </w:rPr>
        <w:t>. Additional reserves that are less certain to be recovered than proved reserves but which, together with proved reserves,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as not to be recovered.</w:t>
      </w:r>
    </w:p>
    <w:p>
      <w:pPr>
        <w:spacing w:after="0" w:line="47" w:lineRule="exact"/>
        <w:rPr>
          <w:sz w:val="20"/>
          <w:szCs w:val="20"/>
          <w:color w:val="auto"/>
        </w:rPr>
      </w:pPr>
    </w:p>
    <w:p>
      <w:pPr>
        <w:ind w:right="2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Producing well, or productive well</w:t>
      </w:r>
      <w:r>
        <w:rPr>
          <w:rFonts w:ascii="Times New Roman" w:cs="Times New Roman" w:eastAsia="Times New Roman" w:hAnsi="Times New Roman"/>
          <w:sz w:val="18"/>
          <w:szCs w:val="18"/>
          <w:color w:val="auto"/>
        </w:rPr>
        <w:t>. A well that is found to be capable of producing hydrocarbons in sufficient quantities such that proceeds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the well’s production exceed production-related expenses and taxes.</w:t>
      </w:r>
    </w:p>
    <w:p>
      <w:pPr>
        <w:spacing w:after="0" w:line="47" w:lineRule="exact"/>
        <w:rPr>
          <w:sz w:val="20"/>
          <w:szCs w:val="20"/>
          <w:color w:val="auto"/>
        </w:rPr>
      </w:pPr>
    </w:p>
    <w:p>
      <w:pPr>
        <w:ind w:right="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Production costs</w:t>
      </w:r>
      <w:r>
        <w:rPr>
          <w:rFonts w:ascii="Times New Roman" w:cs="Times New Roman" w:eastAsia="Times New Roman" w:hAnsi="Times New Roman"/>
          <w:sz w:val="18"/>
          <w:szCs w:val="18"/>
          <w:color w:val="auto"/>
        </w:rPr>
        <w:t>. Costs incurred to operate and maintain wells and related equipment and facilities, including depreciation and applicable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of support equipment and facilities and other costs of operating and maintaining such wells and related equipment and facilities.</w:t>
      </w:r>
    </w:p>
    <w:p>
      <w:pPr>
        <w:spacing w:after="0" w:line="47" w:lineRule="exact"/>
        <w:rPr>
          <w:sz w:val="20"/>
          <w:szCs w:val="20"/>
          <w:color w:val="auto"/>
        </w:rPr>
      </w:pPr>
    </w:p>
    <w:p>
      <w:pPr>
        <w:ind w:right="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Natural gas and oil wells, production and related equipment and facilities and oil, natural gas, or other mineral fee, leasehold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w:t>
      </w:r>
    </w:p>
    <w:p>
      <w:pPr>
        <w:spacing w:after="0" w:line="47"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Prospect</w:t>
      </w:r>
      <w:r>
        <w:rPr>
          <w:rFonts w:ascii="Times New Roman" w:cs="Times New Roman" w:eastAsia="Times New Roman" w:hAnsi="Times New Roman"/>
          <w:sz w:val="18"/>
          <w:szCs w:val="18"/>
          <w:color w:val="auto"/>
        </w:rPr>
        <w:t>. A specific geographic area which, based on supporting geological, geophysical or other data and preliminary economic analysis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anticipated prices and costs, is considered to have potential for the discovery of commercial hydrocarbons.</w:t>
      </w:r>
    </w:p>
    <w:p>
      <w:pPr>
        <w:spacing w:after="0" w:line="47" w:lineRule="exact"/>
        <w:rPr>
          <w:sz w:val="20"/>
          <w:szCs w:val="20"/>
          <w:color w:val="auto"/>
        </w:rPr>
      </w:pPr>
    </w:p>
    <w:p>
      <w:pPr>
        <w:ind w:right="5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Prospectivity</w:t>
      </w:r>
      <w:r>
        <w:rPr>
          <w:rFonts w:ascii="Times New Roman" w:cs="Times New Roman" w:eastAsia="Times New Roman" w:hAnsi="Times New Roman"/>
          <w:sz w:val="18"/>
          <w:szCs w:val="18"/>
          <w:color w:val="auto"/>
        </w:rPr>
        <w:t>. Having the potential for the discovery and/or future development of commercial hydrocarbons in a specific geographic area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Proved area</w:t>
      </w:r>
      <w:r>
        <w:rPr>
          <w:rFonts w:ascii="Times New Roman" w:cs="Times New Roman" w:eastAsia="Times New Roman" w:hAnsi="Times New Roman"/>
          <w:sz w:val="18"/>
          <w:szCs w:val="18"/>
          <w:color w:val="auto"/>
        </w:rPr>
        <w:t>. The part of a property to which proved reserves have been specifically attributed.</w:t>
      </w:r>
    </w:p>
    <w:p>
      <w:pPr>
        <w:spacing w:after="0" w:line="117" w:lineRule="exact"/>
        <w:rPr>
          <w:sz w:val="20"/>
          <w:szCs w:val="20"/>
          <w:color w:val="auto"/>
        </w:rPr>
      </w:pPr>
    </w:p>
    <w:p>
      <w:pPr>
        <w:ind w:right="16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Proved developed non-producing</w:t>
      </w:r>
      <w:r>
        <w:rPr>
          <w:rFonts w:ascii="Times New Roman" w:cs="Times New Roman" w:eastAsia="Times New Roman" w:hAnsi="Times New Roman"/>
          <w:sz w:val="18"/>
          <w:szCs w:val="18"/>
          <w:color w:val="auto"/>
        </w:rPr>
        <w:t>. Hydrocarbons in a potentially producing horizon penetrated by a wellbore, the production of which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postponed pending installation of surface equipment or gathering facilities, or pending the production of hydrocarbons from another formation penetrated by the wellbore. The hydrocarbons are classified as proved developed but non-producing reserves.</w:t>
      </w:r>
    </w:p>
    <w:p>
      <w:pPr>
        <w:spacing w:after="0" w:line="63" w:lineRule="exact"/>
        <w:rPr>
          <w:sz w:val="20"/>
          <w:szCs w:val="20"/>
          <w:color w:val="auto"/>
        </w:rPr>
      </w:pPr>
    </w:p>
    <w:p>
      <w:pPr>
        <w:ind w:right="3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Proved developed reserves</w:t>
      </w:r>
      <w:r>
        <w:rPr>
          <w:rFonts w:ascii="Times New Roman" w:cs="Times New Roman" w:eastAsia="Times New Roman" w:hAnsi="Times New Roman"/>
          <w:sz w:val="18"/>
          <w:szCs w:val="18"/>
          <w:color w:val="auto"/>
        </w:rPr>
        <w:t>. Proved reserves that can be expected to be recovered through existing wells and facilities and by existing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methods.</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Proved properties</w:t>
      </w:r>
      <w:r>
        <w:rPr>
          <w:rFonts w:ascii="Times New Roman" w:cs="Times New Roman" w:eastAsia="Times New Roman" w:hAnsi="Times New Roman"/>
          <w:sz w:val="18"/>
          <w:szCs w:val="18"/>
          <w:color w:val="auto"/>
        </w:rPr>
        <w:t>. Properties with proved reserves.</w:t>
      </w:r>
    </w:p>
    <w:p>
      <w:pPr>
        <w:spacing w:after="0" w:line="117" w:lineRule="exact"/>
        <w:rPr>
          <w:sz w:val="20"/>
          <w:szCs w:val="20"/>
          <w:color w:val="auto"/>
        </w:rPr>
      </w:pPr>
    </w:p>
    <w:p>
      <w:pPr>
        <w:ind w:right="2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Proved reserves</w:t>
      </w:r>
      <w:r>
        <w:rPr>
          <w:rFonts w:ascii="Times New Roman" w:cs="Times New Roman" w:eastAsia="Times New Roman" w:hAnsi="Times New Roman"/>
          <w:sz w:val="18"/>
          <w:szCs w:val="18"/>
          <w:color w:val="auto"/>
        </w:rPr>
        <w:t>. The quantities of oil and natural gas, which, by analysis of geoscience and engineering data, can be estimated with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w:t>
      </w:r>
    </w:p>
    <w:p>
      <w:pPr>
        <w:spacing w:after="0" w:line="68" w:lineRule="exact"/>
        <w:rPr>
          <w:sz w:val="20"/>
          <w:szCs w:val="20"/>
          <w:color w:val="auto"/>
        </w:rPr>
      </w:pPr>
    </w:p>
    <w:p>
      <w:pPr>
        <w:ind w:right="1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Proved undeveloped reserves</w:t>
      </w:r>
      <w:r>
        <w:rPr>
          <w:rFonts w:ascii="Times New Roman" w:cs="Times New Roman" w:eastAsia="Times New Roman" w:hAnsi="Times New Roman"/>
          <w:sz w:val="18"/>
          <w:szCs w:val="18"/>
          <w:color w:val="auto"/>
        </w:rPr>
        <w:t>. Proved reserves that are expected to be recovered from new wells on undrilled acreage or from existing wells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relatively major expenditure is required for recompletion.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Reasonable certainty. </w:t>
      </w:r>
      <w:r>
        <w:rPr>
          <w:rFonts w:ascii="Times New Roman" w:cs="Times New Roman" w:eastAsia="Times New Roman" w:hAnsi="Times New Roman"/>
          <w:sz w:val="18"/>
          <w:szCs w:val="18"/>
          <w:color w:val="auto"/>
        </w:rPr>
        <w:t>A high degree of confidence that the quantities of oil and/or natural gas will be recovered.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Recompletion</w:t>
      </w:r>
      <w:r>
        <w:rPr>
          <w:rFonts w:ascii="Times New Roman" w:cs="Times New Roman" w:eastAsia="Times New Roman" w:hAnsi="Times New Roman"/>
          <w:sz w:val="18"/>
          <w:szCs w:val="18"/>
          <w:color w:val="auto"/>
        </w:rPr>
        <w:t>. Completing in the same wellbore to reach a new reservoir after production from the original reservoir has been abandoned.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Repeatability</w:t>
      </w:r>
      <w:r>
        <w:rPr>
          <w:rFonts w:ascii="Times New Roman" w:cs="Times New Roman" w:eastAsia="Times New Roman" w:hAnsi="Times New Roman"/>
          <w:sz w:val="18"/>
          <w:szCs w:val="18"/>
          <w:color w:val="auto"/>
        </w:rPr>
        <w:t>. The potential ability to drill multiple wells within a prospect or trend.</w:t>
      </w:r>
    </w:p>
    <w:p>
      <w:pPr>
        <w:spacing w:after="0" w:line="11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oil and/or natural gas that is confined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impermeable rock or water barriers and is individual and separate from other reservoirs.</w:t>
      </w:r>
    </w:p>
    <w:p>
      <w:pPr>
        <w:spacing w:after="0" w:line="47" w:lineRule="exact"/>
        <w:rPr>
          <w:sz w:val="20"/>
          <w:szCs w:val="20"/>
          <w:color w:val="auto"/>
        </w:rPr>
      </w:pPr>
    </w:p>
    <w:p>
      <w:pPr>
        <w:ind w:right="4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Reserves. </w:t>
      </w:r>
      <w:r>
        <w:rPr>
          <w:rFonts w:ascii="Times New Roman" w:cs="Times New Roman" w:eastAsia="Times New Roman" w:hAnsi="Times New Roman"/>
          <w:sz w:val="18"/>
          <w:szCs w:val="18"/>
          <w:color w:val="auto"/>
        </w:rPr>
        <w:t>Estimated remaining quantities of oil and gas and related substances anticipated to be economically producible, as of a given date,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development projects to known accumulations.</w:t>
      </w:r>
    </w:p>
    <w:p>
      <w:pPr>
        <w:spacing w:after="0" w:line="47" w:lineRule="exact"/>
        <w:rPr>
          <w:sz w:val="20"/>
          <w:szCs w:val="20"/>
          <w:color w:val="auto"/>
        </w:rPr>
      </w:pPr>
    </w:p>
    <w:p>
      <w:pPr>
        <w:jc w:val="both"/>
        <w:ind w:right="14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Royalty interest</w:t>
      </w:r>
      <w:r>
        <w:rPr>
          <w:rFonts w:ascii="Times New Roman" w:cs="Times New Roman" w:eastAsia="Times New Roman" w:hAnsi="Times New Roman"/>
          <w:sz w:val="18"/>
          <w:szCs w:val="18"/>
          <w:color w:val="auto"/>
        </w:rPr>
        <w:t>. An interest in an oil and natural gas lease that gives the owner of the interest the right to receive a portion of the production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2-D seismic</w:t>
      </w:r>
      <w:r>
        <w:rPr>
          <w:rFonts w:ascii="Times New Roman" w:cs="Times New Roman" w:eastAsia="Times New Roman" w:hAnsi="Times New Roman"/>
          <w:sz w:val="18"/>
          <w:szCs w:val="18"/>
          <w:color w:val="auto"/>
        </w:rPr>
        <w:t>. The method by which a cross-section of the earth’s subsurface is created through the interpretation of reflection seismic data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along a single source profile.</w:t>
      </w:r>
    </w:p>
    <w:p>
      <w:pPr>
        <w:spacing w:after="0" w:line="47" w:lineRule="exact"/>
        <w:rPr>
          <w:sz w:val="20"/>
          <w:szCs w:val="20"/>
          <w:color w:val="auto"/>
        </w:rPr>
      </w:pPr>
    </w:p>
    <w:p>
      <w:pPr>
        <w:ind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3-D seismic</w:t>
      </w:r>
      <w:r>
        <w:rPr>
          <w:rFonts w:ascii="Times New Roman" w:cs="Times New Roman" w:eastAsia="Times New Roman" w:hAnsi="Times New Roman"/>
          <w:sz w:val="18"/>
          <w:szCs w:val="18"/>
          <w:color w:val="auto"/>
        </w:rPr>
        <w:t>. The method by which a three-dimensional image of the earth’s subsurface is created through the interpretation of reflection seismic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over a surface grid. 3-D seismic surveys allow for a more detailed understanding of the subsurface than do 2-D seismic surveys and contribute significantly to field appraisal, exploitation and production.</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Service well. </w:t>
      </w:r>
      <w:r>
        <w:rPr>
          <w:rFonts w:ascii="Times New Roman" w:cs="Times New Roman" w:eastAsia="Times New Roman" w:hAnsi="Times New Roman"/>
          <w:sz w:val="18"/>
          <w:szCs w:val="18"/>
          <w:color w:val="auto"/>
        </w:rPr>
        <w:t>A well drilled or completed for the purpose of supporting production in an existing field.</w:t>
      </w:r>
    </w:p>
    <w:p>
      <w:pPr>
        <w:spacing w:after="0" w:line="117" w:lineRule="exact"/>
        <w:rPr>
          <w:sz w:val="20"/>
          <w:szCs w:val="20"/>
          <w:color w:val="auto"/>
        </w:rPr>
      </w:pPr>
    </w:p>
    <w:p>
      <w:pPr>
        <w:ind w:right="1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Simul-Frac (Simultaneous Fracturing). </w:t>
      </w:r>
      <w:r>
        <w:rPr>
          <w:rFonts w:ascii="Times New Roman" w:cs="Times New Roman" w:eastAsia="Times New Roman" w:hAnsi="Times New Roman"/>
          <w:sz w:val="18"/>
          <w:szCs w:val="18"/>
          <w:color w:val="auto"/>
        </w:rPr>
        <w:t>Simul-Frac is a hydraulic fracturing technique in which two wells are fractured simultaneously using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hydraulic fracturing fleet. This differs from traditional zipper-frac where only one well is hydraulically stimulated.</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Spud</w:t>
      </w:r>
      <w:r>
        <w:rPr>
          <w:rFonts w:ascii="Times New Roman" w:cs="Times New Roman" w:eastAsia="Times New Roman" w:hAnsi="Times New Roman"/>
          <w:sz w:val="18"/>
          <w:szCs w:val="18"/>
          <w:color w:val="auto"/>
        </w:rPr>
        <w:t>. The act of beginning to drill an oil or natural gas well.</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Stratigraphic test well. </w:t>
      </w:r>
      <w:r>
        <w:rPr>
          <w:rFonts w:ascii="Times New Roman" w:cs="Times New Roman" w:eastAsia="Times New Roman" w:hAnsi="Times New Roman"/>
          <w:sz w:val="18"/>
          <w:szCs w:val="18"/>
          <w:color w:val="auto"/>
        </w:rPr>
        <w:t>A drilling effort, geologically directed, to obtain information pertaining to specific geologic condition.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Tcf</w:t>
      </w:r>
      <w:r>
        <w:rPr>
          <w:rFonts w:ascii="Times New Roman" w:cs="Times New Roman" w:eastAsia="Times New Roman" w:hAnsi="Times New Roman"/>
          <w:sz w:val="18"/>
          <w:szCs w:val="18"/>
          <w:color w:val="auto"/>
        </w:rPr>
        <w:t>. One trillion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Throughput</w:t>
      </w:r>
      <w:r>
        <w:rPr>
          <w:rFonts w:ascii="Times New Roman" w:cs="Times New Roman" w:eastAsia="Times New Roman" w:hAnsi="Times New Roman"/>
          <w:sz w:val="18"/>
          <w:szCs w:val="18"/>
          <w:color w:val="auto"/>
        </w:rPr>
        <w:t>. The volume of product transported or passing through a pipeline, plant or other facility.</w:t>
      </w:r>
    </w:p>
    <w:p>
      <w:pPr>
        <w:spacing w:after="0" w:line="117" w:lineRule="exact"/>
        <w:rPr>
          <w:sz w:val="20"/>
          <w:szCs w:val="20"/>
          <w:color w:val="auto"/>
        </w:rPr>
      </w:pPr>
    </w:p>
    <w:p>
      <w:pPr>
        <w:ind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Trend</w:t>
      </w:r>
      <w:r>
        <w:rPr>
          <w:rFonts w:ascii="Times New Roman" w:cs="Times New Roman" w:eastAsia="Times New Roman" w:hAnsi="Times New Roman"/>
          <w:sz w:val="18"/>
          <w:szCs w:val="18"/>
          <w:color w:val="auto"/>
        </w:rPr>
        <w:t>. A region of oil and/or natural gas production, the geographic limits of which have not been fully defined, having geological characteristics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have been ascertained through supporting geological, geophysical or other data to contain the potential for oil and/or natural gas reserves in a particular formation or series of formations.</w:t>
      </w:r>
    </w:p>
    <w:p>
      <w:pPr>
        <w:spacing w:after="0" w:line="63" w:lineRule="exact"/>
        <w:rPr>
          <w:sz w:val="20"/>
          <w:szCs w:val="20"/>
          <w:color w:val="auto"/>
        </w:rPr>
      </w:pPr>
    </w:p>
    <w:p>
      <w:pPr>
        <w:ind w:right="8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Trimul-Frac (Triple Simultaneous Fracturing). </w:t>
      </w:r>
      <w:r>
        <w:rPr>
          <w:rFonts w:ascii="Times New Roman" w:cs="Times New Roman" w:eastAsia="Times New Roman" w:hAnsi="Times New Roman"/>
          <w:sz w:val="18"/>
          <w:szCs w:val="18"/>
          <w:color w:val="auto"/>
        </w:rPr>
        <w:t>Trimul-Frac is an advanced hydraulic fracturing technique where three wells are fractured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simultaneously using one hydraulic fracturing fleet. While similar to Simul-Frac in terms of treating multiple wells simultaneously, Trimul-Frac stimulates three wells versus two.</w:t>
      </w:r>
    </w:p>
    <w:p>
      <w:pPr>
        <w:spacing w:after="0" w:line="63" w:lineRule="exact"/>
        <w:rPr>
          <w:sz w:val="20"/>
          <w:szCs w:val="20"/>
          <w:color w:val="auto"/>
        </w:rPr>
      </w:pPr>
    </w:p>
    <w:p>
      <w:pPr>
        <w:jc w:val="both"/>
        <w:ind w:right="16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Unconventional resource play</w:t>
      </w:r>
      <w:r>
        <w:rPr>
          <w:rFonts w:ascii="Times New Roman" w:cs="Times New Roman" w:eastAsia="Times New Roman" w:hAnsi="Times New Roman"/>
          <w:sz w:val="18"/>
          <w:szCs w:val="18"/>
          <w:color w:val="auto"/>
        </w:rPr>
        <w:t>. A set of known or postulated oil and or natural gas resources or reserves warranting further exploration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extracted from (i) low-permeability sandstone and shale formations and (ii) coalbed methane. These plays require the application of advanced technology to extract the oil and natural gas resources.</w:t>
      </w:r>
    </w:p>
    <w:p>
      <w:pPr>
        <w:spacing w:after="0" w:line="63" w:lineRule="exact"/>
        <w:rPr>
          <w:sz w:val="20"/>
          <w:szCs w:val="20"/>
          <w:color w:val="auto"/>
        </w:rPr>
      </w:pPr>
    </w:p>
    <w:p>
      <w:pPr>
        <w:jc w:val="both"/>
        <w:ind w:right="10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Undeveloped acreage</w:t>
      </w:r>
      <w:r>
        <w:rPr>
          <w:rFonts w:ascii="Times New Roman" w:cs="Times New Roman" w:eastAsia="Times New Roman" w:hAnsi="Times New Roman"/>
          <w:sz w:val="18"/>
          <w:szCs w:val="18"/>
          <w:color w:val="auto"/>
        </w:rPr>
        <w:t>. Lease acreage on which wells have not been drilled or completed to a point that would permit the production of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of oil and natural gas, regardless of whether such acreage contains proved reserves. Undeveloped acreage is usually considered to be all acreage that is not allocated or assignable to productive wells.</w:t>
      </w:r>
    </w:p>
    <w:p>
      <w:pPr>
        <w:spacing w:after="0" w:line="63" w:lineRule="exact"/>
        <w:rPr>
          <w:sz w:val="20"/>
          <w:szCs w:val="20"/>
          <w:color w:val="auto"/>
        </w:rPr>
      </w:pPr>
    </w:p>
    <w:p>
      <w:pPr>
        <w:ind w:right="6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Unproved and unevaluated properties</w:t>
      </w:r>
      <w:r>
        <w:rPr>
          <w:rFonts w:ascii="Times New Roman" w:cs="Times New Roman" w:eastAsia="Times New Roman" w:hAnsi="Times New Roman"/>
          <w:sz w:val="18"/>
          <w:szCs w:val="18"/>
          <w:color w:val="auto"/>
        </w:rPr>
        <w:t>. Properties where no drilling or other actions have been undertaken that permit such properties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proved and to which no proved reserves have been assigned.</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Vertical well</w:t>
      </w:r>
      <w:r>
        <w:rPr>
          <w:rFonts w:ascii="Times New Roman" w:cs="Times New Roman" w:eastAsia="Times New Roman" w:hAnsi="Times New Roman"/>
          <w:sz w:val="18"/>
          <w:szCs w:val="18"/>
          <w:color w:val="auto"/>
        </w:rPr>
        <w:t>. A hole drilled vertically into the earth from which oil, natural gas or water flows or is pumped.</w:t>
      </w:r>
    </w:p>
    <w:p>
      <w:pPr>
        <w:spacing w:after="0" w:line="11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Visualization</w:t>
      </w:r>
      <w:r>
        <w:rPr>
          <w:rFonts w:ascii="Times New Roman" w:cs="Times New Roman" w:eastAsia="Times New Roman" w:hAnsi="Times New Roman"/>
          <w:sz w:val="18"/>
          <w:szCs w:val="18"/>
          <w:color w:val="auto"/>
        </w:rPr>
        <w:t>. An exploration technique in which the size and shape of subsurface features are mapped and analyzed based upon information derived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well logs, seismic data and other well information.</w:t>
      </w:r>
    </w:p>
    <w:p>
      <w:pPr>
        <w:spacing w:after="0" w:line="47"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Volumetric reserves analysis</w:t>
      </w:r>
      <w:r>
        <w:rPr>
          <w:rFonts w:ascii="Times New Roman" w:cs="Times New Roman" w:eastAsia="Times New Roman" w:hAnsi="Times New Roman"/>
          <w:sz w:val="18"/>
          <w:szCs w:val="18"/>
          <w:color w:val="auto"/>
        </w:rPr>
        <w:t>. A technique used to estimate the amount of recoverable oil and natural gas. It involves calculating the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reservoir rock and adjusting that volume for rock porosity, hydrocarbon saturation, formation volume factor and recovery factor.</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WTI</w:t>
      </w:r>
      <w:r>
        <w:rPr>
          <w:rFonts w:ascii="Times New Roman" w:cs="Times New Roman" w:eastAsia="Times New Roman" w:hAnsi="Times New Roman"/>
          <w:sz w:val="18"/>
          <w:szCs w:val="18"/>
          <w:color w:val="auto"/>
        </w:rPr>
        <w:t>. West Texas Intermediate.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Wellbore</w:t>
      </w:r>
      <w:r>
        <w:rPr>
          <w:rFonts w:ascii="Times New Roman" w:cs="Times New Roman" w:eastAsia="Times New Roman" w:hAnsi="Times New Roman"/>
          <w:sz w:val="18"/>
          <w:szCs w:val="18"/>
          <w:color w:val="auto"/>
        </w:rPr>
        <w:t>. The hole made by a well.</w:t>
      </w:r>
    </w:p>
    <w:p>
      <w:pPr>
        <w:spacing w:after="0" w:line="117" w:lineRule="exact"/>
        <w:rPr>
          <w:sz w:val="20"/>
          <w:szCs w:val="20"/>
          <w:color w:val="auto"/>
        </w:rPr>
      </w:pPr>
    </w:p>
    <w:p>
      <w:pPr>
        <w:ind w:right="1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Working interest</w:t>
      </w:r>
      <w:r>
        <w:rPr>
          <w:rFonts w:ascii="Times New Roman" w:cs="Times New Roman" w:eastAsia="Times New Roman" w:hAnsi="Times New Roman"/>
          <w:sz w:val="18"/>
          <w:szCs w:val="18"/>
          <w:color w:val="auto"/>
        </w:rPr>
        <w:t>. The operating interest that gives the owner the right to drill, produce and conduct operating activities on the property and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share of production.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Matador Resources Company and Subsidiaries</w:t>
      </w:r>
    </w:p>
    <w:p>
      <w:pPr>
        <w:spacing w:after="0" w:line="16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CONSOLIDATED FINANCIAL STATEMENTS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December 31, 2025, 2024 and 2023</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F-2</w:t>
            </w:r>
          </w:p>
        </w:tc>
      </w:tr>
      <w:tr>
        <w:trPr>
          <w:trHeight w:val="520"/>
        </w:trPr>
        <w:tc>
          <w:tcPr>
            <w:tcW w:w="4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66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47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9"/>
        </w:trPr>
        <w:tc>
          <w:tcPr>
            <w:tcW w:w="46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2024 and 2023</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4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Years Ended December 31, 2025, 2024 and 2023</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9"/>
        </w:trPr>
        <w:tc>
          <w:tcPr>
            <w:tcW w:w="46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4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479"/>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720" w:type="dxa"/>
            <w:vAlign w:val="bottom"/>
            <w:gridSpan w:val="6"/>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Unaudited Supplementary Information</w:t>
            </w:r>
          </w:p>
        </w:tc>
        <w:tc>
          <w:tcPr>
            <w:tcW w:w="7080" w:type="dxa"/>
            <w:vAlign w:val="bottom"/>
            <w:gridSpan w:val="7"/>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F-41</w:t>
            </w:r>
          </w:p>
        </w:tc>
      </w:tr>
      <w:tr>
        <w:trPr>
          <w:trHeight w:val="20"/>
        </w:trPr>
        <w:tc>
          <w:tcPr>
            <w:tcW w:w="4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Matador Resources Company: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7"/>
          <w:szCs w:val="17"/>
          <w:color w:val="auto"/>
        </w:rPr>
        <w:t>We have audited the accompanying consolidated balance sheets of Matador Resources Company and subsidiaries (the Company) as of December 31, 2025 and 2024, the related consolidated statements of income, changes in shareholders’ equity, and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2026 expressed an unqualified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Impact of estimated proved oil and natural gas reserves related to evaluated oil and natural gas properties on depletion expense and the ceiling test calculation</w:t>
      </w:r>
    </w:p>
    <w:p>
      <w:pPr>
        <w:spacing w:after="0" w:line="174" w:lineRule="exact"/>
        <w:rPr>
          <w:sz w:val="20"/>
          <w:szCs w:val="20"/>
          <w:color w:val="auto"/>
        </w:rPr>
      </w:pPr>
    </w:p>
    <w:p>
      <w:pPr>
        <w:ind w:left="660"/>
        <w:spacing w:after="0" w:line="23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Any excess of the Company’s net capitalized costs above the cost center ceiling is charged to operations as a full-cost 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60" w:right="120"/>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2025, the Company recorded depletion expense of evaluated oil and natural gas properties of $1.1 billion. Additionally, as discussed in Note 3 to the consolidated financial statements, the Company’s consolidated balance sheet includes $14.3 billion of gross evaluated oil and natural gas properties as of December 31, 2025. The Company’s internal reservoir engineers prepare an estimate of the proved oil and natural gas reserves, and the Company engages external reservoir engineers to independently evaluate the proved oil and natural gas reserves estimated by the Company.</w:t>
      </w:r>
    </w:p>
    <w:p>
      <w:pPr>
        <w:spacing w:after="0" w:line="212" w:lineRule="exact"/>
        <w:rPr>
          <w:sz w:val="20"/>
          <w:szCs w:val="20"/>
          <w:color w:val="auto"/>
        </w:rPr>
      </w:pPr>
    </w:p>
    <w:p>
      <w:pPr>
        <w:ind w:left="660" w:right="20"/>
        <w:spacing w:after="0"/>
        <w:rPr>
          <w:sz w:val="20"/>
          <w:szCs w:val="20"/>
          <w:color w:val="auto"/>
        </w:rPr>
      </w:pPr>
      <w:r>
        <w:rPr>
          <w:rFonts w:ascii="Times New Roman" w:cs="Times New Roman" w:eastAsia="Times New Roman" w:hAnsi="Times New Roman"/>
          <w:sz w:val="18"/>
          <w:szCs w:val="18"/>
          <w:color w:val="auto"/>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future production volumes, development costs, operating costs, and forecasted oil and natural gas prices inclusive of price differentials.</w:t>
      </w:r>
    </w:p>
    <w:p>
      <w:pPr>
        <w:spacing w:after="0" w:line="212"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reservoir engineers as well as the external reservoir engineers and external engineering firm,</w:t>
      </w:r>
    </w:p>
    <w:p>
      <w:pPr>
        <w:spacing w:after="0" w:line="2" w:lineRule="exact"/>
        <w:rPr>
          <w:sz w:val="20"/>
          <w:szCs w:val="20"/>
          <w:color w:val="auto"/>
        </w:rPr>
      </w:pPr>
    </w:p>
    <w:p>
      <w:pPr>
        <w:ind w:left="660" w:right="40" w:hanging="4"/>
        <w:spacing w:after="0" w:line="234" w:lineRule="auto"/>
        <w:tabs>
          <w:tab w:leader="none" w:pos="9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 and ability of the Company’s internal and external reservoir engineers, and (3) the relationship of the external reservoir engineers and external engineering firm to the Company. We assessed the methodology used by the Company to estimate the reserves for consistency with industry and regulatory standards. We also compared the pricing assumptions, including price differentials, used in the reservoir engineers’ estimate of the proved reserves to publicly available oil and natural gas pricing data. We evaluated assumptions used in the reservoir engineers’ estimate regarding future operating and development costs based on historical actual results. In addition, we compared the Company’s historical production forecasts to actual production volumes to assess the Company’s ability to accurately forecast and compared the forecasted production assumption used by the Company in the current period to historical production. We read the findings of the Company’s external reservoir engineers in connection with our evaluation of the Company’s reserves estimates. We recalculated the depletion expense calculation and analyzed it for compliance with industry and regulatory standards. We also analyzed the ceiling test impairment calculation for compliance with industry and regulatory standards. In addition, we performed an independent calculation of the ceiling test impairment calculation and compared our results with the Company’s results.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64,163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71,709</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286,158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331,590</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140,043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260,555</w:t>
            </w:r>
          </w:p>
        </w:tc>
        <w:tc>
          <w:tcPr>
            <w:tcW w:w="0" w:type="dxa"/>
            <w:vAlign w:val="bottom"/>
          </w:tcPr>
          <w:p>
            <w:pPr>
              <w:spacing w:after="0"/>
              <w:rPr>
                <w:sz w:val="1"/>
                <w:szCs w:val="1"/>
                <w:color w:val="auto"/>
              </w:rPr>
            </w:pPr>
          </w:p>
        </w:tc>
      </w:tr>
      <w:tr>
        <w:trPr>
          <w:trHeight w:val="195"/>
        </w:trPr>
        <w:tc>
          <w:tcPr>
            <w:tcW w:w="90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103,628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62,584</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15,968</w:t>
            </w: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38,469</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129,368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123,437</w:t>
            </w:r>
          </w:p>
        </w:tc>
        <w:tc>
          <w:tcPr>
            <w:tcW w:w="0" w:type="dxa"/>
            <w:vAlign w:val="bottom"/>
          </w:tcPr>
          <w:p>
            <w:pPr>
              <w:spacing w:after="0"/>
              <w:rPr>
                <w:sz w:val="1"/>
                <w:szCs w:val="1"/>
                <w:color w:val="auto"/>
              </w:rPr>
            </w:pPr>
          </w:p>
        </w:tc>
      </w:tr>
      <w:tr>
        <w:trPr>
          <w:trHeight w:val="189"/>
        </w:trPr>
        <w:tc>
          <w:tcPr>
            <w:tcW w:w="90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816,568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927,345</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14,286,726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12,534,290</w:t>
            </w:r>
          </w:p>
        </w:tc>
        <w:tc>
          <w:tcPr>
            <w:tcW w:w="0" w:type="dxa"/>
            <w:vAlign w:val="bottom"/>
          </w:tcPr>
          <w:p>
            <w:pPr>
              <w:spacing w:after="0"/>
              <w:rPr>
                <w:sz w:val="1"/>
                <w:szCs w:val="1"/>
                <w:color w:val="auto"/>
              </w:rPr>
            </w:pPr>
          </w:p>
        </w:tc>
      </w:tr>
      <w:tr>
        <w:trPr>
          <w:trHeight w:val="195"/>
        </w:trPr>
        <w:tc>
          <w:tcPr>
            <w:tcW w:w="90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1,823,456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1,702,203</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1,963,059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1,683,334</w:t>
            </w: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53,199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47,532</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(7,395,142)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(6,203,263)</w:t>
            </w:r>
          </w:p>
        </w:tc>
        <w:tc>
          <w:tcPr>
            <w:tcW w:w="0" w:type="dxa"/>
            <w:vAlign w:val="bottom"/>
          </w:tcPr>
          <w:p>
            <w:pPr>
              <w:spacing w:after="0"/>
              <w:rPr>
                <w:sz w:val="1"/>
                <w:szCs w:val="1"/>
                <w:color w:val="auto"/>
              </w:rPr>
            </w:pPr>
          </w:p>
        </w:tc>
      </w:tr>
      <w:tr>
        <w:trPr>
          <w:trHeight w:val="189"/>
        </w:trPr>
        <w:tc>
          <w:tcPr>
            <w:tcW w:w="90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10,731,298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9,764,096</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162,703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158,668</w:t>
            </w:r>
          </w:p>
        </w:tc>
        <w:tc>
          <w:tcPr>
            <w:tcW w:w="0" w:type="dxa"/>
            <w:vAlign w:val="bottom"/>
          </w:tcPr>
          <w:p>
            <w:pPr>
              <w:spacing w:after="0"/>
              <w:rPr>
                <w:sz w:val="1"/>
                <w:szCs w:val="1"/>
                <w:color w:val="auto"/>
              </w:rPr>
            </w:pPr>
          </w:p>
        </w:tc>
      </w:tr>
      <w:tr>
        <w:trPr>
          <w:trHeight w:val="221"/>
        </w:trPr>
        <w:tc>
          <w:tcPr>
            <w:tcW w:w="90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11,710,569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10,850,109</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540,620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619,167</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351,062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227,865</w:t>
            </w: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64,169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83,338</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75,658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64,987</w:t>
            </w:r>
          </w:p>
        </w:tc>
        <w:tc>
          <w:tcPr>
            <w:tcW w:w="0" w:type="dxa"/>
            <w:vAlign w:val="bottom"/>
          </w:tcPr>
          <w:p>
            <w:pPr>
              <w:spacing w:after="0"/>
              <w:rPr>
                <w:sz w:val="1"/>
                <w:szCs w:val="1"/>
                <w:color w:val="auto"/>
              </w:rPr>
            </w:pPr>
          </w:p>
        </w:tc>
      </w:tr>
      <w:tr>
        <w:trPr>
          <w:trHeight w:val="189"/>
        </w:trPr>
        <w:tc>
          <w:tcPr>
            <w:tcW w:w="90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1,031,509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995,357</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398,000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595,500</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615,000</w:t>
            </w: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2,121,102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2,114,908</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114,237</w:t>
            </w: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1,015,931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847,666</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120,312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110,009</w:t>
            </w:r>
          </w:p>
        </w:tc>
        <w:tc>
          <w:tcPr>
            <w:tcW w:w="0" w:type="dxa"/>
            <w:vAlign w:val="bottom"/>
          </w:tcPr>
          <w:p>
            <w:pPr>
              <w:spacing w:after="0"/>
              <w:rPr>
                <w:sz w:val="1"/>
                <w:szCs w:val="1"/>
                <w:color w:val="auto"/>
              </w:rPr>
            </w:pPr>
          </w:p>
        </w:tc>
      </w:tr>
      <w:tr>
        <w:trPr>
          <w:trHeight w:val="189"/>
        </w:trPr>
        <w:tc>
          <w:tcPr>
            <w:tcW w:w="90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4,682,408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4,397,320</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6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Common stock — $0.01 par value, 160,000,000 shares authorized; 124,409,739 and 125,101,268 shares issued; and 124,262,322 and 125,048,396</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2,509,118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2,533,247</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3,153,112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2,556,987</w:t>
            </w:r>
          </w:p>
        </w:tc>
        <w:tc>
          <w:tcPr>
            <w:tcW w:w="0" w:type="dxa"/>
            <w:vAlign w:val="bottom"/>
          </w:tcPr>
          <w:p>
            <w:pPr>
              <w:spacing w:after="0"/>
              <w:rPr>
                <w:sz w:val="1"/>
                <w:szCs w:val="1"/>
                <w:color w:val="auto"/>
              </w:rPr>
            </w:pPr>
          </w:p>
        </w:tc>
      </w:tr>
      <w:tr>
        <w:trPr>
          <w:trHeight w:val="196"/>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Treasury stock, at cost, 147,417 and 52,872 shares, respectively</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5,658,141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5,089,149</w:t>
            </w:r>
          </w:p>
        </w:tc>
        <w:tc>
          <w:tcPr>
            <w:tcW w:w="0" w:type="dxa"/>
            <w:vAlign w:val="bottom"/>
          </w:tcPr>
          <w:p>
            <w:pPr>
              <w:spacing w:after="0"/>
              <w:rPr>
                <w:sz w:val="1"/>
                <w:szCs w:val="1"/>
                <w:color w:val="auto"/>
              </w:rPr>
            </w:pPr>
          </w:p>
        </w:tc>
      </w:tr>
      <w:tr>
        <w:trPr>
          <w:trHeight w:val="196"/>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338,511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368,283</w:t>
            </w: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5,996,652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5,457,432</w:t>
            </w:r>
          </w:p>
        </w:tc>
        <w:tc>
          <w:tcPr>
            <w:tcW w:w="0" w:type="dxa"/>
            <w:vAlign w:val="bottom"/>
          </w:tcPr>
          <w:p>
            <w:pPr>
              <w:spacing w:after="0"/>
              <w:rPr>
                <w:sz w:val="1"/>
                <w:szCs w:val="1"/>
                <w:color w:val="auto"/>
              </w:rPr>
            </w:pPr>
          </w:p>
        </w:tc>
      </w:tr>
      <w:tr>
        <w:trPr>
          <w:trHeight w:val="203"/>
        </w:trPr>
        <w:tc>
          <w:tcPr>
            <w:tcW w:w="90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11,710,569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10,850,109</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1"/>
        </w:trPr>
        <w:tc>
          <w:tcPr>
            <w:tcW w:w="77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8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3,238,750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2,545,599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2,806,785</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operating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232,521</w:t>
            </w: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Transportation and processing</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Midstream operating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124,021</w:t>
            </w: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natural gas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716,688</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1,597,463</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1,209,322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(112,937)</w:t>
            </w:r>
          </w:p>
        </w:tc>
        <w:tc>
          <w:tcPr>
            <w:tcW w:w="0" w:type="dxa"/>
            <w:vAlign w:val="bottom"/>
          </w:tcPr>
          <w:p>
            <w:pPr>
              <w:spacing w:after="0"/>
              <w:rPr>
                <w:sz w:val="1"/>
                <w:szCs w:val="1"/>
                <w:color w:val="auto"/>
              </w:rPr>
            </w:pPr>
          </w:p>
        </w:tc>
      </w:tr>
      <w:tr>
        <w:trPr>
          <w:trHeight w:val="223"/>
        </w:trPr>
        <w:tc>
          <w:tcPr>
            <w:tcW w:w="77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1,096,385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172,104</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910,359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(64,285)</w:t>
            </w:r>
          </w:p>
        </w:tc>
        <w:tc>
          <w:tcPr>
            <w:tcW w:w="0" w:type="dxa"/>
            <w:vAlign w:val="bottom"/>
          </w:tcPr>
          <w:p>
            <w:pPr>
              <w:spacing w:after="0"/>
              <w:rPr>
                <w:sz w:val="1"/>
                <w:szCs w:val="1"/>
                <w:color w:val="auto"/>
              </w:rPr>
            </w:pPr>
          </w:p>
        </w:tc>
      </w:tr>
      <w:tr>
        <w:trPr>
          <w:trHeight w:val="155"/>
        </w:trPr>
        <w:tc>
          <w:tcPr>
            <w:tcW w:w="7780" w:type="dxa"/>
            <w:vAlign w:val="bottom"/>
            <w:shd w:val="clear" w:color="auto" w:fill="CCEEFF"/>
          </w:tcPr>
          <w:p>
            <w:pPr>
              <w:ind w:left="1440"/>
              <w:spacing w:after="0" w:line="156" w:lineRule="exact"/>
              <w:rPr>
                <w:sz w:val="20"/>
                <w:szCs w:val="20"/>
                <w:color w:val="auto"/>
              </w:rPr>
            </w:pPr>
            <w:r>
              <w:rPr>
                <w:rFonts w:ascii="Times New Roman" w:cs="Times New Roman" w:eastAsia="Times New Roman" w:hAnsi="Times New Roman"/>
                <w:sz w:val="18"/>
                <w:szCs w:val="18"/>
                <w:color w:val="auto"/>
              </w:rPr>
              <w:t>Net income attributable to Matador Resources Company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759,221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885,322</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846,074</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119,139</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4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6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tbl>
      <w:tblPr>
        <w:tblLayout w:type="fixed"/>
        <w:tblInd w:w="0" w:type="dxa"/>
        <w:tblCellMar>
          <w:top w:w="0" w:type="dxa"/>
          <w:left w:w="0" w:type="dxa"/>
          <w:bottom w:w="0" w:type="dxa"/>
          <w:right w:w="0" w:type="dxa"/>
        </w:tblCellMar>
      </w:tblPr>
      <w:tr>
        <w:trPr>
          <w:trHeight w:val="131"/>
        </w:trPr>
        <w:tc>
          <w:tcPr>
            <w:tcW w:w="4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3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Resources</w:t>
            </w:r>
          </w:p>
        </w:tc>
        <w:tc>
          <w:tcPr>
            <w:tcW w:w="100" w:type="dxa"/>
            <w:vAlign w:val="bottom"/>
          </w:tcPr>
          <w:p>
            <w:pPr>
              <w:spacing w:after="0"/>
              <w:rPr>
                <w:sz w:val="5"/>
                <w:szCs w:val="5"/>
                <w:color w:val="auto"/>
              </w:rPr>
            </w:pPr>
          </w:p>
        </w:tc>
        <w:tc>
          <w:tcPr>
            <w:tcW w:w="780" w:type="dxa"/>
            <w:vAlign w:val="bottom"/>
            <w:gridSpan w:val="2"/>
            <w:vMerge w:val="restart"/>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interest in</w:t>
            </w:r>
          </w:p>
        </w:tc>
        <w:tc>
          <w:tcPr>
            <w:tcW w:w="880" w:type="dxa"/>
            <w:vAlign w:val="bottom"/>
            <w:gridSpan w:val="2"/>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6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118,953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2,101,999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1,007,642</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206,294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3,317,091</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($0.65 per share)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(77,175)</w:t>
            </w: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(77,175)</w:t>
            </w: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stock pursuant to incentive and purchase plans, net of</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$8.0</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30,178</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11)</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(78,253)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(78,253)</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910,359</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119,478</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$ 2,133,172</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1,776,541</w:t>
            </w:r>
          </w:p>
        </w:tc>
        <w:tc>
          <w:tcPr>
            <w:tcW w:w="8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3,910,862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216,826</w:t>
            </w:r>
          </w:p>
        </w:tc>
        <w:tc>
          <w:tcPr>
            <w:tcW w:w="8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4,127,688</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($0.85 per share)</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(104,876)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(104,876)</w:t>
            </w:r>
          </w:p>
        </w:tc>
        <w:tc>
          <w:tcPr>
            <w:tcW w:w="0" w:type="dxa"/>
            <w:vAlign w:val="bottom"/>
          </w:tcPr>
          <w:p>
            <w:pPr>
              <w:spacing w:after="0"/>
              <w:rPr>
                <w:sz w:val="1"/>
                <w:szCs w:val="1"/>
                <w:color w:val="auto"/>
              </w:rPr>
            </w:pPr>
          </w:p>
        </w:tc>
      </w:tr>
      <w:tr>
        <w:trPr>
          <w:trHeight w:val="135"/>
        </w:trPr>
        <w:tc>
          <w:tcPr>
            <w:tcW w:w="4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stock pursuant to incentive and purchase plans, net of</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(14,520)</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public offering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344,663</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to issue equity</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23,749</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of Pronto to San Mateo (See Note 11)</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171,500</w:t>
            </w: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Contributions related to formation of San Mateo, net of tax of $5.0</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18,802</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11)</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19,110</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(97,461)</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885,322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885,322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971,343</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125,101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$ 2,533,247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2,556,987</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5,089,149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368,283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5,457,432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300" w:type="dxa"/>
            <w:vAlign w:val="bottom"/>
            <w:gridSpan w:val="5"/>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Matador</w:t>
            </w:r>
          </w:p>
        </w:tc>
        <w:tc>
          <w:tcPr>
            <w:tcW w:w="88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72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00" w:type="dxa"/>
            <w:vAlign w:val="bottom"/>
          </w:tcPr>
          <w:p>
            <w:pPr>
              <w:spacing w:after="0"/>
              <w:rPr>
                <w:sz w:val="5"/>
                <w:szCs w:val="5"/>
                <w:color w:val="auto"/>
              </w:rPr>
            </w:pPr>
          </w:p>
        </w:tc>
        <w:tc>
          <w:tcPr>
            <w:tcW w:w="78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4160" w:type="dxa"/>
            <w:vAlign w:val="bottom"/>
          </w:tcPr>
          <w:p>
            <w:pPr>
              <w:spacing w:after="0"/>
              <w:rPr>
                <w:sz w:val="4"/>
                <w:szCs w:val="4"/>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$ 2,533,247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2,556,987</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5,089,149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368,283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5,457,432</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($1.3125 per share)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(163,096)</w:t>
            </w: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(163,096)</w:t>
            </w:r>
          </w:p>
        </w:tc>
        <w:tc>
          <w:tcPr>
            <w:tcW w:w="0" w:type="dxa"/>
            <w:vAlign w:val="bottom"/>
          </w:tcPr>
          <w:p>
            <w:pPr>
              <w:spacing w:after="0"/>
              <w:rPr>
                <w:sz w:val="1"/>
                <w:szCs w:val="1"/>
                <w:color w:val="auto"/>
              </w:rPr>
            </w:pPr>
          </w:p>
        </w:tc>
      </w:tr>
      <w:tr>
        <w:trPr>
          <w:trHeight w:val="146"/>
        </w:trPr>
        <w:tc>
          <w:tcPr>
            <w:tcW w:w="41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stock pursuant to incentive and purchase plans, net of</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28,332</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Contributions related to formation of San Mateo, net of tax of $2.7</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11)</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(131,320)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(131,320)</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(56,408)</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759,221</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860,769</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124,410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$ 2,509,118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3,153,112</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(5,333)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5,658,141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338,511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5,996,652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jc w:val="center"/>
              <w:ind w:left="3287"/>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711"/>
        </w:trPr>
        <w:tc>
          <w:tcPr>
            <w:tcW w:w="7900" w:type="dxa"/>
            <w:vAlign w:val="bottom"/>
          </w:tcPr>
          <w:p>
            <w:pPr>
              <w:jc w:val="center"/>
              <w:ind w:left="3267"/>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8"/>
        </w:trPr>
        <w:tc>
          <w:tcPr>
            <w:tcW w:w="7900" w:type="dxa"/>
            <w:vAlign w:val="bottom"/>
          </w:tcPr>
          <w:p>
            <w:pPr>
              <w:jc w:val="center"/>
              <w:ind w:left="3267"/>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1"/>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608"/>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860,769</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971,343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910,359</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7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974,300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716,688</w:t>
            </w:r>
          </w:p>
        </w:tc>
      </w:tr>
      <w:tr>
        <w:trPr>
          <w:trHeight w:val="210"/>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265,305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172,104</w:t>
            </w:r>
          </w:p>
        </w:tc>
      </w:tr>
      <w:tr>
        <w:trPr>
          <w:trHeight w:val="195"/>
        </w:trPr>
        <w:tc>
          <w:tcPr>
            <w:tcW w:w="7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13,661</w:t>
            </w:r>
          </w:p>
        </w:tc>
      </w:tr>
      <w:tr>
        <w:trPr>
          <w:trHeight w:val="210"/>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Unrealized (gain) loss on derivatives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r>
      <w:tr>
        <w:trPr>
          <w:trHeight w:val="195"/>
        </w:trPr>
        <w:tc>
          <w:tcPr>
            <w:tcW w:w="7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 and other debt related costs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7,047</w:t>
            </w:r>
          </w:p>
        </w:tc>
      </w:tr>
      <w:tr>
        <w:trPr>
          <w:trHeight w:val="210"/>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r>
      <w:tr>
        <w:trPr>
          <w:trHeight w:val="195"/>
        </w:trPr>
        <w:tc>
          <w:tcPr>
            <w:tcW w:w="7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non-cash changes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w:t>
            </w:r>
          </w:p>
        </w:tc>
      </w:tr>
      <w:tr>
        <w:trPr>
          <w:trHeight w:val="210"/>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7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Accounts receivable, prepaid expenses and other current assets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48,136</w:t>
            </w:r>
          </w:p>
        </w:tc>
      </w:tr>
      <w:tr>
        <w:trPr>
          <w:trHeight w:val="210"/>
        </w:trPr>
        <w:tc>
          <w:tcPr>
            <w:tcW w:w="79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195"/>
        </w:trPr>
        <w:tc>
          <w:tcPr>
            <w:tcW w:w="7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10"/>
        </w:trPr>
        <w:tc>
          <w:tcPr>
            <w:tcW w:w="79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w:t>
            </w:r>
          </w:p>
        </w:tc>
      </w:tr>
      <w:tr>
        <w:trPr>
          <w:trHeight w:val="195"/>
        </w:trPr>
        <w:tc>
          <w:tcPr>
            <w:tcW w:w="7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56,193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34,273</w:t>
            </w:r>
          </w:p>
        </w:tc>
      </w:tr>
      <w:tr>
        <w:trPr>
          <w:trHeight w:val="210"/>
        </w:trPr>
        <w:tc>
          <w:tcPr>
            <w:tcW w:w="79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(32,402)</w:t>
            </w:r>
          </w:p>
        </w:tc>
      </w:tr>
      <w:tr>
        <w:trPr>
          <w:trHeight w:val="196"/>
        </w:trPr>
        <w:tc>
          <w:tcPr>
            <w:tcW w:w="79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203"/>
        </w:trPr>
        <w:tc>
          <w:tcPr>
            <w:tcW w:w="7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2,425,015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2,246,885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1,867,828</w:t>
            </w:r>
          </w:p>
        </w:tc>
      </w:tr>
      <w:tr>
        <w:trPr>
          <w:trHeight w:val="19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(1,542,253)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(1,192,800)</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(187,655)</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(165,719)</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 and 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14,750</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 of equity method investment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113,576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Ameredev</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of Advance</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(1,676,132)</w:t>
            </w:r>
          </w:p>
        </w:tc>
      </w:tr>
      <w:tr>
        <w:trPr>
          <w:trHeight w:val="202"/>
        </w:trPr>
        <w:tc>
          <w:tcPr>
            <w:tcW w:w="790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(2,157,682)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(3,672,114)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(3,211,192)</w:t>
            </w:r>
          </w:p>
        </w:tc>
      </w:tr>
      <w:tr>
        <w:trPr>
          <w:trHeight w:val="19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(3,032,000)</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3,532,000</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(171,000)</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826,000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228,000</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to enter into or amend credit facilities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(9,296)</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(77,175)</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38,200</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(78,253)</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(22,910)</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494,800</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 of senior unsecured notes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(699,191)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Issuance costs of senior unsecured notes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(8,503)</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344,663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 related to Pronto Transaction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Contributions from non-controlling interest owners of less-than-wholly-owned subsidiaries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w:t>
            </w:r>
          </w:p>
        </w:tc>
      </w:tr>
      <w:tr>
        <w:trPr>
          <w:trHeight w:val="21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(16,031)</w:t>
            </w:r>
          </w:p>
        </w:tc>
      </w:tr>
      <w:tr>
        <w:trPr>
          <w:trHeight w:val="189"/>
        </w:trPr>
        <w:tc>
          <w:tcPr>
            <w:tcW w:w="79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(282,598)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1,413,673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902,332</w:t>
            </w:r>
          </w:p>
        </w:tc>
      </w:tr>
      <w:tr>
        <w:trPr>
          <w:trHeight w:val="20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cash and restricted cash</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(441,032)</w:t>
            </w:r>
          </w:p>
        </w:tc>
      </w:tr>
      <w:tr>
        <w:trPr>
          <w:trHeight w:val="19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94,742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106,298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547,330</w:t>
            </w: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79,477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94,742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106,298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(Note 15)</w:t>
      </w:r>
    </w:p>
    <w:p>
      <w:pPr>
        <w:spacing w:after="0" w:line="1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6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San Mateo provides natural gas processing, oil transportation services, oil, natural gas and produced water gathering services and produced water disposal services to third parties.</w:t>
      </w:r>
    </w:p>
    <w:p>
      <w:pPr>
        <w:spacing w:after="0" w:line="80" w:lineRule="exact"/>
        <w:rPr>
          <w:sz w:val="20"/>
          <w:szCs w:val="20"/>
          <w:color w:val="auto"/>
        </w:rPr>
      </w:pPr>
    </w:p>
    <w:p>
      <w:pPr>
        <w:ind w:right="55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i w:val="1"/>
          <w:iCs w:val="1"/>
          <w:u w:val="single" w:color="auto"/>
          <w:color w:val="auto"/>
        </w:rPr>
        <w:t>Basis of Presentation</w:t>
      </w:r>
    </w:p>
    <w:p>
      <w:pPr>
        <w:spacing w:after="0" w:line="1"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proportionately consolidates certain joint ventures that are less-than-wholly-owned and are involved in oil and natural gas exploration. All intercompany accounts and transactions have been eliminated in consolidation.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11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Certain reclassifications to captions within the consolidated balance sheets, statements of income and statements of changes in shareholders’ equity have been made to the prior years’ financial statements to conform to the current year presentation. These reclassifications had no effect on previously reported results of operations, cash flows or retained earnings.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65"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1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sells its operated oil, natural gas and natural gas liquids (“NGL”) production to various purchasers (see “—Revenues” below). In addition, the Company may participate with industry partners in the drilling, completion and operation of oil and natural gas wells. Substantially all of the Company’s accounts receivable are due from purchasers of oil, natural gas and NGLs, participants in oil and natural gas wells for which the Company serves as the operator, customers of San Mateo or the Company’s derivative counterparties. Accounts receivable are typically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spacing w:after="0" w:line="7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2025, 2024 and 2023, three significant purchasers accounted for 72%, 79% and 76%, respectively, of the Company’s total oil, natural gas and NGL revenues: Plains Marketing, L.P. (49%, 53% and 42%, respectively), Exxon Mobil Corporation (13%, 15% and 24%, respectively) and Enterprise Products Partners L.P. (10%, 11% and 10%, respectively). If any one of Matador’s major customers were to stop purchasing its production, the Company believes there are a number of other purchasers to whom the Company could sell Matador’s production. If multiple significant customers were to discontinue purchasing Matador’s production abruptly, the Company believes it would have the resources needed to access alternative customers or markets and avoid or materially mitigate associated sales disruptions. At December 31, 2025, 2024 and 2023, approximately 32%, 32% and 38%, respectively, of the Company’s accounts receivable, including joint interest billings, related to the top three purchasers.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 and Well Equipment Inventory</w:t>
      </w:r>
    </w:p>
    <w:p>
      <w:pPr>
        <w:spacing w:after="0" w:line="11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Lease and well equipment inventory is stated at the lower of cost or net realizable value and consists entirely of materials or equipment scheduled for use in future well or midstream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Oil and Natural Gas Properties</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$71.7 million, $66.6 million and $54.2 million of its general and administrative costs into oil and natural gas properties in 2025, 2024 and 2023, respectively. The Company capitalized $21.2 million, $17.5 million and $20.2 million of its interest expense into oil and natural gas properties for the years ended December 31, 2025, 2024 and 2023, respectively.</w:t>
      </w:r>
    </w:p>
    <w:p>
      <w:pPr>
        <w:spacing w:after="0" w:line="80" w:lineRule="exact"/>
        <w:rPr>
          <w:sz w:val="20"/>
          <w:szCs w:val="20"/>
          <w:color w:val="auto"/>
        </w:rPr>
      </w:pPr>
    </w:p>
    <w:p>
      <w:pPr>
        <w:ind w:right="80" w:firstLine="445"/>
        <w:spacing w:after="0" w:line="273" w:lineRule="auto"/>
        <w:rPr>
          <w:sz w:val="20"/>
          <w:szCs w:val="20"/>
          <w:color w:val="auto"/>
        </w:rPr>
      </w:pPr>
      <w:r>
        <w:rPr>
          <w:rFonts w:ascii="Times New Roman" w:cs="Times New Roman" w:eastAsia="Times New Roman" w:hAnsi="Times New Roman"/>
          <w:sz w:val="17"/>
          <w:szCs w:val="17"/>
          <w:color w:val="auto"/>
        </w:rPr>
        <w:t>Capitalized costs of oil and natural gas properties are depleted using the unit-of-production method based upon production and estimates of proved reserves quantities. For the years ended December 31, 2025, 2024 and 2023, the Company recorded depletion expense of $1.13 billion, $925.6 million and $672.0 million, respectively. Unproved and unevaluated property costs are excluded from the depletable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depletable base. Exploratory dry holes are included in the depletable base immediately upon determination that the well is not productive.</w:t>
      </w:r>
    </w:p>
    <w:p>
      <w:pPr>
        <w:spacing w:after="0" w:line="63" w:lineRule="exact"/>
        <w:rPr>
          <w:sz w:val="20"/>
          <w:szCs w:val="20"/>
          <w:color w:val="auto"/>
        </w:rPr>
      </w:pPr>
    </w:p>
    <w:p>
      <w:pPr>
        <w:ind w:right="340" w:firstLine="445"/>
        <w:spacing w:after="0" w:line="289" w:lineRule="auto"/>
        <w:rPr>
          <w:sz w:val="20"/>
          <w:szCs w:val="20"/>
          <w:color w:val="auto"/>
        </w:rPr>
      </w:pPr>
      <w:r>
        <w:rPr>
          <w:rFonts w:ascii="Times New Roman" w:cs="Times New Roman" w:eastAsia="Times New Roman" w:hAnsi="Times New Roman"/>
          <w:sz w:val="17"/>
          <w:szCs w:val="17"/>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Ceiling Test</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54" w:lineRule="exact"/>
        <w:rPr>
          <w:sz w:val="20"/>
          <w:szCs w:val="20"/>
          <w:color w:val="auto"/>
        </w:rPr>
      </w:pPr>
    </w:p>
    <w:p>
      <w:pPr>
        <w:ind w:right="160" w:firstLine="453"/>
        <w:spacing w:after="0" w:line="282" w:lineRule="auto"/>
        <w:tabs>
          <w:tab w:leader="none" w:pos="6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10%, of future net revenues of proved oil and natural gas reserves, reduced by the estimated costs of developing these reserves, plus</w:t>
      </w:r>
    </w:p>
    <w:p>
      <w:pPr>
        <w:spacing w:after="0" w:line="53"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unproved and unevaluated property costs not being amortized, plus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estimated fair value of unproved and unevaluated properties included in the costs being amortized, if any, less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tax effects related to the properties involved.</w:t>
      </w:r>
    </w:p>
    <w:p>
      <w:pPr>
        <w:spacing w:after="0" w:line="117"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2025, these average oil and natural gas prices were $61.82 per Bbl and $3.39 per MMBtu, respectively. For the period from January through December 2024, these average oil and natural gas prices were $71.96 per Bbl and $2.13 per MMBtu, respectively. For the period from January through December 2023, these average oil and natural gas prices were $74.70 per Bbl and $2.64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spacing w:after="0" w:line="8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Company’s full-cost ceiling exceeded the net capitalized costs less related deferred income taxes. As a result, the Company recorded no impairment to its net capitalized costs during the years ended December 31, 2025, 2024 and 2023. Changes in oil and natural gas production rates, oil and natural gas prices, reserves estimates, future development costs and other factors will determine the Company’s actual ceiling test computation and impairment analyses in future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Properties and Other Property and Equipment</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Midstream properties and other property and equipment are recorded at historical cost or acquisition date fair value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$3.5 million, $3.4 million and $2.9 million of general and administrative costs into midstream properties in 2025, 2024 and 2023, respectively. The Company capitalized $7.6 million, $12.2 million and $2.1 million of interest expense into midstream properties for the years ended December 31, 2025, 2024 and 2023, respectively. Maintenance and repair costs that do not extend the useful life of the property or equipment are expensed as incurred. See Note 3 for a detail of midstream properties and other property and equipment.</w:t>
      </w:r>
    </w:p>
    <w:p>
      <w:pPr>
        <w:spacing w:after="0" w:line="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Gains and losses associated with the disposition of midstream properties and other property and equipment are recognized as a component of other income (expense) in the consolidated statements of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Retirement Obligations</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Financial Instruments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income.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income. See Note 12 for additional information about the Company’s derivative instruments.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spacing w:after="0" w:line="79" w:lineRule="exact"/>
        <w:rPr>
          <w:sz w:val="20"/>
          <w:szCs w:val="20"/>
          <w:color w:val="auto"/>
        </w:rPr>
      </w:pPr>
    </w:p>
    <w:p>
      <w:pPr>
        <w:ind w:right="20" w:firstLine="405"/>
        <w:spacing w:after="0" w:line="274" w:lineRule="auto"/>
        <w:rPr>
          <w:sz w:val="20"/>
          <w:szCs w:val="20"/>
          <w:color w:val="auto"/>
        </w:rPr>
      </w:pPr>
      <w:r>
        <w:rPr>
          <w:rFonts w:ascii="Times New Roman" w:cs="Times New Roman" w:eastAsia="Times New Roman" w:hAnsi="Times New Roman"/>
          <w:sz w:val="17"/>
          <w:szCs w:val="17"/>
          <w:color w:val="auto"/>
        </w:rPr>
        <w:t>The majority of the Company’s oil marketing contracts transfer physical custody and title at or near the wellhead or a central delivery point,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income, as they represent part of the transaction price of the contract. If the differentials, or other related costs, are incurred prior to the transfer of control of the oil, those costs are included in transportation and processing expenses on the Company’s consolidated statements of income, as they represent payment for services performed outside of the contract with the customer.</w:t>
      </w:r>
    </w:p>
    <w:p>
      <w:pPr>
        <w:spacing w:after="0" w:line="6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natural gas are then sold by the purchaser, or if the Company elects to take in-kind the natural gas or the NGLs, the Company sells the natural gas or the NGLs to a third party. Under the fee-based contracts, the Company receives NGL and residue natural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transportation and processing expenses on the Company’s consolidated statements of income.</w:t>
      </w:r>
    </w:p>
    <w:p>
      <w:pPr>
        <w:spacing w:after="0" w:line="84"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ASC Topic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that allows recognition of revenue in the amount for which there is a right to invoice the customer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estimating a transaction price for each contract and allocating that transaction price to the performance obligations within each contract.</w:t>
      </w:r>
    </w:p>
    <w:p>
      <w:pPr>
        <w:spacing w:after="0" w:line="7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periodically enters into natural gas purchase transactions with third parties whereby the Company (i) purchases the third party’s natural gas and subsequently sells the natural gas to other purchasers or (ii) processes the third party’s natural gas at San Mateo’s Marlan cryogenic natural gas processing plant in Eddy County, New Mexico (the “Marlan Processing Plant”) or Black River cryogenic natural gas processing plant in Eddy County, New Mexico (the “Black River Processing Plant”) and then purchases, and subsequently sells, the residue natural gas and NGLs to other purchasers. Revenues and expenses from these transactions are presented on a gross basis on the Company’s consolidated statements of income as the Company acts as a principal in the transactions by assuming the risk and rewards of ownership, including credit risk, of the natural gas purchased and by assuming the responsibility to deliver and process the natural gas volumes to be sold.</w:t>
      </w:r>
    </w:p>
    <w:p>
      <w:pPr>
        <w:spacing w:after="0" w:line="8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years ended December 31, 2025, 2024 and 2023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3,656,514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3,478,958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2,817,621</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3,696,277</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3,504,981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2,806,785</w:t>
            </w:r>
          </w:p>
        </w:tc>
      </w:tr>
      <w:tr>
        <w:trPr>
          <w:trHeight w:val="21"/>
        </w:trPr>
        <w:tc>
          <w:tcPr>
            <w:tcW w:w="5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2,840,167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2,772,360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2,144,894</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400,705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149,869</w:t>
            </w:r>
          </w:p>
        </w:tc>
      </w:tr>
      <w:tr>
        <w:trPr>
          <w:trHeight w:val="248"/>
        </w:trPr>
        <w:tc>
          <w:tcPr>
            <w:tcW w:w="50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3,656,514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3,478,958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2,817,621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(the “Board”) and certain employees, contractors and advisors. All equity-based awards are measured at fair value on the date of grant and are recognized on a straight-line basis over the awards’ vesting periods as either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 Awards that are expected to be settled in cash are liability-based awards, which are measured at fair value at each reporting date and are recognized over the awards’ vesting periods either as a component of general and administrative expenses in the consolidated statements of income or capitalized in accordance with the Company’s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on capitalizing general and administrative expenses for employees involved in acquisition, exploration, development and midstream activities.</w:t>
      </w:r>
    </w:p>
    <w:p>
      <w:pPr>
        <w:spacing w:after="0" w:line="11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uses the Monte Carlo simulation method to measure the fair value of performance units. The closing price of Matador’s common stock on the trading day prior to the grant date is used to measure the fair value of restricted stock and restricted stock unit awards granted under the 2019 Long-Term Incentive Plan (the “2019 Incentive Plan”).</w:t>
      </w:r>
    </w:p>
    <w:p>
      <w:pPr>
        <w:spacing w:after="0" w:line="68"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Company’s consolidated statements of income for the years ended December 31, 2025, 2024 and 2023 include equity-based compensation (non-cash) expense of $18.3 million, $15.0 million and $13.7 million, respectively. This equity-based compensation expense includes common stock awards granted to employees and restricted stock units paid to independent members of the Board and advisors as compensation for their services to the Company totaling $1.7 million, $1.3 million and $1.2 million for the years ended December 31, 2025, 2024 and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11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for which it is more likely than not that the benefit from the deferred tax asset will not be realized.</w:t>
      </w:r>
    </w:p>
    <w:p>
      <w:pPr>
        <w:spacing w:after="0" w:line="6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recognizes tax benefits from an uncertain tax position on the basis of a two-step process in which (i) the Company determines whether it is more likely than not that the tax position will be sustained upon examination by the taxing authorities based upon the technical merits of the position and (ii) for those tax positions that meet the more-likely-than-not recognition threshold, the Company recognizes the largest amount of tax benefit that is more than 50% likely to be realized upon ultimate settlement with the related tax authority.</w:t>
      </w:r>
    </w:p>
    <w:p>
      <w:pPr>
        <w:spacing w:after="0" w:line="7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When necessary, the Company would include interest assessed by taxing authorities in “Interest expense” and penalties related to income taxes in “Other expense” on its consolidated statements of income. The Company did not record any interest or penalties related to income taxes for the years ended December 31, 2025, 2024 and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Allocation of Purchase Price in Business Combinations</w:t>
      </w:r>
    </w:p>
    <w:p>
      <w:pPr>
        <w:spacing w:after="0" w:line="119" w:lineRule="exact"/>
        <w:rPr>
          <w:sz w:val="20"/>
          <w:szCs w:val="20"/>
          <w:color w:val="auto"/>
        </w:rPr>
      </w:pPr>
    </w:p>
    <w:p>
      <w:pPr>
        <w:ind w:right="360" w:firstLine="445"/>
        <w:spacing w:after="0" w:line="256" w:lineRule="auto"/>
        <w:rPr>
          <w:sz w:val="20"/>
          <w:szCs w:val="20"/>
          <w:color w:val="auto"/>
        </w:rPr>
      </w:pPr>
      <w:r>
        <w:rPr>
          <w:rFonts w:ascii="Times New Roman" w:cs="Times New Roman" w:eastAsia="Times New Roman" w:hAnsi="Times New Roman"/>
          <w:sz w:val="18"/>
          <w:szCs w:val="18"/>
          <w:color w:val="auto"/>
        </w:rPr>
        <w:t>As part of the Company’s business strategy, it periodically pursues the acquisition of midstream assets and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1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are reconciliations of the numerators and denominators used to compute the Company’s basic and diluted earnings per common share as reported for the years ended December 31, 2025, 2024 and 2023 (in thousands, except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Matador Resources Company shareholders — numerator</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759,221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885,322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846,074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119,139</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Matador Resources Company shareholders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119"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the Company’s commodity derivative contracts at December 31, 2025 were all with lenders under the Company’s reserves-based revolving credit agreement (the “Credit Agreement”).</w:t>
      </w:r>
    </w:p>
    <w:p>
      <w:pPr>
        <w:spacing w:after="0" w:line="7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117"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Financial Accounting Standards Board (“FASB”) issued ASU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 which is intended to enhance the transparency and decision usefulness of income tax disclosures.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standard provide for enhanced income tax information primarily through changes to the rate reconciliation and income taxes paid. This ASU is effective for the Company prospectively to all annual periods beginning after December 15, 2024, with retrospective application permitted. The Company retrospectively adopted this standard in the current period and the changes are reflected in Note 8 of the consolidated financial statements in this Annual Report. While the adoption of this ASU modified the Company’s disclosures, it did not have an impact on the Company’s consolidated balance sheets, consolidated statements of income or consolidated statements of cash flows.</w:t>
      </w:r>
    </w:p>
    <w:p>
      <w:pPr>
        <w:spacing w:after="0" w:line="75"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The amendments in this update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in the Company’s annual and interim consolidated financial statements of specified information about certain costs and expenses, including depreciation, depletion and amortization recognized as part of oil and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consolidated balance sheets, consolidated statements of income or consolidated statements of cash flows.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60" w:right="254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a summary of the Company’s property and equipment balances as of December 31, 2025 and 2024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Evaluated (subject to depletion)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14,286,726</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12,534,290</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Unproved and unevaluated (not subject to depletion)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1,823,456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1,702,203</w:t>
            </w:r>
          </w:p>
        </w:tc>
      </w:tr>
      <w:tr>
        <w:trPr>
          <w:trHeight w:val="223"/>
        </w:trPr>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16,110,182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14,236,493</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depletion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(7,093,268)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(5,959,845)</w:t>
            </w:r>
          </w:p>
        </w:tc>
      </w:tr>
      <w:tr>
        <w:trPr>
          <w:trHeight w:val="223"/>
        </w:trPr>
        <w:tc>
          <w:tcPr>
            <w:tcW w:w="7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oil and natural gas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9,016,914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8,276,648</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properties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 equipment and facilities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1,683,334</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(211,048)</w:t>
            </w:r>
          </w:p>
        </w:tc>
      </w:tr>
      <w:tr>
        <w:trPr>
          <w:trHeight w:val="223"/>
        </w:trPr>
        <w:tc>
          <w:tcPr>
            <w:tcW w:w="7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midstream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1,472,286</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19,242</w:t>
            </w:r>
          </w:p>
        </w:tc>
      </w:tr>
      <w:tr>
        <w:trPr>
          <w:trHeight w:val="223"/>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property and equipment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47,532</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(32,370)</w:t>
            </w:r>
          </w:p>
        </w:tc>
      </w:tr>
      <w:tr>
        <w:trPr>
          <w:trHeight w:val="223"/>
        </w:trPr>
        <w:tc>
          <w:tcPr>
            <w:tcW w:w="7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other property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w:t>
            </w:r>
          </w:p>
        </w:tc>
      </w:tr>
      <w:tr>
        <w:trPr>
          <w:trHeight w:val="223"/>
        </w:trPr>
        <w:tc>
          <w:tcPr>
            <w:tcW w:w="7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10,731,298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9,764,096</w:t>
            </w:r>
          </w:p>
        </w:tc>
      </w:tr>
      <w:tr>
        <w:trPr>
          <w:trHeight w:val="21"/>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the Company’s unproved and unevaluated property costs not subject to depletion as of December 31, 2025 and the year in which these costs were incurred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2021 and prior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for</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acquisition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1,678,012</w:t>
            </w:r>
          </w:p>
        </w:tc>
      </w:tr>
      <w:tr>
        <w:trPr>
          <w:trHeight w:val="229"/>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Exploration wells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w:t>
            </w:r>
          </w:p>
        </w:tc>
      </w:tr>
      <w:tr>
        <w:trPr>
          <w:trHeight w:val="230"/>
        </w:trPr>
        <w:tc>
          <w:tcPr>
            <w:tcW w:w="29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Development wells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128,550</w:t>
            </w:r>
          </w:p>
        </w:tc>
      </w:tr>
      <w:tr>
        <w:trPr>
          <w:trHeight w:val="248"/>
        </w:trPr>
        <w:tc>
          <w:tcPr>
            <w:tcW w:w="29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1,823,456</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Property acquisition costs are costs incurred to purchase, lease or otherwise acquire oil and natural gas properties, but may also include broker and legal expenses, geological and geophysical expenses and capitalized internal costs associated with developing oil and natural gas prospects on these properties. Property acquisition costs are transferred into the depletable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7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Property acquisition costs incurred that remain in unproved and unevaluated property at December 31, 2025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depletable base.</w:t>
      </w:r>
    </w:p>
    <w:p>
      <w:pPr>
        <w:spacing w:after="0" w:line="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Costs excluded from depletion also include those costs associated with exploration and development wells in progress or awaiting completion at year-end. These costs are transferred into the depletable base on an ongoing basis as these wells are completed and proved reserves are established or confirmed. These costs totaled $145.4 million at December 31, 2025, of which $16.9 million was associated with exploration wells and $128.6 million was associated with development wells. The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 Continued</w:t>
      </w:r>
    </w:p>
    <w:p>
      <w:pPr>
        <w:spacing w:after="0" w:line="200" w:lineRule="exact"/>
        <w:rPr>
          <w:sz w:val="20"/>
          <w:szCs w:val="20"/>
          <w:color w:val="auto"/>
        </w:rPr>
      </w:pPr>
    </w:p>
    <w:p>
      <w:pPr>
        <w:spacing w:after="0" w:line="24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Company anticipates that most of the costs associated with these wells in progress at December 31, 2025 will be transferred to the depletable base during 2026. Unproved and unevaluated property costs for exploration and development wells incurred in years prior to 2025 are costs related to the advanced preparation for wells that the Company intends to drill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2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If an arrangement is a lease, the present value of the related lease payments is recorded as a liability, and an equal amount is capitalized on the Company’s consolidated balance sheets.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rates used for the year ended December 31, 2025 were 5.40% and 6.15% for operating leases and finance leases, respectively. For these purposes, the lease term includes options to extend the lease when it is reasonably certain that the Company will exercise such option. Leases with terms of 12 months or less at inception are not recorded on the consolidated balance sheets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pacing w:after="0" w:line="8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consolidated statements of income information related to lease expenses, on a gross basis, for the years ended December 31, 2025 and 2024, respectively (in thousands). Lease payments represent gross payments to vendors, which, for certain of the Company’s operating assets, are partially offset by amounts received from other working interest owners in the Company’s operated wells.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operating</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100" w:type="dxa"/>
            <w:vAlign w:val="bottom"/>
          </w:tcPr>
          <w:p>
            <w:pPr>
              <w:spacing w:after="0"/>
              <w:rPr>
                <w:sz w:val="19"/>
                <w:szCs w:val="19"/>
                <w:color w:val="auto"/>
              </w:rPr>
            </w:pP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30,141</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23"/>
        </w:trPr>
        <w:tc>
          <w:tcPr>
            <w:tcW w:w="7100" w:type="dxa"/>
            <w:vAlign w:val="bottom"/>
          </w:tcPr>
          <w:p>
            <w:pPr>
              <w:ind w:left="480"/>
              <w:spacing w:after="0" w:line="223" w:lineRule="exact"/>
              <w:rPr>
                <w:sz w:val="20"/>
                <w:szCs w:val="20"/>
                <w:color w:val="auto"/>
              </w:rPr>
            </w:pPr>
            <w:r>
              <w:rPr>
                <w:rFonts w:ascii="Times New Roman" w:cs="Times New Roman" w:eastAsia="Times New Roman" w:hAnsi="Times New Roman"/>
                <w:sz w:val="18"/>
                <w:szCs w:val="18"/>
                <w:color w:val="auto"/>
              </w:rPr>
              <w:t>Total operating leases</w:t>
            </w:r>
            <w:r>
              <w:rPr>
                <w:rFonts w:ascii="Times New Roman" w:cs="Times New Roman" w:eastAsia="Times New Roman" w:hAnsi="Times New Roman"/>
                <w:sz w:val="23"/>
                <w:szCs w:val="23"/>
                <w:color w:val="auto"/>
                <w:vertAlign w:val="superscript"/>
              </w:rPr>
              <w:t>(1)</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operating</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46,770</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Midstream operating</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100" w:type="dxa"/>
            <w:vAlign w:val="bottom"/>
            <w:shd w:val="clear" w:color="auto" w:fill="CCEEFF"/>
          </w:tcPr>
          <w:p>
            <w:pPr>
              <w:ind w:left="480"/>
              <w:spacing w:after="0" w:line="223" w:lineRule="exact"/>
              <w:rPr>
                <w:sz w:val="20"/>
                <w:szCs w:val="20"/>
                <w:color w:val="auto"/>
              </w:rPr>
            </w:pPr>
            <w:r>
              <w:rPr>
                <w:rFonts w:ascii="Times New Roman" w:cs="Times New Roman" w:eastAsia="Times New Roman" w:hAnsi="Times New Roman"/>
                <w:sz w:val="18"/>
                <w:szCs w:val="18"/>
                <w:color w:val="auto"/>
              </w:rPr>
              <w:t>Total short-term leases</w:t>
            </w:r>
            <w:r>
              <w:rPr>
                <w:rFonts w:ascii="Times New Roman" w:cs="Times New Roman" w:eastAsia="Times New Roman" w:hAnsi="Times New Roman"/>
                <w:sz w:val="23"/>
                <w:szCs w:val="23"/>
                <w:color w:val="auto"/>
                <w:vertAlign w:val="superscript"/>
              </w:rPr>
              <w:t>(2)(3)</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57,934</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of assets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finance leases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23"/>
        </w:trPr>
        <w:tc>
          <w:tcPr>
            <w:tcW w:w="7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lease expense</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120,459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93,888</w:t>
            </w:r>
          </w:p>
        </w:tc>
      </w:tr>
      <w:tr>
        <w:trPr>
          <w:trHeight w:val="21"/>
        </w:trPr>
        <w:tc>
          <w:tcPr>
            <w:tcW w:w="7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220" w:hanging="332"/>
        <w:spacing w:after="0" w:line="282" w:lineRule="auto"/>
        <w:tabs>
          <w:tab w:leader="none" w:pos="36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gross payments related to drilling rig leases of $84.7 million and $87.8 million for the years ended December 31, 2025 and 2024, respectively, that were capitalized and recorded in “Oil and natural gas properties, full-cost method” in the consolidated balance sheets at December 31, 2025 and 2024, respectively.</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costs are related to leases that are not recorded as right of use assets or lease liabilities in the consolidated balance sheets as they are short-term leases.</w:t>
      </w:r>
    </w:p>
    <w:p>
      <w:pPr>
        <w:spacing w:after="0" w:line="122"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2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gross payments related to short-term drilling rig leases and other equipment rentals of $265.9 million and $231.8 million for the years ended December 31, 2025 and 2024, respectively, that were capitalized and recorded in “Oil and natural gas properties, full-cost method” in the consolidated balance sheets at December 31, 2025 and 2024, respectively.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 — Continued</w:t>
      </w:r>
    </w:p>
    <w:p>
      <w:pPr>
        <w:spacing w:after="0" w:line="200" w:lineRule="exact"/>
        <w:rPr>
          <w:sz w:val="20"/>
          <w:szCs w:val="20"/>
          <w:color w:val="auto"/>
        </w:rPr>
      </w:pPr>
    </w:p>
    <w:p>
      <w:pPr>
        <w:spacing w:after="0" w:line="245"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consolidated balance sheet information related to leases as of December 31, 2025 and 2024, respectively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(79,190)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(72,498)</w:t>
            </w:r>
          </w:p>
        </w:tc>
      </w:tr>
      <w:tr>
        <w:trPr>
          <w:trHeight w:val="248"/>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 and equipment, at cost</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23"/>
        </w:trPr>
        <w:tc>
          <w:tcPr>
            <w:tcW w:w="7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48"/>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consolidated cash flow information related to lease payments for the years ended December 31, 2025 and 2024, respectively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related to lease liabilities</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37,155</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cash payments for operating leases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87,776</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70"/>
        </w:trPr>
        <w:tc>
          <w:tcPr>
            <w:tcW w:w="7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 entered into during the period</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207,279</w:t>
            </w: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maturities of lease liabilities at December 31, 2025 (in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4840" w:type="dxa"/>
            <w:vAlign w:val="bottom"/>
          </w:tcPr>
          <w:p>
            <w:pPr>
              <w:spacing w:after="0"/>
              <w:rPr>
                <w:sz w:val="20"/>
                <w:szCs w:val="20"/>
                <w:color w:val="auto"/>
              </w:rPr>
            </w:pP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4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6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F-17</w:t>
            </w:r>
          </w:p>
        </w:tc>
      </w:tr>
      <w:tr>
        <w:trPr>
          <w:trHeight w:val="115"/>
        </w:trPr>
        <w:tc>
          <w:tcPr>
            <w:tcW w:w="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 — Continued</w:t>
      </w:r>
    </w:p>
    <w:p>
      <w:pPr>
        <w:spacing w:after="0" w:line="200" w:lineRule="exact"/>
        <w:rPr>
          <w:sz w:val="20"/>
          <w:szCs w:val="20"/>
          <w:color w:val="auto"/>
        </w:rPr>
      </w:pPr>
    </w:p>
    <w:p>
      <w:pPr>
        <w:spacing w:after="0" w:line="245"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schedule of future minimum lease payments required under all lease agreements as of December 31, 2025 (in thousands).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tcPr>
          <w:p>
            <w:pPr>
              <w:spacing w:after="0"/>
              <w:rPr>
                <w:sz w:val="19"/>
                <w:szCs w:val="19"/>
                <w:color w:val="auto"/>
              </w:rPr>
            </w:pP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ASSET RETIREMENT OBLIGATIONS</w:t>
      </w:r>
    </w:p>
    <w:p>
      <w:pPr>
        <w:spacing w:after="0" w:line="12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pacing w:after="0" w:line="81" w:lineRule="exact"/>
        <w:rPr>
          <w:sz w:val="20"/>
          <w:szCs w:val="20"/>
          <w:color w:val="auto"/>
        </w:rPr>
      </w:pPr>
    </w:p>
    <w:p>
      <w:pPr>
        <w:ind w:right="28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years ended December 31, 2025 and 2024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w:t>
            </w:r>
          </w:p>
        </w:tc>
      </w:tr>
      <w:tr>
        <w:trPr>
          <w:trHeight w:val="22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r>
      <w:tr>
        <w:trPr>
          <w:trHeight w:val="23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w:t>
            </w:r>
          </w:p>
        </w:tc>
      </w:tr>
      <w:tr>
        <w:trPr>
          <w:trHeight w:val="23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during the period</w:t>
            </w:r>
          </w:p>
        </w:tc>
        <w:tc>
          <w:tcPr>
            <w:tcW w:w="1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2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Divestitures during the period</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w:t>
            </w:r>
          </w:p>
        </w:tc>
      </w:tr>
      <w:tr>
        <w:trPr>
          <w:trHeight w:val="23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150,372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122,668</w:t>
            </w: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144,063</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114,237</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60" w:hanging="309"/>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consolidated balance sheets at December 31, 2025 and 2024.</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2" w:name="page123"/>
    <w:bookmarkEnd w:id="122"/>
    <w:p>
      <w:pPr>
        <w:jc w:val="center"/>
        <w:ind w:left="340" w:right="2560"/>
        <w:spacing w:after="0" w:line="331"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COMBINATIONS AND DIVESTITURES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Combinations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San Mateo Joint Venture</w:t>
      </w:r>
    </w:p>
    <w:p>
      <w:pPr>
        <w:spacing w:after="0" w:line="92" w:lineRule="exact"/>
        <w:rPr>
          <w:sz w:val="20"/>
          <w:szCs w:val="20"/>
          <w:color w:val="auto"/>
        </w:rPr>
      </w:pPr>
    </w:p>
    <w:p>
      <w:pPr>
        <w:ind w:right="40" w:firstLine="405"/>
        <w:spacing w:after="0"/>
        <w:rPr>
          <w:sz w:val="20"/>
          <w:szCs w:val="20"/>
          <w:color w:val="auto"/>
        </w:rPr>
      </w:pPr>
      <w:r>
        <w:rPr>
          <w:rFonts w:ascii="Times New Roman" w:cs="Times New Roman" w:eastAsia="Times New Roman" w:hAnsi="Times New Roman"/>
          <w:sz w:val="18"/>
          <w:szCs w:val="18"/>
          <w:color w:val="auto"/>
        </w:rPr>
        <w:t>On December 18, 2024, the Company completed a transaction with Five Point Infrastructure, LLC and its affiliates (previously, Five Point Energy LLC) (“Five Point”) in which the Company contributed Pronto Midstream, LLC and its subsidiary (“Pronto”), a wholly-owned subsidiary of the Company, to San Mateo, and Five Point made a cash contribution to San Mateo of $171.5 million (the “Pronto Transaction”). In connection with the Pronto Transaction, the Company received a special distribution from San Mateo of approximately $219.8 million. In addition, the Company has the potential to earn up to $75.0 million in incentive payments from Five Point over a five-year period, of which $13.0 million and $1.3 million was paid by Five Point during the years ended December 31, 2025 and 2024, respectively. San Mateo continues to be owned 51% by the Company and 49% by Five Point, with Five Point’s interest in San Mateo being accounted for as a non-controlling interest.</w:t>
      </w:r>
    </w:p>
    <w:p>
      <w:pPr>
        <w:spacing w:after="0" w:line="9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Subsequent to the Pronto Transaction, San Mateo owns and operates the expanded Marlan Processing Plant, which has a designed inlet capacity of 260 MMcf of natural gas per day, and operates Pronto’s six compressor stations and approximately 150 miles of natural gas gathering pipelines in Lea and Eddy Counties, New Mexico.</w:t>
      </w:r>
    </w:p>
    <w:p>
      <w:pPr>
        <w:spacing w:after="0" w:line="68" w:lineRule="exact"/>
        <w:rPr>
          <w:sz w:val="20"/>
          <w:szCs w:val="20"/>
          <w:color w:val="auto"/>
        </w:rPr>
      </w:pPr>
    </w:p>
    <w:p>
      <w:pPr>
        <w:ind w:right="60" w:firstLine="486"/>
        <w:spacing w:after="0" w:line="244" w:lineRule="auto"/>
        <w:rPr>
          <w:sz w:val="20"/>
          <w:szCs w:val="20"/>
          <w:color w:val="auto"/>
        </w:rPr>
      </w:pPr>
      <w:r>
        <w:rPr>
          <w:rFonts w:ascii="Times New Roman" w:cs="Times New Roman" w:eastAsia="Times New Roman" w:hAnsi="Times New Roman"/>
          <w:sz w:val="18"/>
          <w:szCs w:val="18"/>
          <w:color w:val="auto"/>
        </w:rPr>
        <w:t>In connection with the Pronto Transaction, the Company dedicated to San Mateo its current and certain future leasehold interests in the Ranger and Antelope Ridge asset areas pursuant to 15-year, fixed fee natural gas gathering, compression, treating and processing agreements whereby San Mateo will gather, compress, treat and process natural gas produced from the Company’s operated wells in northern Lea County, New Mexico. In addition, San Mateo entered into certain agreements with Northwind Midstream Partners LLC (“Northwind”), previously an affiliate of Five Point, whereby Northwind will treat certain sour gas gathered and delivered by San Mateo in northern Lea County, New Mexico. Under these agreements, Northwind will redeliver the treated sweet gas from San Mateo and other third-party customers to San Mateo for processing.</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Ameredev Acquisition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On September 18, 2024, a wholly-owned subsidiary of the Company completed the acquisition (the “Ameredev Acquisition”) of Ameredev Stateline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LLC (“Ameredev”) from affiliates of EnCap Investments L.P., including (i) certain oil and natural gas producing properties and undeveloped acreage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Lea County, New Mexico and Loving and Winkler Counties, Texas, and (ii) an approximate 19% stake (the “Piñon Investment”) in the parent</w:t>
      </w:r>
    </w:p>
    <w:p>
      <w:pPr>
        <w:spacing w:after="0" w:line="234" w:lineRule="auto"/>
        <w:rPr>
          <w:sz w:val="20"/>
          <w:szCs w:val="20"/>
          <w:color w:val="auto"/>
        </w:rPr>
      </w:pPr>
      <w:r>
        <w:rPr>
          <w:rFonts w:ascii="Times New Roman" w:cs="Times New Roman" w:eastAsia="Times New Roman" w:hAnsi="Times New Roman"/>
          <w:sz w:val="18"/>
          <w:szCs w:val="18"/>
          <w:color w:val="auto"/>
        </w:rPr>
        <w:t>company of Piñon Midstream, LLC (“Piñon”). The Ameredev Acquisition had an effective date of June 1, 2024 and an aggregate as-adjusted closing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of approximately $1.83 billion in cash. The purchase price for the Ameredev Acquisition was funded by a combination of cash on hand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Company’s Credit Agreement, which was amended on September 18, 2024 to, among other things: (i) provide for a term loan of</w:t>
      </w:r>
    </w:p>
    <w:p>
      <w:pPr>
        <w:spacing w:after="0" w:line="234" w:lineRule="auto"/>
        <w:rPr>
          <w:sz w:val="20"/>
          <w:szCs w:val="20"/>
          <w:color w:val="auto"/>
        </w:rPr>
      </w:pPr>
      <w:r>
        <w:rPr>
          <w:rFonts w:ascii="Times New Roman" w:cs="Times New Roman" w:eastAsia="Times New Roman" w:hAnsi="Times New Roman"/>
          <w:sz w:val="18"/>
          <w:szCs w:val="18"/>
          <w:color w:val="auto"/>
        </w:rPr>
        <w:t>$250.0 million, the full amount of which was borrowed to fund the Ameredev Acquisition, and (ii) increase the elected borrowing commitments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from $1.50 billion to $2.25 billion. On September 25, 2024, the Company completed the sale of $750.0 million in aggregate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Company’s 6.25% senior unsecured notes due 2033 (the “2033 Notes”) and used the net proceeds to partially repay borrowings</w:t>
      </w:r>
    </w:p>
    <w:p>
      <w:pPr>
        <w:spacing w:after="0"/>
        <w:rPr>
          <w:sz w:val="20"/>
          <w:szCs w:val="20"/>
          <w:color w:val="auto"/>
        </w:rPr>
      </w:pPr>
      <w:r>
        <w:rPr>
          <w:rFonts w:ascii="Times New Roman" w:cs="Times New Roman" w:eastAsia="Times New Roman" w:hAnsi="Times New Roman"/>
          <w:sz w:val="18"/>
          <w:szCs w:val="18"/>
          <w:color w:val="auto"/>
        </w:rPr>
        <w:t>outstanding under the Credit Agreement, including all of the $250.0 million in outstanding borrowings under the term loan.</w:t>
      </w:r>
    </w:p>
    <w:p>
      <w:pPr>
        <w:spacing w:after="0" w:line="84" w:lineRule="exact"/>
        <w:rPr>
          <w:sz w:val="20"/>
          <w:szCs w:val="20"/>
          <w:color w:val="auto"/>
        </w:rPr>
      </w:pPr>
    </w:p>
    <w:p>
      <w:pPr>
        <w:jc w:val="both"/>
        <w:ind w:right="40" w:firstLine="486"/>
        <w:spacing w:after="0" w:line="250" w:lineRule="auto"/>
        <w:rPr>
          <w:sz w:val="20"/>
          <w:szCs w:val="20"/>
          <w:color w:val="auto"/>
        </w:rPr>
      </w:pPr>
      <w:r>
        <w:rPr>
          <w:rFonts w:ascii="Times New Roman" w:cs="Times New Roman" w:eastAsia="Times New Roman" w:hAnsi="Times New Roman"/>
          <w:sz w:val="18"/>
          <w:szCs w:val="18"/>
          <w:color w:val="auto"/>
        </w:rPr>
        <w:t xml:space="preserve">The Ameredev Acquisition was accounted for under the acquisition method of accounting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ASC Topic 805, the purchase price is allocated to the underlying tangible and intangible assets acquired and liabilities assumed based upon their estimated fair values as of the respective acquisition date, with any excess purchase price allocated to goodwill. As the Company acquired 100% of the membership interests of Ameredev, the acquisition was treated as an asset acquisition for tax purposes. The Company concluded that the Piñon Investment was an equity method investment.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2025, 2024 and 2023</w:t>
            </w: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6 — BUSINESS COMBINATIONS AND DIVESTITURES — Continued</w:t>
            </w: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9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The final allocation of the total purchase price for the Ameredev Acquisition is set forth below (in thousands).</w:t>
            </w: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20" w:type="dxa"/>
            <w:vAlign w:val="bottom"/>
          </w:tcPr>
          <w:p>
            <w:pPr>
              <w:spacing w:after="0"/>
              <w:rPr>
                <w:sz w:val="24"/>
                <w:szCs w:val="24"/>
                <w:color w:val="auto"/>
              </w:rPr>
            </w:pP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8980" w:type="dxa"/>
            <w:vAlign w:val="bottom"/>
            <w:tcBorders>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consideration given</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1,831,214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98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9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Evaluated</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Unproved and unevaluated</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Midstream assets</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60" w:firstLine="486"/>
        <w:spacing w:after="0" w:line="258" w:lineRule="auto"/>
        <w:rPr>
          <w:sz w:val="20"/>
          <w:szCs w:val="20"/>
          <w:color w:val="auto"/>
        </w:rPr>
      </w:pPr>
      <w:r>
        <w:rPr>
          <w:rFonts w:ascii="Times New Roman" w:cs="Times New Roman" w:eastAsia="Times New Roman" w:hAnsi="Times New Roman"/>
          <w:sz w:val="18"/>
          <w:szCs w:val="18"/>
          <w:color w:val="auto"/>
        </w:rPr>
        <w:t>The fair value measurements of assets acquired and liabilities assumed are based on inputs that are not observable in the market and therefore represent Level 3 inputs. The fair value of evaluated oil and natural gas properties and asset retirement obligations were measured using the discounted cash flow technique of valuation.</w:t>
      </w:r>
    </w:p>
    <w:p>
      <w:pPr>
        <w:spacing w:after="0" w:line="61"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Significant inputs to the valuation of oil and natural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Divestitures</w:t>
      </w:r>
    </w:p>
    <w:p>
      <w:pPr>
        <w:spacing w:after="0" w:line="119"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sold its remaining South Texas assets in the Eagle Ford shale for $22.2 million. During 2024, the Company converted approximately $12.4 million of non-core assets to cash. These properties were primarily located in South Texas and Northwest Louisiana.</w:t>
      </w:r>
    </w:p>
    <w:p>
      <w:pPr>
        <w:spacing w:after="0" w:line="6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On October 28, 2024, Piñon was acquired by an affiliate of Enterprise Products Partners L.P. The Company received $113.6 million from the sale of Piñon during the fourth quarter of 2024 and used these proceeds to reduce borrowings under the Credit Agreement. The Company received an additional $3.3 million from the sale of Piñon in the first half of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780" w:right="212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00" w:lineRule="exact"/>
        <w:rPr>
          <w:sz w:val="20"/>
          <w:szCs w:val="20"/>
          <w:color w:val="auto"/>
        </w:rPr>
      </w:pPr>
    </w:p>
    <w:p>
      <w:pPr>
        <w:spacing w:after="0" w:line="25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debt, including the effects of issuance costs and discounts, net as of December 31, 2025 and 2024, are set forth below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Revolving credit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Credit Agreement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San Mateo Credit Facility due 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6.875% senior notes due 2028 (the “2028 Notes”)</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6.500% senior notes due 2032 (the “2032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6.250% senior notes due 2033 (the “2033 Notes”)</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Issuance costs and discounts,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senior unsecured notes payable</w:t>
      </w:r>
    </w:p>
    <w:p>
      <w:pPr>
        <w:spacing w:after="0" w:line="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3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398,000</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595,500</w:t>
            </w:r>
          </w:p>
        </w:tc>
      </w:tr>
      <w:tr>
        <w:trPr>
          <w:trHeight w:val="234"/>
        </w:trPr>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567"/>
        </w:trPr>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32"/>
        </w:trPr>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427"/>
        </w:trPr>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4"/>
        </w:trPr>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(28,898)</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(35,092)</w:t>
            </w:r>
          </w:p>
        </w:tc>
      </w:tr>
      <w:tr>
        <w:trPr>
          <w:trHeight w:val="223"/>
        </w:trPr>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2,121,102</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2,114,908</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3,402,102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3,325,408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10" w:lineRule="exact"/>
        <w:rPr>
          <w:sz w:val="20"/>
          <w:szCs w:val="20"/>
          <w:color w:val="auto"/>
        </w:rPr>
      </w:pPr>
    </w:p>
    <w:p>
      <w:pPr>
        <w:sectPr>
          <w:pgSz w:w="11900" w:h="16838" w:orient="portrait"/>
          <w:cols w:equalWidth="0" w:num="2">
            <w:col w:w="6920" w:space="720"/>
            <w:col w:w="3600"/>
          </w:cols>
          <w:pgMar w:left="320" w:top="117" w:right="339" w:bottom="1440" w:gutter="0" w:footer="0" w:header="0"/>
          <w:type w:val="continuous"/>
        </w:sect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November 18, 2021, the Company entered into its Fourth Amended and Restated Credit Agreement with the lenders party thereto. MRC Energy Company (“MRC”), a subsidiary of Matador that directly or indirectly holds the Company’s ownership interests in its other operating subsidiaries, is the borrower under the Credit Agreement. Borrowings are secured by mortgages on at least 85% of MRC’s and the Restricted Subsidiaries’ (as defined in the Credit Agreement) proved oil and natural gas properties and by the equity interests of certain of MRC’s wholly-owned subsidiaries, which are also guarantors. San Mateo is not a guarantor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The outstanding borrowings under the Credit Agreement mature on March 22, 2029 or, if earlier, the date that is up to 180 days prior to the earliest stated redemption date of any senior notes of the Company if unused availability under the revolving credit facility on such date is less than 20% of the aggregate revolving commitments, on a pro forma basis after giving effect to the repayment of such senior notes.</w:t>
      </w:r>
    </w:p>
    <w:p>
      <w:pPr>
        <w:spacing w:after="0" w:line="86"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68"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 May and December 2025, the borrowing base of the Credit Agreement was reaffirmed at $3.25 billion, and the Company kept the elected borrowing commitments at $2.25 billion. The May and December 2025 reaffirmations of the borrowing base constituted the regularly scheduled May 1 and November 1 redeterminations, respectively.</w:t>
      </w:r>
    </w:p>
    <w:p>
      <w:pPr>
        <w:spacing w:after="0" w:line="68"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In the event of an increase in the elected borrowing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75"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Total deferred loan costs were $21.5 million at December 31, 2025, and these costs are being amortized over the term of the Credit Agreement. At December 31, 2025, the Company had $398.0 million in borrowings outstanding under the Credit Agreement and approximately $53.8 million in outstanding letters of credit issued pursuant to the Credit Agreement. The Company’s effective interest rate under the Credit Agreement was 5.63% at December 31, 2025.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right="320" w:firstLine="445"/>
        <w:spacing w:after="0" w:line="256" w:lineRule="auto"/>
        <w:rPr>
          <w:sz w:val="20"/>
          <w:szCs w:val="20"/>
          <w:color w:val="auto"/>
        </w:rPr>
      </w:pPr>
      <w:r>
        <w:rPr>
          <w:rFonts w:ascii="Times New Roman" w:cs="Times New Roman" w:eastAsia="Times New Roman" w:hAnsi="Times New Roman"/>
          <w:sz w:val="18"/>
          <w:szCs w:val="18"/>
          <w:color w:val="auto"/>
        </w:rPr>
        <w:t>The applicable interest rate margin for borrowings under the Credit Agreement ranges from 1.75% to 2.75% for borrowings bearing interest with reference to Term SOFR (as defined in the Credit Agreement) and from 0.75% to 1.75% for borrowings bearing interest with reference to the Alternate Base Rate (as defined in the Credit Agreement), in each case depending on the level of borrowings under the Credit Agreement. The interest period for Term SOFR borrowings may be one, three or six months as designated by MRC. If MRC has outstanding borrowings under the Credit Agreement and interest rates increase, so will MRC’s interest costs, which may have a material adverse effect on the Company’s results of operations and financial condition.</w:t>
      </w:r>
    </w:p>
    <w:p>
      <w:pPr>
        <w:spacing w:after="0" w:line="7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 commitment fee of 0.375% to 0.50%,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(i) a current ratio, which is defined as (x) total consolidated current assets plus the unused availability under the Credit Agreement divided by</w:t>
      </w:r>
    </w:p>
    <w:p>
      <w:pPr>
        <w:spacing w:after="0" w:line="3" w:lineRule="exact"/>
        <w:rPr>
          <w:sz w:val="20"/>
          <w:szCs w:val="20"/>
          <w:color w:val="auto"/>
        </w:rPr>
      </w:pPr>
    </w:p>
    <w:p>
      <w:pPr>
        <w:jc w:val="both"/>
        <w:ind w:right="120" w:firstLine="8"/>
        <w:spacing w:after="0" w:line="255"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current liabilities less current maturities of debt, of not less than 1.0 at the end of each fiscal quarter and (ii) a debt to EBITDA ratio, which is defined as debt outstanding (net of up to the greater of $150 million or 10% of the elected borrowing commitments of unrestricted cash and cash equivalents) divided by a rolling four quarter EBITDA calculation, of 3.50 or less at the end of each fiscal quarter.</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certain exceptions, the Credit Agreement contains various covenants that limit MRC’s and its Restricted Subsidiaries’ (as defined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ability to take certain actions, including the following:</w:t>
      </w:r>
    </w:p>
    <w:p>
      <w:pPr>
        <w:spacing w:after="0" w:line="99"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grant liens on any of its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commodity hedging agreements or interest rate agreements;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distributions or redemptions;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asset dispositions, including a sale of all or substantially all of MRC’s assets;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certain actions with respect to the Company’s senior unsecured notes.</w:t>
      </w:r>
    </w:p>
    <w:p>
      <w:pPr>
        <w:spacing w:after="0" w:line="1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If an event of default exists under the Credit Agreement, the lenders will be able to terminate their commitments, accelerate the maturity of the borrowings and exercise other rights and remedies. Events of default include the following:</w:t>
      </w:r>
    </w:p>
    <w:p>
      <w:pPr>
        <w:spacing w:after="0" w:line="54" w:lineRule="exact"/>
        <w:rPr>
          <w:sz w:val="20"/>
          <w:szCs w:val="20"/>
          <w:color w:val="auto"/>
        </w:rPr>
      </w:pPr>
    </w:p>
    <w:p>
      <w:pPr>
        <w:ind w:left="340" w:right="400" w:hanging="332"/>
        <w:spacing w:after="0" w:line="282" w:lineRule="auto"/>
        <w:tabs>
          <w:tab w:leader="none" w:pos="3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principal on the outstanding borrowings when due or any interest on the outstanding borrowings, any reimbursement obligation under any letter of credit or any fees or other amounts within certain grace periods;</w:t>
      </w:r>
    </w:p>
    <w:p>
      <w:pPr>
        <w:spacing w:after="0" w:line="53"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otherwise comply with the covenants and obligations in the Credit Agreement or other loan documents, subject, in certain instances, to certain grace periods;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events involving the Company or any of the Restricted Subsidiaries;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as defined in the Credit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was in compliance with the terms of the Credit Agreement at December 31, 2025.</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December 19, 2018, San Mateo entered into a secured revolving credit facility (the “San Mateo Credit Facility”) with the lenders party thereto.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2025, San Mateo and certain of its lenders modified the San Mateo Credit Facility to (i) increase the lender commitments from $800.0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$850.0 million and (ii) add one new bank to San Mateo’s lending group. In December 2025, San Mateo and certain of its lenders amended the San Mateo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to (i) increase the lender commitments from $850.0 million to $1.10 billion, (ii) reduce the borrowing rate and (iii) add one new bank to San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Mateo’s lending group. The San Mateo Credit Facility includes an accordion feature, which provides for potential increases in lender commitments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billion. The San Mateo Credit Facility is non-recourse with respect to Matador and its other subsidiaries but is guaranteed by San Mateo’s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secured by substantially all of San Mateo’s assets, including real property.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Total deferred loan costs were $9.3 million at December 31, 2025, and these costs are being amortized over the term of the San Mateo Credit Facility. San Mateo’s effective interest rate under the San Mateo Credit Facility was 5.72% at December 31, 2025. At December 31, 2025, San Mateo had $883.0 million in borrowings outstanding under the San Mateo Credit Facility and $15.4 million in outstanding letters of credit issued pursuant to the San Mateo Credit Facility. The outstanding borrowings under the San Mateo Credit Facility mature on November 26, 2029.</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Borrowings under the San Mateo Credit Facility may be in the form of a base rate loan or a SOFR loan. If San Mateo borrows funds as a base rate loan, such borrowings will bear interest at a rate equal to the greatest of (i) the prime rate for such day, (ii) the Federal Funds Effective Rate (as defined in the San Mateo Credit Facility) on such day, plus 0.50%, and (iii) the Term SOFR (as defined in the San Mateo Credit Facility) for a one month tenor plus 1.0%, plus, in each case, an amount ranging from 1.00% to 2.00% depending on San Mateo’s Consolidated Total Leverage Ratio (as defined in the San Mateo Credit Facility). If San Mateo borrows funds as a SOFR loan, such borrowings will bear interest at a rate equal to (x) Term SOFR for the chosen interest period plus (y) an amount ranging from 2.00% to 3.00% depending on San Mateo’s Consolidated Total Leverage Ratio. The applicable margin for base rate loans and SOFR loans under the San Mateo Credit Facility will be decreased by 0.25% in the event of a Notes Offering (as defined in the San Mateo Credit Facility) or a Qualified IPO (as defined in the San Mateo Credit Facility). If San Mateo has outstanding borrowings under the San Mateo Credit Facility and interest rates increase, so will San Mateo’s interest costs, which may have a material adverse effect on San Mateo’s results of operations and financial condition.</w:t>
      </w:r>
    </w:p>
    <w:p>
      <w:pPr>
        <w:spacing w:after="0" w:line="86"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 commitment fee of 0.30% to 0.50%, depending on San Mateo’s Consolidated Total Leverage Ratio,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w:t>
      </w:r>
    </w:p>
    <w:p>
      <w:pPr>
        <w:spacing w:after="0" w:line="8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San Mateo Credit Facility contains various covenants that limit San Mateo’s and its restricted subsidiaries’ ability to take certain actions, including the following:</w:t>
      </w:r>
    </w:p>
    <w:p>
      <w:pPr>
        <w:spacing w:after="0" w:line="68"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grant liens on any of San Mateo’s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hedging agreements;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distributions or redemptions;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asset dispositions, including a sale of all or substantially all of San Mateo’s assets;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interests in San Mateo or its restricted subsidiaries.</w:t>
      </w:r>
    </w:p>
    <w:p>
      <w:pPr>
        <w:spacing w:after="0" w:line="117"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If an event of default exists under the San Mateo Credit Facility, the lenders will be able to terminate their commitments, accelerate the maturity of the borrowings and exercise other rights and remedies. Events of default include the following:</w:t>
      </w:r>
    </w:p>
    <w:p>
      <w:pPr>
        <w:spacing w:after="0" w:line="54" w:lineRule="exact"/>
        <w:rPr>
          <w:sz w:val="20"/>
          <w:szCs w:val="20"/>
          <w:color w:val="auto"/>
        </w:rPr>
      </w:pPr>
    </w:p>
    <w:p>
      <w:pPr>
        <w:ind w:left="340" w:right="140" w:hanging="332"/>
        <w:spacing w:after="0" w:line="282" w:lineRule="auto"/>
        <w:tabs>
          <w:tab w:leader="none" w:pos="3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5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otherwise comply with the covenants and obligations in the San Mateo Credit Facility or other loan documents, subject, in certain instances, to certain grace periods;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events involving San Mateo or its subsidiaries;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as defined in the San Mateo Credit Facility.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Mateo was in compliance with the terms of the San Mateo Credit Facility at December 31, 2025.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2028 Notes</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$500.0 million in outstanding 2028 Notes, which have a 6.875% coupon rate and mature on April 15, 2028. Interest on the 2028 Notes is payable semi-annually in arrears on each April 15 and October 15. The 2028 Notes are jointly and severally guaranteed on a senior unsecured basis by certain subsidiaries of the Company (the “Guarantors”). San Mateo is not a Restricted Subsidiary (as defined in the indenture governing the 2028 Notes (the “2028 Notes Indenture”)) or Guarantor of the 2028 Notes.</w:t>
      </w:r>
    </w:p>
    <w:p>
      <w:pPr>
        <w:spacing w:after="0" w:line="72" w:lineRule="exact"/>
        <w:rPr>
          <w:sz w:val="20"/>
          <w:szCs w:val="20"/>
          <w:color w:val="auto"/>
        </w:rPr>
      </w:pPr>
    </w:p>
    <w:p>
      <w:pPr>
        <w:ind w:right="480" w:firstLine="445"/>
        <w:spacing w:after="0" w:line="266" w:lineRule="auto"/>
        <w:rPr>
          <w:sz w:val="20"/>
          <w:szCs w:val="20"/>
          <w:color w:val="auto"/>
        </w:rPr>
      </w:pPr>
      <w:r>
        <w:rPr>
          <w:rFonts w:ascii="Times New Roman" w:cs="Times New Roman" w:eastAsia="Times New Roman" w:hAnsi="Times New Roman"/>
          <w:sz w:val="18"/>
          <w:szCs w:val="18"/>
          <w:color w:val="auto"/>
        </w:rPr>
        <w:t>The Company may redeem all or a part of the 2028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p>
      <w:pPr>
        <w:spacing w:after="0" w:line="199" w:lineRule="exact"/>
        <w:rPr>
          <w:sz w:val="20"/>
          <w:szCs w:val="20"/>
          <w:color w:val="auto"/>
        </w:rPr>
      </w:pPr>
    </w:p>
    <w:tbl>
      <w:tblPr>
        <w:tblLayout w:type="fixed"/>
        <w:tblInd w:w="3740" w:type="dxa"/>
        <w:tblCellMar>
          <w:top w:w="0" w:type="dxa"/>
          <w:left w:w="0" w:type="dxa"/>
          <w:bottom w:w="0" w:type="dxa"/>
          <w:right w:w="0" w:type="dxa"/>
        </w:tblCellMar>
      </w:tblPr>
      <w:tr>
        <w:trPr>
          <w:trHeight w:val="238"/>
        </w:trPr>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r>
      <w:tr>
        <w:trPr>
          <w:trHeight w:val="223"/>
        </w:trPr>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103.438%</w:t>
            </w:r>
          </w:p>
        </w:tc>
      </w:tr>
      <w:tr>
        <w:trPr>
          <w:trHeight w:val="230"/>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101.719%</w:t>
            </w:r>
          </w:p>
        </w:tc>
      </w:tr>
      <w:tr>
        <w:trPr>
          <w:trHeight w:val="229"/>
        </w:trPr>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2027 and thereafter</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7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2028 Notes Indenture contains various covenants that limit the Company’s and its Restricted Subsidiaries’ ability to take certain actions, including the following:</w:t>
      </w:r>
    </w:p>
    <w:p>
      <w:pPr>
        <w:spacing w:after="0" w:line="54" w:lineRule="exact"/>
        <w:rPr>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certain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that secure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17"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Matador, any Restricted Subsidiary (as defined in the 2028 Notes Indenture) that is a Significant Subsidiary (as defined in the 2028 Notes Indenture) or any group of Restricted Subsidiaries that, taken together, would constitute a Significant Subsidiary, all outstanding 2028 Notes will become due and payable immediately without further action or notice. If any other event of default occurs and is continuing, the trustee or the holders of at least 25% in principal amount of the then outstanding 2028 Notes may declare all the 2028 Notes to be due and payable immediately. Events of default include the following:</w:t>
      </w:r>
    </w:p>
    <w:p>
      <w:pPr>
        <w:spacing w:after="0" w:line="75"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2028 Notes;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2028 Notes;</w:t>
      </w:r>
    </w:p>
    <w:p>
      <w:pPr>
        <w:spacing w:after="0" w:line="117"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to offer to purchase or purchase 2028 Notes pursuant to the change of control or asset sale covenants of the 2028 Notes Indenture or to comply with the covenant relating to mergers;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180 days after notice to comply with its reporting obligations under the 2028 Notes Indenture;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notice to comply with any of the other agreements in the 2028 Notes Indenture;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the Company and its Restricted Subsidiaries in the aggregate principal amount of $100.0 million or more;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pay certain final judgments aggregating in excess of $100.0 million within 60 days;</w:t>
      </w:r>
    </w:p>
    <w:p>
      <w:pPr>
        <w:spacing w:after="0" w:line="117"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guarantee by a Guarantor ceases to be in full force and effect, is declared null and void in a judicial proceeding or is denied or disaffirmed by its maker; and</w:t>
      </w:r>
    </w:p>
    <w:p>
      <w:pPr>
        <w:spacing w:after="0" w:line="53"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2032 Notes</w:t>
      </w:r>
    </w:p>
    <w:p>
      <w:pPr>
        <w:spacing w:after="0" w:line="11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$900.0 million in outstanding 2032 Notes, which have a 6.50% coupon rate and mature on April 15, 2032. Interest on the 2032 Notes is payable in arrears on each April 15 and October 15. The 2032 Notes are jointly and severally guaranteed on a senior unsecured basis by the Guarantors. San Mateo is not a Restricted Subsidiary (as defined in the indenture governing the 2032 Notes (the “2032 Notes Indenture”)) or Guarantor of the 2032 Notes.</w:t>
      </w:r>
    </w:p>
    <w:p>
      <w:pPr>
        <w:spacing w:after="0" w:line="7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At any time prior to April 15, 2027, the Company may redeem up to 40% in aggregate principal amount of 2032 Notes at a redemption price of 106.500%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2032 Notes remains outstanding after such redemption. In addition, at any time prior to April 15, 2027, the Company may redeem all or part of the 2032 Notes for cash at a redemption price equal to 100% of their principal amount plus an applicable make-whole premium and accrued and unpaid interest, if any, to the applicable redemption date.</w:t>
      </w:r>
    </w:p>
    <w:p>
      <w:pPr>
        <w:spacing w:after="0" w:line="7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or after April 15, 2027, the Company may redeem all or a part of the 2032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p>
      <w:pPr>
        <w:spacing w:after="0" w:line="104" w:lineRule="exact"/>
        <w:rPr>
          <w:sz w:val="20"/>
          <w:szCs w:val="20"/>
          <w:color w:val="auto"/>
        </w:rPr>
      </w:pPr>
    </w:p>
    <w:tbl>
      <w:tblPr>
        <w:tblLayout w:type="fixed"/>
        <w:tblInd w:w="3680" w:type="dxa"/>
        <w:tblCellMar>
          <w:top w:w="0" w:type="dxa"/>
          <w:left w:w="0" w:type="dxa"/>
          <w:bottom w:w="0" w:type="dxa"/>
          <w:right w:w="0" w:type="dxa"/>
        </w:tblCellMar>
      </w:tblPr>
      <w:tr>
        <w:trPr>
          <w:trHeight w:val="238"/>
        </w:trPr>
        <w:tc>
          <w:tcPr>
            <w:tcW w:w="2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r>
      <w:tr>
        <w:trPr>
          <w:trHeight w:val="223"/>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103.250%</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101.625%</w:t>
            </w:r>
          </w:p>
        </w:tc>
      </w:tr>
      <w:tr>
        <w:trPr>
          <w:trHeight w:val="230"/>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2032 Notes Indenture contains various covenants that limit the Company’s and its Restricted Subsidiaries’ ability to take certain actions, including the following:</w:t>
      </w:r>
    </w:p>
    <w:p>
      <w:pPr>
        <w:spacing w:after="0" w:line="54"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certain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that secure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17"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Matador, any Restricted Subsidiary (as defined in the 2032 Notes Indenture) that is a Significant Subsidiary (as defined in the 2032 Notes Indenture) or any group of Restricted Subsidiaries that, taken together, would constitute a Significant Subsidiary, all outstanding 2032 Notes will become due and payable immediately without further action or notice. If any other event of default occurs and is continuing, the trustee or the holders of at least 25% in principal amount of the then outstanding 2032 Notes may declare all the 2032 Notes to be due and payable immediately. Events of default include the following:</w:t>
      </w:r>
    </w:p>
    <w:p>
      <w:pPr>
        <w:spacing w:after="0" w:line="75"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2032 Notes;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2032 Notes;</w:t>
      </w:r>
    </w:p>
    <w:p>
      <w:pPr>
        <w:spacing w:after="0" w:line="117"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to offer to purchase or purchase 2032 Notes pursuant to the change of control or asset sale covenants of the 2032 Notes Indenture or to comply with the covenant relating to mergers;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180 days after notice to comply with its reporting obligations under the 2032 Notes Indenture;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notice to comply with any of the other agreements in the 2032 Notes Indenture;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the Company and its Restricted Subsidiaries in the aggregate principal amount of $100.0 million or more;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pay certain final judgments aggregating in excess of $100.0 million within 60 days;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60" w:right="254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left="340" w:right="720" w:hanging="332"/>
        <w:spacing w:after="0" w:line="282"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guarantee by a Guarantor ceases to be in full force and effect, is declared null and void in a judicial proceeding or is denied or disaffirmed by its maker; and</w:t>
      </w:r>
    </w:p>
    <w:p>
      <w:pPr>
        <w:spacing w:after="0" w:line="53"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2033 Notes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$750.0 million in outstanding 2033 Notes, which have a 6.25% coupon rate and mature on April 15, 2033. Interest on the 2033 Notes is payable in arrears on each April 15 and October 15. The 2033 Notes are jointly and severally guaranteed on a senior unsecured basis by the Guarantors. San Mateo is not a Restricted Subsidiary (as defined in the indenture governing the 2033 Notes (the “2033 Notes Indenture”)) or Guarantor of the 2033 Notes.</w:t>
      </w:r>
    </w:p>
    <w:p>
      <w:pPr>
        <w:spacing w:after="0" w:line="7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At any time prior to April 15, 2028, the Company may redeem up to 40% in aggregate principal amount of 2033 Notes at a redemption price of 106.250%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2033 Notes remains outstanding after such redemption. In addition, at any time prior to April 15, 2028, the Company may redeem all or part of the 2033 Notes for cash at a redemption price equal to 100% of their principal amount plus an applicable make-whole premium and accrued and unpaid interest, if any, to the applicable redemption date.</w:t>
      </w:r>
    </w:p>
    <w:p>
      <w:pPr>
        <w:spacing w:after="0" w:line="7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or after April 15, 2028, the Company may redeem all or a part of the 2033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p>
      <w:pPr>
        <w:spacing w:after="0" w:line="104" w:lineRule="exact"/>
        <w:rPr>
          <w:sz w:val="20"/>
          <w:szCs w:val="20"/>
          <w:color w:val="auto"/>
        </w:rPr>
      </w:pPr>
    </w:p>
    <w:tbl>
      <w:tblPr>
        <w:tblLayout w:type="fixed"/>
        <w:tblInd w:w="3680" w:type="dxa"/>
        <w:tblCellMar>
          <w:top w:w="0" w:type="dxa"/>
          <w:left w:w="0" w:type="dxa"/>
          <w:bottom w:w="0" w:type="dxa"/>
          <w:right w:w="0" w:type="dxa"/>
        </w:tblCellMar>
      </w:tblPr>
      <w:tr>
        <w:trPr>
          <w:trHeight w:val="238"/>
        </w:trPr>
        <w:tc>
          <w:tcPr>
            <w:tcW w:w="2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r>
      <w:tr>
        <w:trPr>
          <w:trHeight w:val="223"/>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103.125%</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101.563%</w:t>
            </w:r>
          </w:p>
        </w:tc>
      </w:tr>
      <w:tr>
        <w:trPr>
          <w:trHeight w:val="230"/>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2033 Notes Indenture contains various covenants that limit the Company’s and its Restricted Subsidiaries’ ability to take certain actions, including the following:</w:t>
      </w:r>
    </w:p>
    <w:p>
      <w:pPr>
        <w:spacing w:after="0" w:line="54"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certain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that secure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17"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Matador, any Restricted Subsidiary (as defined in the 2033 Notes Indenture) that is a Significant Subsidiary (as defined in the 2033 Notes Indenture) or any group of Restricted Subsidiaries that, taken together, would constitute a Significant Subsidiary, all outstanding 2033 Notes will become due and payable immediately without further action or notice. If any other event of default occurs and is continuing, the trustee or the holders of at least 25% in principal amount of the then outstanding 2033 Notes may declare all the 2033 Notes to be due and payable immediately. Events of default include the following:</w:t>
      </w:r>
    </w:p>
    <w:p>
      <w:pPr>
        <w:spacing w:after="0" w:line="75"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2033 Notes;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2033 Notes;</w:t>
      </w:r>
    </w:p>
    <w:p>
      <w:pPr>
        <w:spacing w:after="0" w:line="117"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to offer to purchase or purchase 2033 Notes pursuant to the change of control or asset sale covenants of the 2033 Notes Indenture or to comply with the covenant relating to mergers;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180 days after notice to comply with its reporting obligations under the 2033 Notes Indenture;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notice to comply with any of the other agreements in the 2033 Notes Indenture;</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left="34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the Company and its Restricted Subsidiaries in the aggregate principal amount of $100.0 million or more;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pay certain final judgments aggregating in excess of $100.0 million within 60 days;</w:t>
      </w:r>
    </w:p>
    <w:p>
      <w:pPr>
        <w:spacing w:after="0" w:line="117"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guarantee by a Guarantor ceases to be in full force and effect, is declared null and void in a judicial proceeding or is denied or disaffirmed by its maker; and</w:t>
      </w:r>
    </w:p>
    <w:p>
      <w:pPr>
        <w:spacing w:after="0" w:line="53"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21"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(the “OBBBA”) was enacted. The legislation, among other things, makes permanent, extends or modifies certain provisions under the 2017 Tax Cuts and Jobs Act, including (i) a permanent extension of 100% bonus depreciation for certain capital expenditures, (ii) an immediate deduction of domestic research or experimental expenditures, (iii) an acceleration of deductions for unamortized domestic research and development expenditures and (iv) an elimination of the deduction for depreciation, amortization and depletion from the definition of “adjusted taxable income” for the purpose of calculating limitations on interest expense deductions. Pursuant to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effects of changes in tax law are recognized in the period of enactment, and as a result, the Company recognized the impacts of this legislation in its consolidated financial statements for the year ended December 31, 2025. While the enactment of OBBBA resulted in a decrease in the current income tax provision and corresponding increase in the deferred income tax provision for the year ended December 31, 2025, the effective income tax rates and the total income tax provision were not materially impacted.</w:t>
      </w:r>
    </w:p>
    <w:p>
      <w:pPr>
        <w:spacing w:after="0" w:line="67"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the result of temporary differences between the financial statement carrying values and the tax bases of assets and liabilities. The Company’s net deferred tax position as of December 31, 2025 and 2024 is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118,860</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40" w:type="dxa"/>
            <w:vAlign w:val="bottom"/>
          </w:tcPr>
          <w:p>
            <w:pPr>
              <w:spacing w:after="0"/>
              <w:rPr>
                <w:sz w:val="19"/>
                <w:szCs w:val="19"/>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31,843</w:t>
            </w:r>
          </w:p>
        </w:tc>
        <w:tc>
          <w:tcPr>
            <w:tcW w:w="40" w:type="dxa"/>
            <w:vAlign w:val="bottom"/>
          </w:tcPr>
          <w:p>
            <w:pPr>
              <w:spacing w:after="0"/>
              <w:rPr>
                <w:sz w:val="19"/>
                <w:szCs w:val="19"/>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40" w:type="dxa"/>
            <w:vAlign w:val="bottom"/>
          </w:tcPr>
          <w:p>
            <w:pPr>
              <w:spacing w:after="0"/>
              <w:rPr>
                <w:sz w:val="19"/>
                <w:szCs w:val="19"/>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experimental tax credits, net of reserve</w:t>
            </w:r>
          </w:p>
        </w:tc>
        <w:tc>
          <w:tcPr>
            <w:tcW w:w="2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40" w:type="dxa"/>
            <w:vAlign w:val="bottom"/>
          </w:tcPr>
          <w:p>
            <w:pPr>
              <w:spacing w:after="0"/>
              <w:rPr>
                <w:sz w:val="19"/>
                <w:szCs w:val="19"/>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40" w:type="dxa"/>
            <w:vAlign w:val="bottom"/>
          </w:tcPr>
          <w:p>
            <w:pPr>
              <w:spacing w:after="0"/>
              <w:rPr>
                <w:sz w:val="19"/>
                <w:szCs w:val="19"/>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40" w:type="dxa"/>
            <w:vAlign w:val="bottom"/>
          </w:tcPr>
          <w:p>
            <w:pPr>
              <w:spacing w:after="0"/>
              <w:rPr>
                <w:sz w:val="19"/>
                <w:szCs w:val="19"/>
                <w:color w:val="auto"/>
              </w:rPr>
            </w:pPr>
          </w:p>
        </w:tc>
      </w:tr>
      <w:tr>
        <w:trPr>
          <w:trHeight w:val="223"/>
        </w:trPr>
        <w:tc>
          <w:tcPr>
            <w:tcW w:w="4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81,428</w:t>
            </w:r>
          </w:p>
        </w:tc>
        <w:tc>
          <w:tcPr>
            <w:tcW w:w="40" w:type="dxa"/>
            <w:vAlign w:val="bottom"/>
          </w:tcPr>
          <w:p>
            <w:pPr>
              <w:spacing w:after="0"/>
              <w:rPr>
                <w:sz w:val="19"/>
                <w:szCs w:val="19"/>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40" w:type="dxa"/>
            <w:vAlign w:val="bottom"/>
          </w:tcPr>
          <w:p>
            <w:pPr>
              <w:spacing w:after="0"/>
              <w:rPr>
                <w:sz w:val="19"/>
                <w:szCs w:val="19"/>
                <w:color w:val="auto"/>
              </w:rPr>
            </w:pPr>
          </w:p>
        </w:tc>
      </w:tr>
      <w:tr>
        <w:trPr>
          <w:trHeight w:val="223"/>
        </w:trPr>
        <w:tc>
          <w:tcPr>
            <w:tcW w:w="4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162,440</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69,471</w:t>
            </w:r>
          </w:p>
        </w:tc>
        <w:tc>
          <w:tcPr>
            <w:tcW w:w="4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(802,186)</w:t>
            </w:r>
          </w:p>
        </w:tc>
        <w:tc>
          <w:tcPr>
            <w:tcW w:w="40" w:type="dxa"/>
            <w:vAlign w:val="bottom"/>
          </w:tcPr>
          <w:p>
            <w:pPr>
              <w:spacing w:after="0"/>
              <w:rPr>
                <w:sz w:val="19"/>
                <w:szCs w:val="19"/>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than wholly-owned subsidiaries</w:t>
            </w:r>
          </w:p>
        </w:tc>
        <w:tc>
          <w:tcPr>
            <w:tcW w:w="2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(75,580)</w:t>
            </w:r>
          </w:p>
        </w:tc>
        <w:tc>
          <w:tcPr>
            <w:tcW w:w="40" w:type="dxa"/>
            <w:vAlign w:val="bottom"/>
          </w:tcPr>
          <w:p>
            <w:pPr>
              <w:spacing w:after="0"/>
              <w:rPr>
                <w:sz w:val="19"/>
                <w:szCs w:val="19"/>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right of use assets</w:t>
            </w: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(31,843)</w:t>
            </w:r>
          </w:p>
        </w:tc>
        <w:tc>
          <w:tcPr>
            <w:tcW w:w="40" w:type="dxa"/>
            <w:vAlign w:val="bottom"/>
          </w:tcPr>
          <w:p>
            <w:pPr>
              <w:spacing w:after="0"/>
              <w:rPr>
                <w:sz w:val="19"/>
                <w:szCs w:val="19"/>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2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40" w:type="dxa"/>
            <w:vAlign w:val="bottom"/>
          </w:tcPr>
          <w:p>
            <w:pPr>
              <w:spacing w:after="0"/>
              <w:rPr>
                <w:sz w:val="19"/>
                <w:szCs w:val="19"/>
                <w:color w:val="auto"/>
              </w:rPr>
            </w:pPr>
          </w:p>
        </w:tc>
      </w:tr>
      <w:tr>
        <w:trPr>
          <w:trHeight w:val="230"/>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40" w:type="dxa"/>
            <w:vAlign w:val="bottom"/>
          </w:tcPr>
          <w:p>
            <w:pPr>
              <w:spacing w:after="0"/>
              <w:rPr>
                <w:sz w:val="19"/>
                <w:szCs w:val="19"/>
                <w:color w:val="auto"/>
              </w:rPr>
            </w:pPr>
          </w:p>
        </w:tc>
      </w:tr>
      <w:tr>
        <w:trPr>
          <w:trHeight w:val="223"/>
        </w:trPr>
        <w:tc>
          <w:tcPr>
            <w:tcW w:w="4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(1,178,371)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(917,137)</w:t>
            </w:r>
          </w:p>
        </w:tc>
        <w:tc>
          <w:tcPr>
            <w:tcW w:w="40" w:type="dxa"/>
            <w:vAlign w:val="bottom"/>
          </w:tcPr>
          <w:p>
            <w:pPr>
              <w:spacing w:after="0"/>
              <w:rPr>
                <w:sz w:val="19"/>
                <w:szCs w:val="19"/>
                <w:color w:val="auto"/>
              </w:rPr>
            </w:pPr>
          </w:p>
        </w:tc>
      </w:tr>
      <w:tr>
        <w:trPr>
          <w:trHeight w:val="223"/>
        </w:trPr>
        <w:tc>
          <w:tcPr>
            <w:tcW w:w="4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4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(1,015,931)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(847,666)</w:t>
            </w:r>
          </w:p>
        </w:tc>
        <w:tc>
          <w:tcPr>
            <w:tcW w:w="4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58"/>
        </w:trPr>
        <w:tc>
          <w:tcPr>
            <w:tcW w:w="4940" w:type="dxa"/>
            <w:vAlign w:val="bottom"/>
          </w:tcPr>
          <w:p>
            <w:pPr>
              <w:spacing w:after="0"/>
              <w:rPr>
                <w:sz w:val="24"/>
                <w:szCs w:val="24"/>
                <w:color w:val="auto"/>
              </w:rPr>
            </w:pPr>
          </w:p>
        </w:tc>
        <w:tc>
          <w:tcPr>
            <w:tcW w:w="288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F-27</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 — Continued</w:t>
      </w:r>
    </w:p>
    <w:p>
      <w:pPr>
        <w:spacing w:after="0" w:line="200" w:lineRule="exact"/>
        <w:rPr>
          <w:sz w:val="20"/>
          <w:szCs w:val="20"/>
          <w:color w:val="auto"/>
        </w:rPr>
      </w:pPr>
    </w:p>
    <w:p>
      <w:pPr>
        <w:spacing w:after="0" w:line="232" w:lineRule="exact"/>
        <w:rPr>
          <w:sz w:val="20"/>
          <w:szCs w:val="20"/>
          <w:color w:val="auto"/>
        </w:rPr>
      </w:pPr>
    </w:p>
    <w:p>
      <w:pPr>
        <w:ind w:right="240" w:firstLine="445"/>
        <w:spacing w:after="0" w:line="256" w:lineRule="auto"/>
        <w:rPr>
          <w:sz w:val="20"/>
          <w:szCs w:val="20"/>
          <w:color w:val="auto"/>
        </w:rPr>
      </w:pPr>
      <w:r>
        <w:rPr>
          <w:rFonts w:ascii="Times New Roman" w:cs="Times New Roman" w:eastAsia="Times New Roman" w:hAnsi="Times New Roman"/>
          <w:sz w:val="18"/>
          <w:szCs w:val="18"/>
          <w:color w:val="auto"/>
        </w:rPr>
        <w:t>At December 31, 2025, the Company had a federal net operating loss (“NOL”) carryforward and research and experimental credit carryforward of $97.3 million and $10.4 million, respectively. The federal NOL carryforward is indefinite-lived, and the research and experimental credit carryforward expires in 2045. At December 31, 2025, the Company had state NOL carryforwards and research and experimental credit carryforwards of $21.5 million and $4.3 million, respectively. State NOL carryforwards were comprised of $11.1 million and $10.0 million related to Louisiana and New Mexico, respectively. The Louisiana NOL carryforwards are fully offset by a valuation allowance, and the New Mexico NOL carryforward expires in 2045. The state research and experimental credit carryforwards all relate to Texas and begin expiring in 2038.</w:t>
      </w:r>
    </w:p>
    <w:p>
      <w:pPr>
        <w:spacing w:after="0" w:line="79"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current income tax provision and the deferred income tax provision for the years ended December 31, 2025, 2024 and 2023 were comprised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r>
      <w:tr>
        <w:trPr>
          <w:trHeight w:val="223"/>
        </w:trPr>
        <w:tc>
          <w:tcPr>
            <w:tcW w:w="5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13,922</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income tax provision (benefit)</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187,881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221,356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145,711</w:t>
            </w:r>
          </w:p>
        </w:tc>
      </w:tr>
      <w:tr>
        <w:trPr>
          <w:trHeight w:val="229"/>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26,393</w:t>
            </w:r>
          </w:p>
        </w:tc>
      </w:tr>
      <w:tr>
        <w:trPr>
          <w:trHeight w:val="223"/>
        </w:trPr>
        <w:tc>
          <w:tcPr>
            <w:tcW w:w="5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165,587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265,305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172,104</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income tax provision (benefit)</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194,073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147,265</w:t>
            </w:r>
          </w:p>
        </w:tc>
      </w:tr>
      <w:tr>
        <w:trPr>
          <w:trHeight w:val="230"/>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38,761</w:t>
            </w:r>
          </w:p>
        </w:tc>
      </w:tr>
      <w:tr>
        <w:trPr>
          <w:trHeight w:val="223"/>
        </w:trPr>
        <w:tc>
          <w:tcPr>
            <w:tcW w:w="5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172,675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292,364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186,026</w:t>
            </w:r>
          </w:p>
        </w:tc>
      </w:tr>
      <w:tr>
        <w:trPr>
          <w:trHeight w:val="20"/>
        </w:trPr>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Reconciliations of expected income tax expense and reported income tax expense on income before income taxes for the years ended December 31, 2025, 2024 and 2023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54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8"/>
                <w:szCs w:val="18"/>
                <w:b w:val="1"/>
                <w:bCs w:val="1"/>
                <w:color w:val="auto"/>
                <w:w w:val="94"/>
              </w:rPr>
              <w:t>Percent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54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8"/>
                <w:szCs w:val="18"/>
                <w:b w:val="1"/>
                <w:bCs w:val="1"/>
                <w:color w:val="auto"/>
                <w:w w:val="94"/>
              </w:rPr>
              <w:t>Percent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50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217,558</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265,379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230,241</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21.00 %</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(21,325)</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(18,064)</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(13,500)</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experimental tax credits</w:t>
            </w:r>
          </w:p>
        </w:tc>
        <w:tc>
          <w:tcPr>
            <w:tcW w:w="16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(11,545)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1,504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(102,330)</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(9.33)%</w:t>
            </w: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nontaxable and nondeductible items</w:t>
            </w: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5,922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(3,931)</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3,558</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0.32 %</w:t>
            </w:r>
          </w:p>
        </w:tc>
      </w:tr>
      <w:tr>
        <w:trPr>
          <w:trHeight w:val="230"/>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income tax (benefit) expense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(21,398)</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47,927</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37,358</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3.41 %</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reserve on uncertain tax positions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3,463</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0.33 %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(451)</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30,699</w:t>
            </w: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2.80 %</w:t>
            </w:r>
          </w:p>
        </w:tc>
      </w:tr>
      <w:tr>
        <w:trPr>
          <w:trHeight w:val="223"/>
        </w:trPr>
        <w:tc>
          <w:tcPr>
            <w:tcW w:w="42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172,675</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16.67 %</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292,364</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23.13 %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186,026</w:t>
            </w: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16.97 %</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60" w:hanging="309"/>
        <w:spacing w:after="0"/>
        <w:tabs>
          <w:tab w:leader="none" w:pos="5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2024 and 2023, the state income tax (benefit) expense was primarily related to the State of New Mexico.</w:t>
      </w:r>
    </w:p>
    <w:p>
      <w:pPr>
        <w:spacing w:after="0" w:line="3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reconciling items related to changes in tax laws or rates enacted in the current period.</w:t>
      </w:r>
    </w:p>
    <w:p>
      <w:pPr>
        <w:spacing w:after="0" w:line="11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2022. The earliest tax year open for examination for the State of Texas tax return is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 — Continued</w:t>
      </w:r>
    </w:p>
    <w:p>
      <w:pPr>
        <w:spacing w:after="0" w:line="200" w:lineRule="exact"/>
        <w:rPr>
          <w:sz w:val="20"/>
          <w:szCs w:val="20"/>
          <w:color w:val="auto"/>
        </w:rPr>
      </w:pPr>
    </w:p>
    <w:p>
      <w:pPr>
        <w:spacing w:after="0" w:line="24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2025, 2024 and 2023, the Company had unrecognized tax benefits (“UTB”) of $37.8 million, $34.3 million and $35.3 million, respectively, as a result of research and experimental expenditures, which would reduce the Company’s effective tax rate in future periods if and when realized. As of December 31, 2025, 2024 and 2023, $31.5 million, $31.1 million and $27.0 million, respectively, of the Company’s UTBs were recorded as other long-term liabilities on the consolidated balance sheets.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Reconciliations of UTBs for the years ended December 31, 2025, 2024 and 2023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period</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35,336</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 tax positions of prior periods</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at end of period</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35,336</w:t>
            </w:r>
          </w:p>
        </w:tc>
      </w:tr>
      <w:tr>
        <w:trPr>
          <w:trHeight w:val="21"/>
        </w:trPr>
        <w:tc>
          <w:tcPr>
            <w:tcW w:w="5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80" w:right="300" w:hanging="329"/>
        <w:spacing w:after="0" w:line="282" w:lineRule="auto"/>
        <w:tabs>
          <w:tab w:leader="none" w:pos="57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2024 and 2023, the UTBs related to U.S. federal taxes were $33.7 million, $30.2 million and $30.7 million, respectively. At each of December 31, 2025 and 2024, the UTBs related to state of Texas taxes were $4.1 million. At December 31, 2023, the UTBs related to state of Texas taxes were $4.6 million.</w:t>
      </w:r>
    </w:p>
    <w:p>
      <w:pPr>
        <w:spacing w:after="0" w:line="315"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8"/>
          <w:szCs w:val="18"/>
          <w:color w:val="auto"/>
        </w:rPr>
        <w:t>The Company’s cash paid for income taxes, net of refunds received during the years ended December 31, 2025, 2024 and 2023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Mexico</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8"/>
        </w:trPr>
        <w:tc>
          <w:tcPr>
            <w:tcW w:w="5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paid for income taxes, net of refunds received</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21" w:lineRule="exact"/>
        <w:rPr>
          <w:sz w:val="20"/>
          <w:szCs w:val="20"/>
          <w:color w:val="auto"/>
        </w:rPr>
      </w:pPr>
    </w:p>
    <w:p>
      <w:pPr>
        <w:ind w:right="340" w:firstLine="445"/>
        <w:spacing w:after="0" w:line="256" w:lineRule="auto"/>
        <w:rPr>
          <w:sz w:val="20"/>
          <w:szCs w:val="20"/>
          <w:color w:val="auto"/>
        </w:rPr>
      </w:pPr>
      <w:r>
        <w:rPr>
          <w:rFonts w:ascii="Times New Roman" w:cs="Times New Roman" w:eastAsia="Times New Roman" w:hAnsi="Times New Roman"/>
          <w:sz w:val="18"/>
          <w:szCs w:val="18"/>
          <w:color w:val="auto"/>
        </w:rPr>
        <w:t>In 2019, the Board adopted and shareholders approved the 2019 Incentive Plan. In 2022, the Board adopted and shareholders approved the first amendment to the 2019 Incentive Plan authorizing an additional 3,725,000 shares of common stock for issuance to employees, directors, contractors or advisors of the Company. As of December 31, 2025, the 2019 Incentive Plan provided for a maximum of 2,902,512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w:t>
      </w:r>
    </w:p>
    <w:p>
      <w:pPr>
        <w:spacing w:after="0" w:line="79" w:lineRule="exact"/>
        <w:rPr>
          <w:sz w:val="20"/>
          <w:szCs w:val="20"/>
          <w:color w:val="auto"/>
        </w:rPr>
      </w:pPr>
    </w:p>
    <w:p>
      <w:pPr>
        <w:ind w:right="140" w:firstLine="445"/>
        <w:spacing w:after="0" w:line="289" w:lineRule="auto"/>
        <w:rPr>
          <w:sz w:val="20"/>
          <w:szCs w:val="20"/>
          <w:color w:val="auto"/>
        </w:rPr>
      </w:pPr>
      <w:r>
        <w:rPr>
          <w:rFonts w:ascii="Times New Roman" w:cs="Times New Roman" w:eastAsia="Times New Roman" w:hAnsi="Times New Roman"/>
          <w:sz w:val="17"/>
          <w:szCs w:val="17"/>
          <w:color w:val="auto"/>
        </w:rPr>
        <w:t>The 2019 Incentive Plan is administered by the independent members of the Board, who, upon recommendation of the Strategic Planning and Compensation Committee of the Board, determine the number of options, restricted shares or other awards to be granted, the effective dates, the terms of the grants and the vesting periods. The Company typically uses newly issued shares of common stock to satisfy option exercises or restricted share grants.</w:t>
      </w:r>
    </w:p>
    <w:p>
      <w:pPr>
        <w:spacing w:after="0" w:line="5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granted both equity-based and liability-based awards under the 2019 Incentive Plan. The fair value of equity-based awards is fixed at the grant date, while the fair value of liability-based awards is remeasured at each reporting period.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 (“ESPP”)</w:t>
      </w:r>
    </w:p>
    <w:p>
      <w:pPr>
        <w:spacing w:after="0" w:line="119" w:lineRule="exact"/>
        <w:rPr>
          <w:sz w:val="20"/>
          <w:szCs w:val="20"/>
          <w:color w:val="auto"/>
        </w:rPr>
      </w:pPr>
    </w:p>
    <w:p>
      <w:pPr>
        <w:ind w:right="500" w:firstLine="445"/>
        <w:spacing w:after="0" w:line="266" w:lineRule="auto"/>
        <w:rPr>
          <w:sz w:val="20"/>
          <w:szCs w:val="20"/>
          <w:color w:val="auto"/>
        </w:rPr>
      </w:pPr>
      <w:r>
        <w:rPr>
          <w:rFonts w:ascii="Times New Roman" w:cs="Times New Roman" w:eastAsia="Times New Roman" w:hAnsi="Times New Roman"/>
          <w:sz w:val="18"/>
          <w:szCs w:val="18"/>
          <w:color w:val="auto"/>
        </w:rPr>
        <w:t>In 2022, the Board adopted and shareholders approved an ESPP, which authorizes a maximum of 4.0 million shares of common stock to be purchased. The purpose of the ESPP is to encourage and enable the Company’s eligible employees to acquire an interest in the Company through the ownership of common stock. At December 31, 2025, the Company had 3,833,110 remaining shares available for issuance under the ESPP.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Restricted Stock Units and Common Stock</w:t>
      </w:r>
    </w:p>
    <w:p>
      <w:pPr>
        <w:spacing w:after="0" w:line="106" w:lineRule="exact"/>
        <w:rPr>
          <w:sz w:val="20"/>
          <w:szCs w:val="20"/>
          <w:color w:val="auto"/>
        </w:rPr>
      </w:pPr>
    </w:p>
    <w:p>
      <w:pPr>
        <w:jc w:val="both"/>
        <w:ind w:right="320" w:firstLine="445"/>
        <w:spacing w:after="0" w:line="272" w:lineRule="auto"/>
        <w:rPr>
          <w:sz w:val="20"/>
          <w:szCs w:val="20"/>
          <w:color w:val="auto"/>
        </w:rPr>
      </w:pPr>
      <w:r>
        <w:rPr>
          <w:rFonts w:ascii="Times New Roman" w:cs="Times New Roman" w:eastAsia="Times New Roman" w:hAnsi="Times New Roman"/>
          <w:sz w:val="17"/>
          <w:szCs w:val="17"/>
          <w:color w:val="auto"/>
        </w:rPr>
        <w:t>The Company has granted stock, restricted stock and restricted stock unit awards to employees, consultants, outside directors and advisors of the Company under the 2019 Incentive Plan. The stock and restricted stock are issued upon grant, with the restrictions, if any, being removed upon vesting. The equity-based restricted stock units are issued upon vesting, unless the recipient makes an election to defer issuance for a set term after vesting.</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Liability-based restricted stock units are settled in cash upon vesting. Restricted stock and restricted stock units granted in 2025, 2024 and 2023 were service-based awards, which will settle in cash or equity, and vest over a one-year to three-year period. Performance-based restricted stock units granted in 2025 and 2024 vest in an amount between zero and 200% of the target units granted based on the Company’s relative total shareholder return over the three-year periods ending December 31, 2027 and 2026, respectively, as compared to a designated peer group, and will be settled in equity.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Equity-Based</w:t>
      </w:r>
    </w:p>
    <w:p>
      <w:pPr>
        <w:spacing w:after="0" w:line="173"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A summary of the non-vested equity-based restricted stock and restricted stock units as of December 31, 2025 is presented below (in thousands, except fair value).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top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Service Based</w:t>
            </w:r>
          </w:p>
        </w:tc>
        <w:tc>
          <w:tcPr>
            <w:tcW w:w="120" w:type="dxa"/>
            <w:vAlign w:val="bottom"/>
          </w:tcPr>
          <w:p>
            <w:pPr>
              <w:spacing w:after="0"/>
              <w:rPr>
                <w:sz w:val="19"/>
                <w:szCs w:val="19"/>
                <w:color w:val="auto"/>
              </w:rPr>
            </w:pPr>
          </w:p>
        </w:tc>
        <w:tc>
          <w:tcPr>
            <w:tcW w:w="2420" w:type="dxa"/>
            <w:vAlign w:val="bottom"/>
            <w:tcBorders>
              <w:top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Service Based</w:t>
            </w:r>
          </w:p>
        </w:tc>
        <w:tc>
          <w:tcPr>
            <w:tcW w:w="230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Performance Based</w:t>
            </w:r>
          </w:p>
        </w:tc>
        <w:tc>
          <w:tcPr>
            <w:tcW w:w="0" w:type="dxa"/>
            <w:vAlign w:val="bottom"/>
          </w:tcPr>
          <w:p>
            <w:pPr>
              <w:spacing w:after="0"/>
              <w:rPr>
                <w:sz w:val="1"/>
                <w:szCs w:val="1"/>
                <w:color w:val="auto"/>
              </w:rPr>
            </w:pPr>
          </w:p>
        </w:tc>
      </w:tr>
      <w:tr>
        <w:trPr>
          <w:trHeight w:val="174"/>
        </w:trPr>
        <w:tc>
          <w:tcPr>
            <w:tcW w:w="4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and</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4120" w:type="dxa"/>
            <w:vAlign w:val="bottom"/>
            <w:gridSpan w:val="2"/>
            <w:vMerge w:val="continue"/>
          </w:tcPr>
          <w:p>
            <w:pPr>
              <w:spacing w:after="0"/>
              <w:rPr>
                <w:sz w:val="15"/>
                <w:szCs w:val="15"/>
                <w:color w:val="auto"/>
              </w:rPr>
            </w:pP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5"/>
                <w:szCs w:val="15"/>
                <w:color w:val="auto"/>
              </w:rPr>
            </w:pPr>
          </w:p>
        </w:tc>
        <w:tc>
          <w:tcPr>
            <w:tcW w:w="10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23</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20" w:type="dxa"/>
            <w:vAlign w:val="bottom"/>
          </w:tcPr>
          <w:p>
            <w:pPr>
              <w:spacing w:after="0"/>
              <w:rPr>
                <w:sz w:val="19"/>
                <w:szCs w:val="19"/>
                <w:color w:val="auto"/>
              </w:rPr>
            </w:pPr>
          </w:p>
        </w:tc>
        <w:tc>
          <w:tcPr>
            <w:tcW w:w="1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38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00" w:right="360" w:hanging="330"/>
        <w:spacing w:after="0" w:line="282" w:lineRule="auto"/>
        <w:tabs>
          <w:tab w:leader="none" w:pos="49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6, 2026 upon certification by the Board, 106,500 of the performance-based awards that were granted in 2023 vested. The vested units earned 58% for each vested award representing 61,770 aggregate shares of common stock, which were issued on January 6, 2026.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1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Liability-Based</w:t>
            </w:r>
          </w:p>
        </w:tc>
        <w:tc>
          <w:tcPr>
            <w:tcW w:w="1100" w:type="dxa"/>
            <w:vAlign w:val="bottom"/>
          </w:tcPr>
          <w:p>
            <w:pPr>
              <w:spacing w:after="0"/>
              <w:rPr>
                <w:sz w:val="20"/>
                <w:szCs w:val="20"/>
                <w:color w:val="auto"/>
              </w:rPr>
            </w:pPr>
          </w:p>
        </w:tc>
      </w:tr>
      <w:tr>
        <w:trPr>
          <w:trHeight w:val="378"/>
        </w:trPr>
        <w:tc>
          <w:tcPr>
            <w:tcW w:w="10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summary of the non-vested liability-based restricted stock units as of December 31, 2025 is presented below (in thousands).</w:t>
            </w:r>
          </w:p>
        </w:tc>
        <w:tc>
          <w:tcPr>
            <w:tcW w:w="1100" w:type="dxa"/>
            <w:vAlign w:val="bottom"/>
          </w:tcPr>
          <w:p>
            <w:pPr>
              <w:spacing w:after="0"/>
              <w:rPr>
                <w:sz w:val="24"/>
                <w:szCs w:val="24"/>
                <w:color w:val="auto"/>
              </w:rPr>
            </w:pPr>
          </w:p>
        </w:tc>
      </w:tr>
      <w:tr>
        <w:trPr>
          <w:trHeight w:val="351"/>
        </w:trPr>
        <w:tc>
          <w:tcPr>
            <w:tcW w:w="10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units</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10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10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10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10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10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settled 220,669, 222,948 and 378,852 liability-based awards, respectively, for $11.2 million, $13.4 million and $20.5 million in cash, respectively.</w:t>
      </w:r>
    </w:p>
    <w:p>
      <w:pPr>
        <w:spacing w:after="0" w:line="10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2025, the aggregate intrinsic value for the restricted stock and restricted stock units outstanding was $94.7 million, of which $30.6 million is expected to be settled in cash as calculated based on the maximum number of shares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 —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vesting, based on the closing price of Matador’s common stock on the appropriate date under the 2019 Incentive Plan.</w:t>
      </w:r>
    </w:p>
    <w:p>
      <w:pPr>
        <w:spacing w:after="0" w:line="171"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2025, the total remaining unrecognized compensation expense related to unvested restricted stock and restricted stock units was approximately $67.5 million, of which $21.1 million is expected to be settled in cash. In accordance with the 2019 Incentive Plan, cash settlements are valued on the closing price of Matador’s common stock on the trading day prior to vesting. The weighted average remaining requisite service period (vesting period) of all non-vested restricted stock and restricted stock units was 1.8 years.</w:t>
      </w:r>
    </w:p>
    <w:p>
      <w:pPr>
        <w:spacing w:after="0" w:line="72"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vested during 2025, 2024 and 2023 was $41.0 million, $29.4 million and $64.8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7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total expense attributable to restricted stock and restricted stock units was $39.8 million, $37.3 million and $33.0 million, respectively. During the years ended December 31, 2025, 2024 and 2023, the Company capitalized $13.3 million, $11.8 million and $7.4 million, respectively, related to stock-based compensation and expensed the remaining $26.5 million, $25.5 million and $25.6 million, respectively.</w:t>
      </w:r>
    </w:p>
    <w:p>
      <w:pPr>
        <w:spacing w:after="0" w:line="7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total tax benefit recognized for all stock-based compensation was $8.5 million, $8.0 million and $7.0 million for the years ended December 31, 2025,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EMPLOYEE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401(k) Plan</w:t>
      </w:r>
    </w:p>
    <w:p>
      <w:pPr>
        <w:spacing w:after="0" w:line="11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$2.9 million, $2.6 million and $2.2 million in 2025, 2024 and 2023, respectively. In addition, each year, the Company may make a discretionary matching contribution, as well as additional contributions. The Company’s discretionary matching contributions totaled $3.7 million, $3.3 million and $2.8 million in 2025, 2024 and 2023, respectively. The Company made no additional contributions in any reporting period presented.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Offering</w:t>
      </w:r>
    </w:p>
    <w:p>
      <w:pPr>
        <w:spacing w:after="0" w:line="119" w:lineRule="exact"/>
        <w:rPr>
          <w:sz w:val="20"/>
          <w:szCs w:val="20"/>
          <w:color w:val="auto"/>
        </w:rPr>
      </w:pPr>
    </w:p>
    <w:p>
      <w:pPr>
        <w:ind w:right="120" w:firstLine="405"/>
        <w:spacing w:after="0" w:line="289" w:lineRule="auto"/>
        <w:rPr>
          <w:sz w:val="20"/>
          <w:szCs w:val="20"/>
          <w:color w:val="auto"/>
        </w:rPr>
      </w:pPr>
      <w:r>
        <w:rPr>
          <w:rFonts w:ascii="Times New Roman" w:cs="Times New Roman" w:eastAsia="Times New Roman" w:hAnsi="Times New Roman"/>
          <w:sz w:val="17"/>
          <w:szCs w:val="17"/>
          <w:color w:val="auto"/>
        </w:rPr>
        <w:t>On March 28, 2024, the Company completed an underwritten public offering of 5,250,000 shares of its common stock. After deducting underwriting discounts and offering expenses, the Company received net proceeds of approximately $342.1 million. The net proceeds from this offering were used for general corporate purposes, including the funding of acquisitions and the repayment of borrowings outstanding under the Credit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Board declared a quarterly cash dividend of $0.3125 per share of common stock in each of the first, second and third quarters of 2025. The first quarter dividend, which totaled $39.2 million, was paid on March 14, 2025 to shareholders of record as of February 28, 2025. The second quarter dividend, which totaled $39.0 million, was paid on June 6, 2025 to shareholders of record as of May 9, 2025. The third quarter dividend, which totaled $38.7 million, was paid on September 5, 2025 to shareholders of record as of August 15, 2025. On October 15, 2025, the Board amended the Company’s dividend policy to increase the quarterly dividend to $0.375 per share of common stock for future dividend payments and also declared a quarterly cash dividend of $0.375 per share of common stock. The fourth quarter dividend, which totaled $46.2 million, was paid on December 5, 2025 to shareholders of record as of November 10, 2025.</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Board declared a quarterly cash dividend of $0.20 per share of common stock in each of the first, second and third quarters of 2024 and the Board declared a quarterly cash dividend of $0.25 per share of common stock in the fourth quarter of 2024.</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cash dividends declared and paid totaled $163.1 million and $104.9 million, respectively, during the years ended December 31, 2025 and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April 16, 2025, the Board approved a share repurchase program (the “Share Repurchase Program”) authorizing the repurchase of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 million of common stock. These repurchases may be conducted through a variety of methods, including open market purchases, 10b5-1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privately negotiated transactions or other means.</w:t>
      </w:r>
    </w:p>
    <w:p>
      <w:pPr>
        <w:spacing w:after="0" w:line="9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1,351,328 shares of common stock under the Share Repurchase Program at a weighted average price of $41.31 per common share for a total cost of $55.8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Treasury Stock</w:t>
      </w:r>
    </w:p>
    <w:p>
      <w:pPr>
        <w:spacing w:after="0" w:line="11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On October 15, 2025, October 17, 2024 and October 19, 2023, the Board canceled all of the shares of treasury stock outstanding as of September 30, 2025, 2024 and 2023, respectively. These shares were restored to the status of authorized but unissued shares of common stock of the Company.</w:t>
      </w:r>
    </w:p>
    <w:p>
      <w:pPr>
        <w:spacing w:after="0" w:line="54"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The shares of treasury stock outstanding at December 31, 2025, 2024 and 2023 represent shares traded by employees to cover taxes on vested restricted stock awards and forfeitures of unvested restricted stock awards.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11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Formation authorizes 2,000,000 shares of preferred stock. Before any such shares are issued, the Board shall fix and determine the designations, preferences, limitations and relative rights, including voting rights of the shares of each such series. There are no shares of preferred stock outstanding.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San Mateo distributed $136.7 million, $321.2 million and $81.4 million, respectively, to the Company and $131.3 million, $97.5 million and $78.3 million, respectively, to Five Point, the Company’s joint venture partner in San Mateo.</w:t>
      </w:r>
    </w:p>
    <w:p>
      <w:pPr>
        <w:spacing w:after="0" w:line="54"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neither the Company nor Five Point contributed cash to San Mateo. During the years ended December 31, 2024 and 2023, the Company contributed $19.9 million and $25.5 million, respectively, and Five Point contributed $190.6 million and $24.5 million, respectively, of cash to San Mateo.</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San Mateo’s 2024 distributions to the Company included a special distribution of approximately $219.8 million, of which $171.5 million represented a special contribution by Five Point recorded within the Company’s statement of changes in shareholders’ equity in connection with the Pronto Transaction. San Mateo’s remaining special distribution to the Company of $48.3 million represented a reimbursement of certain capital expenditures for the expansion of the Marlan Processing Plant that were previously funded by Matador. See Note 6 for additional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As part of the joint venture with Five Point, the Company has the potential to earn performance incentives. During the years ended December 31, 2025, 2024 and 2023, Five Point paid the Company $13.0 million, $23.8 million and $38.2 million, respectively, in performance incentives, which were recorded when received in “Additional paid-in-capital” in the Company’s consolidated balance sheets, net of $2.7 million, $5.0 million and $8.0 million of deferred tax impacts, for the years ended December 31, 2025, 2024 and 2023, respectively. Through April 1, 2029, the Company has the potential to earn an additional $60.7 million of performance incentives.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12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income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84"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various costless collar contracts open and in place to mitigate its exposure to oil price volatility, each with an established price floor and ceiling. At December 31, 2025, the Company had natural gas basis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 — Continued</w:t>
      </w:r>
    </w:p>
    <w:p>
      <w:pPr>
        <w:spacing w:after="0" w:line="200" w:lineRule="exact"/>
        <w:rPr>
          <w:sz w:val="20"/>
          <w:szCs w:val="20"/>
          <w:color w:val="auto"/>
        </w:rPr>
      </w:pPr>
    </w:p>
    <w:p>
      <w:pPr>
        <w:spacing w:after="0" w:line="24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differential swap contracts open and in place to mitigate its exposure to natural gas price volatility, with a specific term (calculation period), notional quantity (volume hedged) and fixed price. The Company had no open contracts associated with NGL prices at December 31, 2025.</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at December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0" w:type="dxa"/>
            <w:vAlign w:val="bottom"/>
          </w:tcPr>
          <w:p>
            <w:pPr>
              <w:spacing w:after="0"/>
              <w:rPr>
                <w:sz w:val="16"/>
                <w:szCs w:val="16"/>
                <w:color w:val="auto"/>
              </w:rPr>
            </w:pPr>
          </w:p>
        </w:tc>
        <w:tc>
          <w:tcPr>
            <w:tcW w:w="12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Notional Quantity</w:t>
            </w:r>
          </w:p>
        </w:tc>
        <w:tc>
          <w:tcPr>
            <w:tcW w:w="200" w:type="dxa"/>
            <w:vAlign w:val="bottom"/>
          </w:tcPr>
          <w:p>
            <w:pPr>
              <w:spacing w:after="0"/>
              <w:rPr>
                <w:sz w:val="15"/>
                <w:szCs w:val="15"/>
                <w:color w:val="auto"/>
              </w:rPr>
            </w:pPr>
          </w:p>
        </w:tc>
        <w:tc>
          <w:tcPr>
            <w:tcW w:w="13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Floor</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Ceiling</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1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($/Bbl or</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($/Bbl or</w:t>
            </w: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Asset (Liability)</w:t>
            </w:r>
          </w:p>
        </w:tc>
        <w:tc>
          <w:tcPr>
            <w:tcW w:w="0" w:type="dxa"/>
            <w:vAlign w:val="bottom"/>
          </w:tcPr>
          <w:p>
            <w:pPr>
              <w:spacing w:after="0"/>
              <w:rPr>
                <w:sz w:val="1"/>
                <w:szCs w:val="1"/>
                <w:color w:val="auto"/>
              </w:rPr>
            </w:pPr>
          </w:p>
        </w:tc>
      </w:tr>
      <w:tr>
        <w:trPr>
          <w:trHeight w:val="229"/>
        </w:trPr>
        <w:tc>
          <w:tcPr>
            <w:tcW w:w="2440" w:type="dxa"/>
            <w:vAlign w:val="bottom"/>
            <w:gridSpan w:val="2"/>
            <w:vMerge w:val="continue"/>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(Bbl or MMBtu)</w:t>
            </w: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8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01/01/2026 - 12/31/2026</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280" w:type="dxa"/>
            <w:vAlign w:val="bottom"/>
            <w:tcBorders>
              <w:bottom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01/01/2026 - 12/31/2026</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54,750,000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Company’s open basis differential swap contracts at December 31, 2025.</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60" w:type="dxa"/>
            <w:vAlign w:val="bottom"/>
          </w:tcPr>
          <w:p>
            <w:pPr>
              <w:spacing w:after="0"/>
              <w:rPr>
                <w:sz w:val="17"/>
                <w:szCs w:val="17"/>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 of Asset</w:t>
            </w:r>
          </w:p>
        </w:tc>
        <w:tc>
          <w:tcPr>
            <w:tcW w:w="0" w:type="dxa"/>
            <w:vAlign w:val="bottom"/>
          </w:tcPr>
          <w:p>
            <w:pPr>
              <w:spacing w:after="0"/>
              <w:rPr>
                <w:sz w:val="1"/>
                <w:szCs w:val="1"/>
                <w:color w:val="auto"/>
              </w:rPr>
            </w:pPr>
          </w:p>
        </w:tc>
      </w:tr>
      <w:tr>
        <w:trPr>
          <w:trHeight w:val="243"/>
        </w:trPr>
        <w:tc>
          <w:tcPr>
            <w:tcW w:w="302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280" w:type="dxa"/>
            <w:vAlign w:val="bottom"/>
          </w:tcPr>
          <w:p>
            <w:pPr>
              <w:spacing w:after="0"/>
              <w:rPr>
                <w:sz w:val="21"/>
                <w:szCs w:val="21"/>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 (thousands)</w:t>
            </w:r>
          </w:p>
        </w:tc>
        <w:tc>
          <w:tcPr>
            <w:tcW w:w="0" w:type="dxa"/>
            <w:vAlign w:val="bottom"/>
          </w:tcPr>
          <w:p>
            <w:pPr>
              <w:spacing w:after="0"/>
              <w:rPr>
                <w:sz w:val="1"/>
                <w:szCs w:val="1"/>
                <w:color w:val="auto"/>
              </w:rPr>
            </w:pPr>
          </w:p>
        </w:tc>
      </w:tr>
      <w:tr>
        <w:trPr>
          <w:trHeight w:val="22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Basis Differential</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01/01/2026 - 12/31/2026</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0" w:type="dxa"/>
            <w:vAlign w:val="bottom"/>
          </w:tcPr>
          <w:p>
            <w:pPr>
              <w:spacing w:after="0"/>
              <w:rPr>
                <w:sz w:val="1"/>
                <w:szCs w:val="1"/>
                <w:color w:val="auto"/>
              </w:rPr>
            </w:pPr>
          </w:p>
        </w:tc>
      </w:tr>
      <w:tr>
        <w:trPr>
          <w:trHeight w:val="223"/>
        </w:trPr>
        <w:tc>
          <w:tcPr>
            <w:tcW w:w="5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open basis differential swap contracts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 — Continued</w:t>
      </w:r>
    </w:p>
    <w:p>
      <w:pPr>
        <w:spacing w:after="0" w:line="200" w:lineRule="exact"/>
        <w:rPr>
          <w:sz w:val="20"/>
          <w:szCs w:val="20"/>
          <w:color w:val="auto"/>
        </w:rPr>
      </w:pPr>
    </w:p>
    <w:p>
      <w:pPr>
        <w:spacing w:after="0" w:line="245"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asset and liability fair values of the Company’s commodity price derivative financial instruments and the location of these balances in the consolidated balance sheets as of December 31, 2025 and December 31, 2024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76"/>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7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balance</w:t>
            </w:r>
          </w:p>
        </w:tc>
        <w:tc>
          <w:tcPr>
            <w:tcW w:w="16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balance</w:t>
            </w:r>
          </w:p>
        </w:tc>
        <w:tc>
          <w:tcPr>
            <w:tcW w:w="0" w:type="dxa"/>
            <w:vAlign w:val="bottom"/>
          </w:tcPr>
          <w:p>
            <w:pPr>
              <w:spacing w:after="0"/>
              <w:rPr>
                <w:sz w:val="1"/>
                <w:szCs w:val="1"/>
                <w:color w:val="auto"/>
              </w:rPr>
            </w:pPr>
          </w:p>
        </w:tc>
      </w:tr>
      <w:tr>
        <w:trPr>
          <w:trHeight w:val="243"/>
        </w:trPr>
        <w:tc>
          <w:tcPr>
            <w:tcW w:w="6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sheets</w:t>
            </w:r>
          </w:p>
        </w:tc>
        <w:tc>
          <w:tcPr>
            <w:tcW w:w="160" w:type="dxa"/>
            <w:vAlign w:val="bottom"/>
          </w:tcPr>
          <w:p>
            <w:pPr>
              <w:spacing w:after="0"/>
              <w:rPr>
                <w:sz w:val="21"/>
                <w:szCs w:val="21"/>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57,450</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consolidated statements of income for the periods presented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40" w:type="dxa"/>
            <w:vAlign w:val="bottom"/>
            <w:tcBorders>
              <w:bottom w:val="single" w:sz="8" w:color="auto"/>
            </w:tcBorders>
          </w:tcPr>
          <w:p>
            <w:pPr>
              <w:spacing w:after="0"/>
              <w:rPr>
                <w:sz w:val="20"/>
                <w:szCs w:val="20"/>
                <w:color w:val="auto"/>
              </w:rPr>
            </w:pPr>
          </w:p>
        </w:tc>
      </w:tr>
      <w:tr>
        <w:trPr>
          <w:trHeight w:val="25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43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Location in Statements of Income</w:t>
            </w:r>
          </w:p>
        </w:tc>
        <w:tc>
          <w:tcPr>
            <w:tcW w:w="28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20" w:type="dxa"/>
            <w:vAlign w:val="bottom"/>
            <w:tcBorders>
              <w:top w:val="single" w:sz="8" w:color="CCEEFF"/>
            </w:tcBorders>
            <w:shd w:val="clear" w:color="auto" w:fill="CCEEFF"/>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Natural Gas</w:t>
            </w:r>
          </w:p>
        </w:tc>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gain (loss) on derivatives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21,679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23"/>
        </w:trPr>
        <w:tc>
          <w:tcPr>
            <w:tcW w:w="3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30"/>
        </w:trPr>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Oil</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(loss) gain on derivatives</w:t>
            </w:r>
          </w:p>
        </w:tc>
        <w:tc>
          <w:tcPr>
            <w:tcW w:w="28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Natural Gas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gain (loss) on derivatives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336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4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18,084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48"/>
        </w:trPr>
        <w:tc>
          <w:tcPr>
            <w:tcW w:w="336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200" w:lineRule="exact"/>
        <w:rPr>
          <w:sz w:val="20"/>
          <w:szCs w:val="20"/>
          <w:color w:val="auto"/>
        </w:rPr>
      </w:pPr>
    </w:p>
    <w:p>
      <w:pPr>
        <w:spacing w:after="0" w:line="23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December 31, 2025 and 2024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2025 using</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30"/>
        </w:trPr>
        <w:tc>
          <w:tcPr>
            <w:tcW w:w="7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 costless collars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30"/>
        </w:trPr>
        <w:tc>
          <w:tcPr>
            <w:tcW w:w="7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costless collars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30"/>
        </w:trPr>
        <w:tc>
          <w:tcPr>
            <w:tcW w:w="7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r>
      <w:tr>
        <w:trPr>
          <w:trHeight w:val="248"/>
        </w:trPr>
        <w:tc>
          <w:tcPr>
            <w:tcW w:w="702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2024 using</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30"/>
        </w:trPr>
        <w:tc>
          <w:tcPr>
            <w:tcW w:w="7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 costless collars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29"/>
        </w:trPr>
        <w:tc>
          <w:tcPr>
            <w:tcW w:w="7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r>
      <w:tr>
        <w:trPr>
          <w:trHeight w:val="223"/>
        </w:trPr>
        <w:tc>
          <w:tcPr>
            <w:tcW w:w="7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r>
      <w:tr>
        <w:trPr>
          <w:trHeight w:val="21"/>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12.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carrying values reported on the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68"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 Continued</w:t>
      </w:r>
    </w:p>
    <w:p>
      <w:pPr>
        <w:spacing w:after="0" w:line="200" w:lineRule="exact"/>
        <w:rPr>
          <w:sz w:val="20"/>
          <w:szCs w:val="20"/>
          <w:color w:val="auto"/>
        </w:rPr>
      </w:pPr>
    </w:p>
    <w:p>
      <w:pPr>
        <w:spacing w:after="0" w:line="245"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carrying value and fair value of outstanding senior unsecured notes at December 31, 2025 and 2024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80" w:type="dxa"/>
            <w:vAlign w:val="bottom"/>
          </w:tcPr>
          <w:p>
            <w:pPr>
              <w:spacing w:after="0"/>
              <w:rPr>
                <w:sz w:val="20"/>
                <w:szCs w:val="20"/>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15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2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80" w:type="dxa"/>
            <w:vAlign w:val="bottom"/>
          </w:tcPr>
          <w:p>
            <w:pPr>
              <w:spacing w:after="0"/>
              <w:rPr>
                <w:sz w:val="14"/>
                <w:szCs w:val="14"/>
                <w:color w:val="auto"/>
              </w:rPr>
            </w:pPr>
          </w:p>
        </w:tc>
        <w:tc>
          <w:tcPr>
            <w:tcW w:w="14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40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2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505,380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914,265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890,667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 Notes</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 Company recorded no material impairments to its lease and well equipment inventory or other property and equipment in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$85.8 million and $68.3 million for deliveries under these agreements during the years ended December 31, 2025 and 2024, respectively. Certain of these agreements contain minimum volume commitments, including agreements with Northwind that were entered into in connection with the Pronto Transaction in 2024 (see Note 6 for additional details), as well as contracts related to firm transportation on Energy Transfer’s Hugh Brinson Pipeline. If the Company does not meet the minimum volume commitments under these agreements, it will be required to pay deficiency fees. If the Company ceased operations in the areas subject to these agreements at December 31, 2025, the total deficiencies required to be paid by the Company under these agreements would be approximately $2.32 billion.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 dedicated to San Mateo its current and certain future leasehold interests in the Rustler Breaks asset area and the Wolf portion of the West Texas asset area and acreage in the southern portion of its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In connection with the Pronto Transaction, the Company also dedicated to San Mateo certain of its current and future leasehold interests in the Ranger and Antelope Ridge asset areas pursuant to 15-year, fixed-fee natural gas gathering, compression, treating and processing agreements (collectively with the transportation, gathering, produced water disposal and natural gas processing agreements, the “Operational Agreements”). San Mateo provides the Company with firm service under each of the Operational Agreements in exchange for certain minimum volume commitments. See Note 6 for additional details. The remaining minimum contractual obligation under the Operational Agreements at December 31, 2025 was approximately $743.9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119"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$22.6 million at December 31,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 — Continued</w:t>
      </w:r>
    </w:p>
    <w:p>
      <w:pPr>
        <w:spacing w:after="0" w:line="200" w:lineRule="exact"/>
        <w:rPr>
          <w:sz w:val="20"/>
          <w:szCs w:val="20"/>
          <w:color w:val="auto"/>
        </w:rPr>
      </w:pPr>
    </w:p>
    <w:p>
      <w:pPr>
        <w:spacing w:after="0" w:line="24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outstanding commitments to participate in the drilling and completion of various non-operated wells. If all of these wells are drilled and completed as proposed, the Company’s undiscounted minimum outstanding aggregate commitments for its participation in these non-operated wells were approximately $79.0 million at December 31, 2025. The Company expects these costs to be incurred within the next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SUPPLEMENTAL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Payable and Accrued Liabilities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Company’s current accounts payable and accrued liabilities at December 31, 2025 and 2024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9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147,139</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197,817</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92,364</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34,769</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41,614</w:t>
            </w: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31,595</w:t>
            </w: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25,831</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619,167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years ended December 31, 2025, 2024 and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mineral properties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midstream properties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drilling, completion and equipping 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liabilities for acquisition of oil and natural gas properties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midstream 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liability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inventory (to) from oil and natural gas properties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859"/>
        </w:trPr>
        <w:tc>
          <w:tcPr>
            <w:tcW w:w="81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F-37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8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SUPPLEMENTAL DISCLOSURES</w:t>
      </w:r>
    </w:p>
    <w:p>
      <w:pPr>
        <w:spacing w:after="0" w:line="200" w:lineRule="exact"/>
        <w:rPr>
          <w:sz w:val="20"/>
          <w:szCs w:val="20"/>
          <w:color w:val="auto"/>
        </w:rPr>
      </w:pPr>
    </w:p>
    <w:p>
      <w:pPr>
        <w:spacing w:after="0" w:line="245"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consolidated balance sheets to cash and restricted cash as presented on the consolidated statements of cash flows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53,636</w:t>
            </w: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has two reportable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w:t>
      </w:r>
    </w:p>
    <w:p>
      <w:pPr>
        <w:spacing w:after="0" w:line="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the payment of dividends and repurchases of common stock.</w:t>
      </w:r>
    </w:p>
    <w:p>
      <w:pPr>
        <w:spacing w:after="0" w:line="68"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60" w:type="dxa"/>
            <w:vAlign w:val="bottom"/>
          </w:tcPr>
          <w:p>
            <w:pPr>
              <w:spacing w:after="0"/>
              <w:rPr>
                <w:sz w:val="18"/>
                <w:szCs w:val="18"/>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3,238,750</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(385,132)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164,733</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253,031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(172,475)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623,952</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(212,657)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1,845,783</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1,064,891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278,269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(116,618)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1,226,542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9,737,486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1,833,673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139,410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11,710,569</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480" w:hanging="310"/>
        <w:spacing w:after="0"/>
        <w:tabs>
          <w:tab w:leader="none" w:pos="4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 includes lease operating expense for the exploration and production segment and midstream operating expense for the midstream segment.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 — Continued</w:t>
      </w:r>
    </w:p>
    <w:p>
      <w:pPr>
        <w:spacing w:after="0" w:line="200" w:lineRule="exact"/>
        <w:rPr>
          <w:sz w:val="20"/>
          <w:szCs w:val="20"/>
          <w:color w:val="auto"/>
        </w:rPr>
      </w:pPr>
    </w:p>
    <w:p>
      <w:pPr>
        <w:spacing w:after="0" w:line="241" w:lineRule="exact"/>
        <w:rPr>
          <w:sz w:val="20"/>
          <w:szCs w:val="20"/>
          <w:color w:val="auto"/>
        </w:rPr>
      </w:pPr>
    </w:p>
    <w:p>
      <w:pPr>
        <w:ind w:left="500" w:right="160" w:hanging="330"/>
        <w:spacing w:after="0" w:line="281" w:lineRule="auto"/>
        <w:tabs>
          <w:tab w:leader="none" w:pos="49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$1.14 billion and $57.4 million for the exploration and production and midstream segments, respectively. Also includes corporate depletion, depreciation and amortization expenses of $1.6 million. Other expenses for each reportable segment also includes (i) transportation and processing, (ii) general and administrative expenses, (iii) accretion of asset retirement obligations, (iv) purchased natural gas and (v) taxes other than income.</w:t>
      </w:r>
    </w:p>
    <w:p>
      <w:pPr>
        <w:spacing w:after="0" w:line="5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$101.5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500" w:right="60" w:hanging="330"/>
        <w:spacing w:after="0" w:line="302" w:lineRule="auto"/>
        <w:tabs>
          <w:tab w:leader="none" w:pos="49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$339.2 million attributable to land and seismic acquisition expenditures related to the exploration and production segment and $118.4 million in capital expenditures attributable to non-controlling interest in subsidiaries related to the midstream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3,129,598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3,143,834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(312,437)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194,097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(163,362)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1,386,821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(149,075)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1,577,738</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1,302,479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245,993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(113,774)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1,434,698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9,117,095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1,613,936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119,078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10,850,109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3,906,549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80" w:hanging="310"/>
        <w:spacing w:after="0"/>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 includes lease operating expense for the exploration and production segment and midstream operating expense for the midstream segment.</w:t>
      </w:r>
    </w:p>
    <w:p>
      <w:pPr>
        <w:spacing w:after="0" w:line="122" w:lineRule="exact"/>
        <w:rPr>
          <w:rFonts w:ascii="Times New Roman" w:cs="Times New Roman" w:eastAsia="Times New Roman" w:hAnsi="Times New Roman"/>
          <w:sz w:val="14"/>
          <w:szCs w:val="14"/>
          <w:color w:val="auto"/>
        </w:rPr>
      </w:pPr>
    </w:p>
    <w:p>
      <w:pPr>
        <w:jc w:val="both"/>
        <w:ind w:left="500" w:right="160" w:hanging="330"/>
        <w:spacing w:after="0" w:line="281" w:lineRule="auto"/>
        <w:tabs>
          <w:tab w:leader="none" w:pos="49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$929.0 million and $43.9 million for the exploration and production and midstream segments, respectively. Also includes corporate depletion, depreciation and amortization expenses of $1.4 million. Other expenses for each reportable segment also includes (i) transportation and processing, (ii) general and administrative expenses, (iii) accretion of asset retirement obligations, (iv) purchased natural gas and (v) taxes other than income.</w:t>
      </w:r>
    </w:p>
    <w:p>
      <w:pPr>
        <w:spacing w:after="0" w:line="5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$86.0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500" w:right="180" w:hanging="330"/>
        <w:spacing w:after="0" w:line="302" w:lineRule="auto"/>
        <w:tabs>
          <w:tab w:leader="none" w:pos="49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 billion attributable to land and seismic acquisition expenditures related to the exploration and production segment, $236.2 million in midstream acquisition expenditures and $29.5 million in capital expenditures attributable to non-controlling interest in subsidiaries related to the midstream segment.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2025, 2024 and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2,538,813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2,545,599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(224,780)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(115,134)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356,542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1,070,302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(109,646)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1,240,921</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1,133,541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175,143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(99,362)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1,209,322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6,385,762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1,257,988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83,246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7,726,996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3,228,259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80" w:hanging="310"/>
        <w:spacing w:after="0"/>
        <w:tabs>
          <w:tab w:leader="none" w:pos="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 includes lease operating expense for the exploration and production segment and midstream operating expense for the midstream segment.</w:t>
      </w:r>
    </w:p>
    <w:p>
      <w:pPr>
        <w:spacing w:after="0" w:line="122" w:lineRule="exact"/>
        <w:rPr>
          <w:rFonts w:ascii="Times New Roman" w:cs="Times New Roman" w:eastAsia="Times New Roman" w:hAnsi="Times New Roman"/>
          <w:sz w:val="14"/>
          <w:szCs w:val="14"/>
          <w:color w:val="auto"/>
        </w:rPr>
      </w:pPr>
    </w:p>
    <w:p>
      <w:pPr>
        <w:jc w:val="both"/>
        <w:ind w:left="500" w:right="160" w:hanging="330"/>
        <w:spacing w:after="0" w:line="281" w:lineRule="auto"/>
        <w:tabs>
          <w:tab w:leader="none" w:pos="49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$675.0 million and $40.4 million for the exploration and production and midstream segments, respectively. Also includes corporate depletion, depreciation and amortization expenses of $1.3 million. Other expenses for each reportable segment also includes (i) transportation and processing, (ii) general and administrative expenses, (iii) accretion of asset retirement obligations (iv) purchased natural gas and (v) taxes other than income.</w:t>
      </w:r>
    </w:p>
    <w:p>
      <w:pPr>
        <w:spacing w:after="0" w:line="69"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$64.3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500" w:right="260" w:hanging="330"/>
        <w:spacing w:after="0" w:line="302" w:lineRule="auto"/>
        <w:tabs>
          <w:tab w:leader="none" w:pos="49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$1.81 billion attributable to land and seismic acquisition expenditures related to the exploration and production segment, $63.6 million in midstream acquisition expenditures and $42.2 million in capital expenditures attributable to non-controlling interest in subsidiaries related to the midstream segment.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Costs Incurred</w:t>
      </w:r>
    </w:p>
    <w:p>
      <w:pPr>
        <w:spacing w:after="0" w:line="1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costs incurred and capitalized by the Company in the acquisition, exploration and development of oil and natural gas properties for the years ended December 31, 2025, 2024 and 2023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74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Proved</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1,478,258</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Unproved and unevaluated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230,712</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966,338</w:t>
            </w:r>
          </w:p>
        </w:tc>
      </w:tr>
      <w:tr>
        <w:trPr>
          <w:trHeight w:val="223"/>
        </w:trPr>
        <w:tc>
          <w:tcPr>
            <w:tcW w:w="744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costs incurred</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3,421,681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3,003,887</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460" w:hanging="331"/>
        <w:spacing w:after="0" w:line="302" w:lineRule="auto"/>
        <w:tabs>
          <w:tab w:leader="none" w:pos="45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$60.4 million, $11.6 million and $1.8 million of D/C/E capital expenditures related to carried-interest agreements for the years ended December 31, 2025, 2024 and 2023, respectively.</w:t>
      </w:r>
    </w:p>
    <w:p>
      <w:pPr>
        <w:spacing w:after="0" w:line="53" w:lineRule="exact"/>
        <w:rPr>
          <w:rFonts w:ascii="Times New Roman" w:cs="Times New Roman" w:eastAsia="Times New Roman" w:hAnsi="Times New Roman"/>
          <w:sz w:val="14"/>
          <w:szCs w:val="14"/>
          <w:color w:val="auto"/>
        </w:rPr>
      </w:pPr>
    </w:p>
    <w:p>
      <w:pPr>
        <w:ind w:left="460" w:right="20" w:hanging="331"/>
        <w:spacing w:after="0" w:line="302" w:lineRule="auto"/>
        <w:tabs>
          <w:tab w:leader="none" w:pos="45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midstream-related development and corporate costs of approximately $290.5 million, $510.0 million and $258.0 million for the years ended December 31, 2025, 2024 and 2023, respectively.</w:t>
      </w:r>
    </w:p>
    <w:p>
      <w:pPr>
        <w:spacing w:after="0" w:line="5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Property acquisition costs are costs incurred to purchase, lease or otherwise acquire oil and natural gas properties, including both unproved and unevaluated leasehold and purchases of reserves in place. For the year ended December 31, 2024, a majority of the Company’s property acquisition costs resulted from the Ameredev Acquisition. For the year ended December 31, 2023, a majority of the Company’s property acquisition costs resulted from its acquisition of Advance Energy Partners Holdings, LLC from affiliates of EnCap Investments L.P. on April 12, 2023 and its acquisition of additional interests from affiliates of EnCap Investments L.P., including overriding royalty interests and royalty interests in certain oil and natural gas properties located primarily in Lea County, New Mexico, on December 1, 2023 (collectively, the “Advance Acquisition”).</w:t>
      </w:r>
    </w:p>
    <w:p>
      <w:pPr>
        <w:spacing w:after="0" w:line="7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Exploration costs are costs incurred in identifying areas of these oil and natural gas properties that may warrant examination and in examining specific areas that are considered to have prospects of containing oil and natural gas reserves, including costs of drilling exploratory wells, geological and geophysical costs and costs of carrying and retaining unproved and unevaluated properties. Exploration costs may be incurred before or after acquiring the related oil and natural gas properties. For the year ended December 31, 2025 and 2024, the Company capitalized $2.6 million and $11.3 million of geological and geophysical costs, respectively, which are included as exploration costs in the table above. The Company did not capitalize any geological and geophysical costs in 2023.</w:t>
      </w:r>
    </w:p>
    <w:p>
      <w:pPr>
        <w:spacing w:after="0" w:line="7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Development costs are costs incurred to obtain access to proved reserves and to provide facilities for extracting, treating, gathering and storing oil and natural gas. Development costs include the costs of preparing well locations for drilling, completing and equipping development wells and acquiring, constructing and installing production facilities.</w:t>
      </w:r>
    </w:p>
    <w:p>
      <w:pPr>
        <w:spacing w:after="0" w:line="68"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Costs incurred also include newly established asset retirement obligations, as well as changes to asset retirement obligations resulting from revisions in cost estimates or abandonment dates. Asset retirement obligations included in the table above were increases of $20.0 million, $25.1 million and $33.8 million for the years ended December 31, 2025, 2024 and 2023, respectively. Capitalized general and administrative expenses that are directly related to acquisition, exploration and development activities are also included in the table above. The Company capitalized $71.7 million, $66.6 million and $54.2 million of these internal costs for the years ended December 31, 2025, 2024 and 2023, respectively, excluding midstream-related capitalized general and administrative expenses. Capitalized interest expense for qualifying projects is also included in the table above. The Company capitalized $21.2 million, $17.5 million and $20.2 million of its interest expense for the years ended December 31, 2025, 2024 and 2023, respectively, excluding midstream-related capitalized interest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Oil and Natural Gas Reserves</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Proved reserves are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Estimating oil and natural gas reserves is complex and inexact because of the numerous uncertainties inherent in the process. The process relies on interpretations of available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geological, geophysical, petrophysical, engineering and production data. The extent, quality and reliability of both the data and the associated interpretations of that data can vary. The process also requires certain economic assumptions, including assumptions related to oil and natural gas prices, drilling, completion and operating expenses, capital expenditures, taxes and availability of funds. Actual future production, oil and natural gas prices, revenues, taxes, development expenditures, operating expenses and quantities of recoverable oil and natural gas most likely will vary from the Company’s estimates.</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the economic value of the NGLs associated with the natural gas is included in the estimated wellhead natural gas price on those properties where the NGLs are extracted and sold. The Company’s oil and natural gas reserves estimates for the years ended December 31, 2025, 2024 and 2023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7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2025, these average oil and natural gas prices were $61.82 per Bbl and $3.39 per MMBtu, respectively. For the period from January through December 2024, these average oil and natural gas prices were $71.96 per Bbl and $2.13 per MMBtu, respectively. For the period from January through December 2023, these average oil and natural gas prices were $74.70 per Bbl and $2.64 per MMBtu, respectively.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 Proved Reserves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860" w:type="dxa"/>
            <w:vAlign w:val="bottom"/>
          </w:tcPr>
          <w:p>
            <w:pPr>
              <w:spacing w:after="0"/>
              <w:rPr>
                <w:sz w:val="11"/>
                <w:szCs w:val="11"/>
                <w:color w:val="auto"/>
              </w:rPr>
            </w:pPr>
          </w:p>
        </w:tc>
        <w:tc>
          <w:tcPr>
            <w:tcW w:w="10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Oil</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Oil</w:t>
            </w:r>
          </w:p>
        </w:tc>
        <w:tc>
          <w:tcPr>
            <w:tcW w:w="0" w:type="dxa"/>
            <w:vAlign w:val="bottom"/>
          </w:tcPr>
          <w:p>
            <w:pPr>
              <w:spacing w:after="0"/>
              <w:rPr>
                <w:sz w:val="1"/>
                <w:szCs w:val="1"/>
                <w:color w:val="auto"/>
              </w:rPr>
            </w:pPr>
          </w:p>
        </w:tc>
      </w:tr>
      <w:tr>
        <w:trPr>
          <w:trHeight w:val="195"/>
        </w:trPr>
        <w:tc>
          <w:tcPr>
            <w:tcW w:w="78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195"/>
        </w:trPr>
        <w:tc>
          <w:tcPr>
            <w:tcW w:w="7860" w:type="dxa"/>
            <w:vAlign w:val="bottom"/>
          </w:tcPr>
          <w:p>
            <w:pPr>
              <w:spacing w:after="0"/>
              <w:rPr>
                <w:sz w:val="16"/>
                <w:szCs w:val="16"/>
                <w:color w:val="auto"/>
              </w:rPr>
            </w:pPr>
          </w:p>
        </w:tc>
        <w:tc>
          <w:tcPr>
            <w:tcW w:w="10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(MBbl)</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(MMcf)</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(MBOE)</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at December 31,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962,594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356,722</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prior estimates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(88,779)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acquisitions of minerals-in-place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109,102</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193,054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December 31, 2023</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272,277</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1,126,760</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460,070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Revisions of prior estimates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acquisitions of minerals-in-place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279,170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99,910</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(155,790)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(62,495)</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at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361,842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1,498,169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611,536</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prior estimates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75,258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acquisitions of minerals-in-place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354,920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December 31, 2025</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375,980</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1,746,404</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667,047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Proved Developed Reserves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632,858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292,097</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963,170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366,797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407,987</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Proved Undeveloped Reserves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329,736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135,215</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344,026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155,573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244,740</w:t>
            </w:r>
          </w:p>
        </w:tc>
        <w:tc>
          <w:tcPr>
            <w:tcW w:w="0" w:type="dxa"/>
            <w:vAlign w:val="bottom"/>
          </w:tcPr>
          <w:p>
            <w:pPr>
              <w:spacing w:after="0"/>
              <w:rPr>
                <w:sz w:val="1"/>
                <w:szCs w:val="1"/>
                <w:color w:val="auto"/>
              </w:rPr>
            </w:pPr>
          </w:p>
        </w:tc>
      </w:tr>
      <w:tr>
        <w:trPr>
          <w:trHeight w:val="234"/>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636,649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changes in the Company’s proved oil and natural gas reserves estimates for the years ended December 31, 2025, 2024 and 2023.</w:t>
      </w:r>
    </w:p>
    <w:p>
      <w:pPr>
        <w:spacing w:after="0" w:line="54"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color w:val="auto"/>
        </w:rPr>
        <w:t>The Company’s proved oil and natural gas reserves increased 9% from 611.5 million BOE at December 31, 2024 to 667.0 million BOE at December 31, 2025. The Company’s proved oil and natural gas reserves increased by 131.1 million BOE and the Company produced 75.6 million BOE during the year ended December 31, 2025, resulting in a net increase of 55.5 million BOE. This increase in proved oil and natural gas reserves was primarily attributable to the Company’s delineation and development operations in the Delaware Basin during 2025. The Company also added 135.0 million BOE in proved reserves through extensions and discoveries during 2025, of which 23.0 million BOE resulted from new well locations turned to sales during 2025 to establish proved developed reserves and 112.0 million BOE resulted from new proved undeveloped locations identified as a result of drilling activities on the Company’s existing acreage in the Delaware Basin during 2025. The Company also increased its total proved oil and natural gas reserves by 3.3 million BOE as a result of net acquisitions, divestitures and trades during 2025. Additionally, the Company realized approximately 7.2 million BOE in net downward revisions of prior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estimates for proved oil and natural gas reserves in 2025, which primarily included the removal of 22.8 million BOE in proved undeveloped reserves that were not developed or were no longer expected to be developed within five years of their initial booking resulting primarily from changes in development plans for certain of the Company’s properties in the Delaware Basin, 5.6 million BOE resulting from pricing updates, including the 14% decrease in oil prices, which was partially offset by the 59% increase in natural gas prices used to estimate total proved reserves at December 31, 2025, as compared to December 31, 2024, and 2.9 million BOE in expense updates. As the Company continues to develop its Delaware Basin assets, the Company may reclassify some or all of this 22.8 million BOE to proved reserves at a future date. These downward revisions at December 31, 2025 were partially offset by positive forecast updates of 24.1 million BOE.</w:t>
      </w:r>
    </w:p>
    <w:p>
      <w:pPr>
        <w:spacing w:after="0" w:line="8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Company’s proved developed oil and natural gas reserves increased 11% from 366.8 million BOE at December 31, 2024 to 408.0 million BOE at December 31, 2025. The Company’s proved developed oil and natural gas reserves increased by 116.8 million BOE and the Company produced 75.6 million BOE during the year ended December 31, 2025, resulting in a net increase of 41.2 million BOE. The Company added 23.0 million BOE in proved developed reserves through extensions and discoveries during 2025, which resulted from new well locations drilled during 2025 to establish proved reserves. In addition, during 2025 the Company converted 77.6 million BOE of its proved undeveloped reserves to proved developed reserves primarily through its development activities in the Delaware Basin. The Company also increased its proved developed reserves by 3.4 million BOE at December 31, 2025 as a result of net property acquisitions, divestitures and trades completed during 2025. Additionally, the Company realized approximately 12.8 million BOE in net upward revisions of prior estimates of proved developed reserves in 2025, including positive forecast updates of 16.7 million BOE and ownership updates of 3.2 million BOE. These upward revisions were partially offset by downward revisions of 4.2 million BOE and 2.9 million BOE attributable to certain pricing and expense updates used to estimate proved developed reserves at December 31, 2025 and 2024, respectively.</w:t>
      </w:r>
    </w:p>
    <w:p>
      <w:pPr>
        <w:spacing w:after="0" w:line="86"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Company’s proved undeveloped oil and natural gas reserves increased 6% from 244.7 million BOE at December 31, 2024 to 259.1 million at December 31, 2025. The Company added 112.0 million BOE in proved undeveloped reserves through extensions and discoveries during 2025, which resulted primarily from new proved undeveloped locations identified as a result of drilling activities on the Company’s existing acreage in the Delaware Basin during 2025. The Company also decreased its proved undeveloped reserves by 0.1 million BOE at December 31, 2025 as a result of net property acquisitions, divestitures and trades completed during 2025. Additionally, the Company realized approximately 20.0 million BOE in net downward revisions of prior estimates of proved undeveloped reserves in 2025, which included the removal of 22.8 million BOE in proved undeveloped reserves that were not developed or were no longer expected to be developed within five years of their initial booking resulting primarily from changes in development plans for certain of the properties in the Delaware Basin and the removal of 3.2 million BOE and 1.4 million BOE for certain ownership and pricing updates at December 31, 2025 and 2024, respectively. These downward revisions were partially offset by positive forecast updates of 7.4 million BOE.</w:t>
      </w:r>
    </w:p>
    <w:p>
      <w:pPr>
        <w:spacing w:after="0" w:line="8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At December 31, 2025, the Company’s proved reserves were comprised of 56% oil and 44% natural gas. As a percentage of total proved reserves, proved developed reserves were approximately 61% and proved undeveloped reserves were 39% at December 31, 2025. Comparatively, proved developed reserves as a percentage of total proved reserves were 60% and 63% at December 31, 2024 and 2023, respectively. The percent increase in proved developed reserves over proved undeveloped reserves from December 31, 2024 to December 31, 2025 was primarily a result of acquisitions and new wells drilled that resulted in proved developed reserves at a greater pace than extensions and discoveries of new proved undeveloped locations on the Company’s existing acreage in the Delaware Basin. The percent decrease in proved developed reserves over proved undeveloped reserves from December 31, 2023 to December 31, 2024 was primarily the result of greater extensions and discoveries of new proved undeveloped locations on the Company’s existing acreage in the Delaware Basin and proved undeveloped reserves acquired as part of the Ameredev Acquisition.</w:t>
      </w:r>
    </w:p>
    <w:p>
      <w:pPr>
        <w:spacing w:after="0" w:line="8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Company’s proved oil and natural gas reserves increased 33% from 460.1 million BOE at December 31, 2023 to 611.5 million BOE at December 31, 2024. The Company’s proved oil and natural gas reserves increased by 214.0 million BOE and the Company produced 62.5 million BOE during the year ended December 31, 2024, resulting in a net increase of 151.5 million BOE. This increase in proved oil and natural gas reserves was primarily attributable to the Ameredev Acquisition and the Company’s delineation and development operations in the Delaware Basin during 2024. The Company increased its total proved oil and natural gas reserves by 119.9 million BOE as a result of acquisitions and trades during 2024. The Company also added 99.9 million BOE in proved reserves through extensions and discoveries during 2024, of which 28.4 million BOE resulted from new well locations turned to sales during 2024 to establish proved developed reserves and 71.5 million BOE resulted primarily from new proved undeveloped locations identified as a result of drilling activities on the Company’s existing acreage in the Delaware Basin during 2024. These increases were partially offset by net downward revisions of prior estimates for proved oil and natural gas reserves, which primarily included the removal of 8.2 million BOE resulting from the 4%</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decrease in oil prices and the 19% decrease in natural gas prices used to estimate total proved reserves at December 31, 2024, as compared to December 31, 2023, and 15.3 million BOE in proved undeveloped reserves that were not developed or were no longer expected to be developed within five years of their initial booking resulting primarily from changes in development plans for certain of the Company’s properties in the Delaware Basin. These downward revisions at December 31, 2024 were partially offset by positive forecast updates of 21.7 million BOE.</w:t>
      </w:r>
    </w:p>
    <w:p>
      <w:pPr>
        <w:spacing w:after="0" w:line="7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Company’s proved oil and natural gas reserves increased 29% from 356.7 million BOE at December 31, 2022 to 460.1 million BOE at December 31, 2023. The Company’s proved oil and natural gas reserves increased by 151.5 million BOE and the Company produced 48.1 million BOE during the year ended December 31, 2023, resulting in a net increase of 103.3 million BOE. This increase in proved oil and natural gas reserves was primarily attributable to the Advance Acquisition and the Company’s delineation and development operations in the Delaware Basin during 2023. The Company increased its total proved oil and natural gas reserves by 109.1 million BOE as a result of acquisitions and trades during 2023. The Company also added 88.3 million BOE in proved reserves through extensions and discoveries during 2023, of which 27.6 million BOE resulted from new well locations drilled during 2023 to establish proved developed reserves and 60.7 million BOE resulted primarily from new proved undeveloped locations identified as a result of drilling activities on the Company’s existing acreage in the Delaware Basin during 2023. These increases were partially offset by the removal of 17.4 million BOE resulting from the 17% decrease in oil prices and the 58% decrease in natural gas prices used to estimate total proved reserves at December 31, 2023, as compared to December 31, 2022, and the removal of 31.5 million BOE in proved undeveloped reserves that were not developed or were no longer expected to be developed within five years of their initial booking resulting primarily from changes in development plans for certain of the Company’s properties in the Delaware Basin.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Standardized Measure of Discounted Future Net Cash Flows and Changes Therein Relating to Proved Oil and Natural Gas Reserves</w:t>
      </w:r>
    </w:p>
    <w:p>
      <w:pPr>
        <w:spacing w:after="0" w:line="11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7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As noted previously, for the period from January through December 2025, the unweighted, arithmetic averages of first-day-of-the-month oil and natural gas prices were $61.82 per Bbl and $3.39 per MMBtu, respectively. For the period from January through December 2024, the comparable average oil and natural gas prices were $71.96 per Bbl and $2.13 per MMBtu, respectively. For the period from January through December 2023, the comparable average oil and natural gas prices were $74.70 per Bbl and $2.64 per MMBtu, respectively.</w:t>
      </w:r>
    </w:p>
    <w:p>
      <w:pPr>
        <w:spacing w:after="0" w:line="7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development and plugging and abandonment costs associated with producing these reserves; neither prices nor costs were escalated with time in these computations.</w:t>
      </w:r>
    </w:p>
    <w:p>
      <w:pPr>
        <w:spacing w:after="0" w:line="7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Future income taxes were computed by applying the statutory tax rate to the excess of future net cash flows relating to proved oil and natural gas reserves less the tax basis of the associated properties. Tax credits and NOL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standardized measure of discounted future net cash flows relating to proved oil and natural gas reserves for the years ended December 31, 2025, 2024 and 2023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cash inflows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27,159,063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29,033,021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23,662,653</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production costs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(7,623,205)</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(2,162,625)</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abandonment costs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(93,901)</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(3,326,489)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(2,939,514)</w:t>
            </w: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net cash flows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12,716,392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10,843,408</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annual discount for estimated timing of cash flows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(5,036,961)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(5,339,842)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(4,729,916)</w:t>
            </w: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6,986,566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7,376,550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6,113,492</w:t>
            </w:r>
          </w:p>
        </w:tc>
      </w:tr>
      <w:tr>
        <w:trPr>
          <w:trHeight w:val="21"/>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standardized measure of discounted future net cash flows relating to proved oil and natural gas reserves for the years ended December 31, 2025, 2024 and 2023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6,983,203</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sales and lifting costs related to future production</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(3,074,085)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estimated future development costs</w:t>
            </w:r>
          </w:p>
        </w:tc>
        <w:tc>
          <w:tcPr>
            <w:tcW w:w="2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(504,323)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transfers of oil and natural gas produced during the period</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(2,037,451)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purchases of reserves in place</w:t>
            </w:r>
          </w:p>
        </w:tc>
        <w:tc>
          <w:tcPr>
            <w:tcW w:w="2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2,113,620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due to extensions and discoveries</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1,711,389</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due to revisions in estimates of reserves quantities</w:t>
            </w:r>
          </w:p>
        </w:tc>
        <w:tc>
          <w:tcPr>
            <w:tcW w:w="2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(890,794)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Previously estimated development costs incurred during the period</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441,671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discount</w:t>
            </w:r>
          </w:p>
        </w:tc>
        <w:tc>
          <w:tcPr>
            <w:tcW w:w="2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807,896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timing and other</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2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558,453</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2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6,986,566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7,376,550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6,113,492</w:t>
            </w:r>
          </w:p>
        </w:tc>
      </w:tr>
      <w:tr>
        <w:trPr>
          <w:trHeight w:val="20"/>
        </w:trPr>
        <w:tc>
          <w:tcPr>
            <w:tcW w:w="5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244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F-46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MATADOR RESOURCES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sets forth the Company’s policy for directors, special advisors to the board of directors, officers, employees and in-house direct contractors (collectively, “</w:t>
      </w:r>
      <w:r>
        <w:rPr>
          <w:rFonts w:ascii="Times New Roman" w:cs="Times New Roman" w:eastAsia="Times New Roman" w:hAnsi="Times New Roman"/>
          <w:sz w:val="18"/>
          <w:szCs w:val="18"/>
          <w:b w:val="1"/>
          <w:bCs w:val="1"/>
          <w:i w:val="1"/>
          <w:iCs w:val="1"/>
          <w:color w:val="auto"/>
        </w:rPr>
        <w:t>Subject Persons</w:t>
      </w:r>
      <w:r>
        <w:rPr>
          <w:rFonts w:ascii="Times New Roman" w:cs="Times New Roman" w:eastAsia="Times New Roman" w:hAnsi="Times New Roman"/>
          <w:sz w:val="18"/>
          <w:szCs w:val="18"/>
          <w:color w:val="auto"/>
        </w:rPr>
        <w:t>”) of Matador Resources Company (“</w:t>
      </w:r>
      <w:r>
        <w:rPr>
          <w:rFonts w:ascii="Times New Roman" w:cs="Times New Roman" w:eastAsia="Times New Roman" w:hAnsi="Times New Roman"/>
          <w:sz w:val="18"/>
          <w:szCs w:val="18"/>
          <w:b w:val="1"/>
          <w:bCs w:val="1"/>
          <w:i w:val="1"/>
          <w:iCs w:val="1"/>
          <w:color w:val="auto"/>
        </w:rPr>
        <w:t>MRC</w:t>
      </w:r>
      <w:r>
        <w:rPr>
          <w:rFonts w:ascii="Times New Roman" w:cs="Times New Roman" w:eastAsia="Times New Roman" w:hAnsi="Times New Roman"/>
          <w:sz w:val="18"/>
          <w:szCs w:val="18"/>
          <w:color w:val="auto"/>
        </w:rPr>
        <w:t>”) and its wholly owned subsidiaries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transactions in MRC’s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Policy applies to all transactions in MRC’s securities, including common stock, preferred stock, options and warrants for common stock, notes and any other securities the Company may issue from time to time, such as convertible debentures and other derivative securities relating to MRC’s stock, whether or not issued by MRC, such as exchange-traded options. It applies to all Subject Persons. The Policy also applies to family members who reside with Subject Persons, anyone else who shares a household with Subject Persons and family members who do not share a household with Subject Persons but whose transactions in the Company’s securities are directed, influenced or controlled by Subject Persons (collectively,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as well as corporations or other business entities controlled or managed by any Subject Person or their Family Members, and trusts for which any Subject Person or Family Member is the trustee or in which any Subject Person or Family Member has a beneficial pecuniary interest (together, “</w:t>
      </w:r>
      <w:r>
        <w:rPr>
          <w:rFonts w:ascii="Times New Roman" w:cs="Times New Roman" w:eastAsia="Times New Roman" w:hAnsi="Times New Roman"/>
          <w:sz w:val="18"/>
          <w:szCs w:val="18"/>
          <w:b w:val="1"/>
          <w:bCs w:val="1"/>
          <w:i w:val="1"/>
          <w:iCs w:val="1"/>
          <w:color w:val="auto"/>
        </w:rPr>
        <w:t>Controlled Entities</w:t>
      </w:r>
      <w:r>
        <w:rPr>
          <w:rFonts w:ascii="Times New Roman" w:cs="Times New Roman" w:eastAsia="Times New Roman" w:hAnsi="Times New Roman"/>
          <w:sz w:val="18"/>
          <w:szCs w:val="18"/>
          <w:color w:val="auto"/>
        </w:rPr>
        <w:t>”). This group of Subject Persons, Family Members and Controlled Entities are sometimes referred to in this Policy as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against Company policy for any Subject Person to make an unauthorized disclosure of any nonpublic information acquired in the workplace. It is also against Company policy for any Subject Person to misuse Material Nonpublic Information (as defined below) in securities trading. The Company has established procedures for releasing material information in a manner that is designed to achieve broad public dissemination of the information immediately upon its release. You may not, therefore, disclose Material Nonpublic Information to anyone outside the Company, including, but not limited to, family members and friends, other than in accordance with those procedures. You also may not discuss any Material Nonpublic Information regarding the Company or its business in any internet-based or online forum. You should carefully review the Company’s Social Media Policy and abide by the guidelines set forth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Policies</w:t>
      </w:r>
    </w:p>
    <w:p>
      <w:pPr>
        <w:spacing w:after="0" w:line="216"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Transacting on Material Nonpublic Information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It is illegal and against Company policy for any Insider to transact in the securities of MRC while he or she possesses Material Nonpublic Information about the Company. Transactions subject to this Policy include purchases, sales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standards of conduct.</w:t>
      </w:r>
    </w:p>
    <w:p>
      <w:pPr>
        <w:spacing w:after="0" w:line="162"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 Insider shall engage in a short sale of MRC’s stock. Furthermore, Section 16(c) of the Securities Exchange Act of 1934, as amended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prohibits officers and directors from engaging in short sales. A short sale is a sale of securities not owned by the seller or, if owned, not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against such sale within 20 days thereafter (commonly known as a “short against the box”). Transactions in certain put and call options for MRC’s securities may in some instances constitute a short sale.</w:t>
      </w:r>
    </w:p>
    <w:p>
      <w:pPr>
        <w:sectPr>
          <w:pgSz w:w="11900" w:h="16838" w:orient="portrait"/>
          <w:cols w:equalWidth="0" w:num="1">
            <w:col w:w="11240"/>
          </w:cols>
          <w:pgMar w:left="320" w:top="117" w:right="339" w:bottom="1440" w:gutter="0" w:footer="0" w:header="0"/>
        </w:sectPr>
      </w:pPr>
    </w:p>
    <w:bookmarkStart w:id="151" w:name="page152"/>
    <w:bookmarkEnd w:id="151"/>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Traded Options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transaction in options is, in effect, a bet on the short-term movement of MRC’s stock and therefore may create the appearance that the Subject Person is trading based on inside information. Transactions in options also may focus the Subject Person’s attention on short-term performance at the expense of the Company’s long-term objectives. Accordingly, transactions in puts, calls, equity swaps, collars or other derivative securities, on an exchange or in any other organized market, are prohibited by this Policy.</w:t>
      </w:r>
    </w:p>
    <w:p>
      <w:pPr>
        <w:spacing w:after="0" w:line="166"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Orders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Standing orders should be used only for a very brief period of time. A standing order placed with a broker to sell or purchase securities at a specified price leaves you with no control over the timing of the transaction. A standing order transaction executed by the broker when you are aware of Material Nonpublic Information may result in unlawful insider trading. Transactions pursuant to a plan adopted in accordance with Rule 10b5-1 of the Exchange Act, discussed below, may be excepted from this limitation on standing orders.</w:t>
      </w:r>
    </w:p>
    <w:p>
      <w:pPr>
        <w:spacing w:after="0" w:line="166"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Subject Person or any designee of such Subject Person shall purchase or sell, or make any offer to purchase or offer to sell, derivative securities relating to MRC’s stock, whether or not issued by MRC, or financial instruments that are designed to hedge or offset any decrease in the market value of MRC’s stock (including but not limited to prepaid variable forward contracts, equity swaps, collars and exchange funds) or otherwise engage in transactions that hedge or offset, or are designed to hedge or offset, any decrease in the market value of Company equity securities (a) granted to the Subject Person by the Company as part of the compensation of such Subject Person; or (b) held, directly or indirectly, by the Subject Person.</w:t>
      </w:r>
    </w:p>
    <w:p>
      <w:pPr>
        <w:spacing w:after="0" w:line="170"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Accounts and Pledges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or foreclosure sale that occurs when the pledgor is aware of Material Nonpublic Information may, under some circumstances, result in unlawful insider trading. Because of this danger, Insiders should exercise caution in holding MRC securities in a margin account or pledging MRC securities as collateral for a loan. In order to mitigate any risk to the Insider and the Company, an Insider who has pledged shares as collateral that are later foreclosed upon or sold by the lender or broker should promptly notify the Company. In addition, certain Insiders may be required to publicly disclose the amount of MRC securities pledged as collateral for a loan. No director or executive officer shall pledge, mortgage or hypothecate more than 25% of his or her holdings of MRC stock without the prior written consent of the Nominating and Corporate Governance Committee of the Board of Directors.</w:t>
      </w:r>
    </w:p>
    <w:p>
      <w:pPr>
        <w:spacing w:after="0" w:line="178"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Tipping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Insider shall disclose (commonly known as a “tip”) Material Nonpublic Information to any other person (including family members) where such information may be used by such person to his or her profit by transacting in the securities of companies to which such information relates, nor shall such Insider or related person make recommendations or express opinions on the basis of Material Nonpublic Information as to transacting in MRC’s securities, even if such Material Nonpublic Information is not actually disclosed to such other person.</w:t>
      </w:r>
    </w:p>
    <w:p>
      <w:pPr>
        <w:spacing w:after="0" w:line="166"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of Nonpublic Information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Nonpublic information relating to the Company is the property of the Company and the unauthorized disclosure of such information is forbidden. In the event any Insider receives any inquiry for information from outside the Company, such as from a stock analyst or investor, the inquiry should be referred to the Company’s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or any designee of the CEO who is responsible for coordinating and overseeing the release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152" w:name="page153"/>
    <w:bookmarkEnd w:id="152"/>
    <w:p>
      <w:pPr>
        <w:spacing w:after="0" w:line="282" w:lineRule="auto"/>
        <w:rPr>
          <w:sz w:val="20"/>
          <w:szCs w:val="20"/>
          <w:color w:val="auto"/>
        </w:rPr>
      </w:pPr>
      <w:r>
        <w:rPr>
          <w:rFonts w:ascii="Times New Roman" w:cs="Times New Roman" w:eastAsia="Times New Roman" w:hAnsi="Times New Roman"/>
          <w:sz w:val="18"/>
          <w:szCs w:val="18"/>
          <w:color w:val="auto"/>
        </w:rPr>
        <w:t>such information to the investing public, analysts and others in compliance with applicable laws and regulations. See the Company’s Regulation FD Policy for details.</w:t>
      </w:r>
    </w:p>
    <w:p>
      <w:pPr>
        <w:spacing w:after="0" w:line="148"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Post-Termination Transactions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continues to apply to your transactions in MRC securities even after you have terminated your employment, directorship or status as a special advisor or in-house direct contractor of the Company, as applicable (your “</w:t>
      </w:r>
      <w:r>
        <w:rPr>
          <w:rFonts w:ascii="Times New Roman" w:cs="Times New Roman" w:eastAsia="Times New Roman" w:hAnsi="Times New Roman"/>
          <w:sz w:val="18"/>
          <w:szCs w:val="18"/>
          <w:b w:val="1"/>
          <w:bCs w:val="1"/>
          <w:i w:val="1"/>
          <w:iCs w:val="1"/>
          <w:color w:val="auto"/>
        </w:rPr>
        <w:t>Association</w:t>
      </w:r>
      <w:r>
        <w:rPr>
          <w:rFonts w:ascii="Times New Roman" w:cs="Times New Roman" w:eastAsia="Times New Roman" w:hAnsi="Times New Roman"/>
          <w:sz w:val="18"/>
          <w:szCs w:val="18"/>
          <w:color w:val="auto"/>
        </w:rPr>
        <w:t>”). If you are in possession of Material Nonpublic Information when your employment or other Association with the Company terminates, you may not transact in MRC securities until that information has become public or is no longer material. The pre-clearance procedures specified under the heading “Pre-clearance of Transactions” below, however, will cease to apply to transactions in MRC securities upon the expiration of any Black-Out Period (as defined below) or other Company-imposed trading restrictions applicable at the time of the termination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 and/or Disciplinary Action</w:t>
      </w:r>
    </w:p>
    <w:p>
      <w:pPr>
        <w:spacing w:after="0" w:line="216"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Insider Trading</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federal and state securities laws, Insiders may be subject to penalties of up to $5,000,000 and up to 20 years in jail for engaging in transactions in MRC’s securities at a time when they have knowledge of Material Nonpublic Information regarding the Company.</w:t>
      </w:r>
    </w:p>
    <w:p>
      <w:pPr>
        <w:spacing w:after="0" w:line="148"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Tipping</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MRC’s securities.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70"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of Control Persons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Company or its supervisory personnel fail to take appropriate steps to prevent illegal insider trading, they may be subject to civil and criminal penalties.</w:t>
      </w:r>
    </w:p>
    <w:p>
      <w:pPr>
        <w:spacing w:after="0" w:line="148"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Disciplinary Actions</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Persons who violate this Policy may also be subject to disciplinary action by the Company, which may include ineligibility for future participation in the Company’s equity incentive plans or termination of employment or other Association with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Guidelines and Requirements</w:t>
      </w:r>
    </w:p>
    <w:p>
      <w:pPr>
        <w:spacing w:after="0" w:line="216"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Black-Out Periods</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period beginning after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last month of a fiscal quarter and ending at the commencement of trading on the next Trading Day (i.e., a day on which the New York Stock Exchange is open for trading) following two full Trading Days after the date of public disclosure of the financial results for that fiscal quarter is a particularly sensitive period of time for transactions in the Company’s stock from the perspective of compliance with applicable securities laws. This sensitivity arises because Insiders will often possess Material Nonpublic Information about the expected financial results for the quarter during that period. Accordingly, this period of time is referred to as a “black-out” period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Accordingly, all directors, executive officers subject to Section 16 of the Exchange Act (“</w:t>
      </w: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color w:val="auto"/>
        </w:rPr>
        <w:t xml:space="preserve">”), and certain individuals identified from time to time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Other Individuals</w:t>
      </w:r>
      <w:r>
        <w:rPr>
          <w:rFonts w:ascii="Times New Roman" w:cs="Times New Roman" w:eastAsia="Times New Roman" w:hAnsi="Times New Roman"/>
          <w:sz w:val="18"/>
          <w:szCs w:val="18"/>
          <w:color w:val="auto"/>
        </w:rPr>
        <w:t>”) are prohibited from transacting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153" w:name="page154"/>
    <w:bookmarkEnd w:id="153"/>
    <w:p>
      <w:pPr>
        <w:jc w:val="both"/>
        <w:spacing w:after="0" w:line="258" w:lineRule="auto"/>
        <w:rPr>
          <w:sz w:val="20"/>
          <w:szCs w:val="20"/>
          <w:color w:val="auto"/>
        </w:rPr>
      </w:pPr>
      <w:r>
        <w:rPr>
          <w:rFonts w:ascii="Times New Roman" w:cs="Times New Roman" w:eastAsia="Times New Roman" w:hAnsi="Times New Roman"/>
          <w:sz w:val="18"/>
          <w:szCs w:val="18"/>
          <w:color w:val="auto"/>
        </w:rPr>
        <w:t>It is understood that even outside of Black-Out Periods, the Company may also prohibit all or certain Subject Persons from transacting in securities of the Company because of material developments known to the Company and not yet disclosed to the public. Accordingly, upon receipt of written notice by email or otherwise from the General Counsel, all such designated directors, executive officers and Other Individuals and any other designated employees or contractors of the Company may not engage in any transaction involving MRC’s securities and may not disclose to any others the fact of such suspension until notified otherwise by the General Counsel.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may prohibit executive officers and directors from directly or indirectly transacting in MRC securities during a Pension Plan Blackout Period pursuant to the Department of Labor rules and may temporarily prevent plan participants or beneficiaries from engaging in equity securities transactions (other than with respect to exempt securities) through their plan accounts.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It should be noted, however, that even outside of a Black-Out Period, any person possessing Material Nonpublic Information concerning the Company should not engage in any transactions, except for those exceptions listed below, in MRC’s securities until such information has been known publicly for at least two Trading Days. Trading in MRC’s securities outside of a Black-Out Period should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be considered a “safe harbor,” and all directors, executive officers and Other Individuals should use good judgment at all times and pre-clear all transactions in accordance with the following paragraph.</w:t>
      </w:r>
    </w:p>
    <w:p>
      <w:pPr>
        <w:spacing w:after="0" w:line="170"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of Transactions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all directors, executive officers and Other Individuals must refrain from transacting in MRC’s securities without first complying with the Company’s “pre-clearance” process, even if there is not a Black-Out Period. Each such person should contact the General Counsel prior to commencing any transaction in MRC’s securities to obtain pre-approval. The General Counsel will consult as necessary with senior management of the Company before clearing any proposed transaction.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and should describe fully those circumstances to the General Counsel. The requestor should also indicate whether he or she has effected any non-exempt “opposite-way” transactions within the past six months, and should be prepared to report the proposed transaction on an appropriate Form 4 or Form 5. The requestor should also be prepared to comply with Rule 144 under the Securities Act of 1933, as amended, and file a Form 144, if necessary, at the time of any sale.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transaction is approved under the pre-clearance policy, the transaction must be executed by the end of the third full Trading Day after the approval is obtained, but regardless may not be executed if you acquire Material Nonpublic Information concerning the Company during that time. If a transaction is not completed within the period described above, the transaction must be approved again before it may be executed. If a proposed transaction is not approved under this pre-clearance process, no transaction in Company stock can be initiated, and no one within or outside of the Company should be informed of the restriction. Any transaction under a Rule 10b5-1 trading plan (discussed below) will not require pre-clearance at the time of the transaction.</w:t>
      </w:r>
    </w:p>
    <w:p>
      <w:pPr>
        <w:spacing w:after="0" w:line="170"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Responsibility</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Every Subject Person has the individual responsibility to comply with this Policy against insider trading. An Insider may, from time to time, have to forego a proposed transaction in MRC’s securities even if he or she planned to make the transaction before learning of the Material Nonpublic Information and even though the Insider believes he or she may suffer an economic loss or forego anticipated profit by waiting. Each Subject Person is also responsible for making sure that any Family Member and Controlled Entity also complies with this Policy. In all cases, the responsibility for determining whether an individual is in possession of Material Nonpublic Information rests with that individual, and any action on the part of the Company, the General Counsel or any other employee or director pursuant to this Policy (or otherwise), including pre-clearance granted by the Company to such individual, does not in any way constitute legal advice or insulate an individual from liability under applicable securities laws. You could be subject to legal penalties and disciplinary action by the Company for any conduct prohibited by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or applicable securities laws, as described above under the heading “Potential Criminal and Civil Liability and/or Disciplinary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Policy to Inside Information Regarding Other Companies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Policy also applies to Material Nonpublic Information relating to other companies with which the Company conducts business (“</w:t>
      </w:r>
      <w:r>
        <w:rPr>
          <w:rFonts w:ascii="Times New Roman" w:cs="Times New Roman" w:eastAsia="Times New Roman" w:hAnsi="Times New Roman"/>
          <w:sz w:val="18"/>
          <w:szCs w:val="18"/>
          <w:b w:val="1"/>
          <w:bCs w:val="1"/>
          <w:i w:val="1"/>
          <w:iCs w:val="1"/>
          <w:color w:val="auto"/>
        </w:rPr>
        <w:t>business partners</w:t>
      </w:r>
      <w:r>
        <w:rPr>
          <w:rFonts w:ascii="Times New Roman" w:cs="Times New Roman" w:eastAsia="Times New Roman" w:hAnsi="Times New Roman"/>
          <w:sz w:val="18"/>
          <w:szCs w:val="18"/>
          <w:color w:val="auto"/>
        </w:rPr>
        <w:t>”), including proposed business combinations, when that information is obtained in the course of employment with, or other services performed on behalf of, the Company. Civil and criminal penalties, and termination of employment or other Association with the Company, may result from trading on inside information regarding the Company’s business partners. All Subject Persons should treat Material Nonpublic Information about the Company’s business partners with the same care required with respect to information related directly to the Company. Similarly, you must not discuss Material Nonpublic Information relating to the Company’s business partners in Internet-based forums, chat rooms or social media.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Material Information. </w:t>
      </w:r>
      <w:r>
        <w:rPr>
          <w:rFonts w:ascii="Times New Roman" w:cs="Times New Roman" w:eastAsia="Times New Roman" w:hAnsi="Times New Roman"/>
          <w:sz w:val="18"/>
          <w:szCs w:val="18"/>
          <w:color w:val="auto"/>
        </w:rPr>
        <w:t>It is not possible to define all categories of material information. However, information should be regarded as material if there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likelihood that it would be considered important to an investor in making an investment decision regarding the purchase or sale of MRC’s securities.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 but are not limited to:</w:t>
      </w:r>
    </w:p>
    <w:p>
      <w:pPr>
        <w:spacing w:after="0" w:line="162"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including material changes in revenues or operations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but unannounced future earnings or losses, or estimates or projections of future earnings or losses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or termination of significant contracts with business partners or other parties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mergers, acquisitions or joint ventures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construction or acquisition of significant assets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well results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reserve modifications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developments relating to production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involving corporate relationships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significant capital investments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project announcements or policies of a significant nature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actual or potential cybersecurity incidents or events that affect the Company or third-party providers that support the Company’s business operations, including computer system or network compromises, viruses or other destructive software and data breach incidents that may disclose personal, business or other confidential information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17" w:right="339" w:bottom="1440" w:gutter="0" w:footer="0" w:header="0"/>
          <w:type w:val="continuous"/>
        </w:sectPr>
      </w:pPr>
    </w:p>
    <w:bookmarkStart w:id="155" w:name="page156"/>
    <w:bookmarkEnd w:id="155"/>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or other recapitalizations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repurchases by the Company of its securities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developments in outstanding litigation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225" w:lineRule="exact"/>
        <w:rPr>
          <w:rFonts w:ascii="Times New Roman" w:cs="Times New Roman" w:eastAsia="Times New Roman" w:hAnsi="Times New Roman"/>
          <w:sz w:val="18"/>
          <w:szCs w:val="18"/>
          <w:color w:val="auto"/>
        </w:rPr>
      </w:pPr>
    </w:p>
    <w:p>
      <w:pPr>
        <w:ind w:right="4680" w:firstLine="8"/>
        <w:spacing w:after="0" w:line="514"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the Company’s auditors or the Board of Directors Either positive or negative information may be material.</w:t>
      </w: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you are unsure whether information is material, you should either (1) consult the General Counsel before making any decision to disclose such information (other than to persons who need to know it) or to transact in or recommend securities to which that information relates or (2) assume that the information is material.</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Nonpublic Information. </w:t>
      </w:r>
      <w:r>
        <w:rPr>
          <w:rFonts w:ascii="Times New Roman" w:cs="Times New Roman" w:eastAsia="Times New Roman" w:hAnsi="Times New Roman"/>
          <w:sz w:val="18"/>
          <w:szCs w:val="18"/>
          <w:color w:val="auto"/>
        </w:rPr>
        <w:t>Nonpublic information is information that has not been previously disclosed to the general public and is otherwise not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general public. The fact that information has been disclosed to a few members of the public does not make it public for insider trading purposes. We consider information to be available to the public only when: (1) it has been released to the public by the Company through appropriate channels designed to reach investors generally (e.g., by means of a press release, SEC filing or a widely disseminated statement from a senior officer); and (2) enough time has elapsed to permit the investment market to absorb and evaluate the information. As a general rule, you should consider information to be nonpublic until two full Trading Days have lapsed following public disclosure.</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Certain Exceptions</w:t>
      </w:r>
    </w:p>
    <w:p>
      <w:pPr>
        <w:spacing w:after="0" w:line="216"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Equity Awards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does not apply to the exercise of an employee stock option or vesting or settlement of restricted stock or restricted stock units acquired pursuant to a Company plan if the shares acquired are held rather than sold into the public market, or to the exercise of a tax withholding right pursuant to which you elect to have the Company withhold shares subject to an option exercise or vesting or settlement of restricted stock or restricted stock units to satisfy tax withholding requirements. This Policy does apply, however, to any sale of stock as part of a broker-assisted cashless exercise of an option, or any other market sale for the purpose of generating the cash needed to pay the exercise price of an option or to pay any tax liability.</w:t>
      </w:r>
    </w:p>
    <w:p>
      <w:pPr>
        <w:spacing w:after="0" w:line="170"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does not apply to transactions in MRC’s stock in the 401(k) plan resulting from your periodic contribution of money to the plan pursuant to your payroll deduction election. This Policy does apply to certain elections you may make under the 401(k) plan.</w:t>
      </w:r>
    </w:p>
    <w:p>
      <w:pPr>
        <w:spacing w:after="0" w:line="148"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does not apply to transactions in MRC’s stock in an employee stock purchase plan resulting from your periodic contribution of money to the plan pursuant to the election you made at the time of your enrollment in the plan. This Policy also does not apply to purchases of MRC’s stock resulting from lump sum contributions to the plan, provided that you elected to participate by lump-sum payment at the beginning of the applicable enrollment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156" w:name="page157"/>
    <w:bookmarkEnd w:id="156"/>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Pre-Arranged Trading Programs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Rule 10b5-1 of the Exchange Act provides an affirmative defense against insider trading liability for a transaction, including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done pursuant to a written plan, or a binding contract or instruction, entered into in good faith at a time when the Insider was not aware of Material Nonpublic Information, even though the transaction in question may occur at a time when the Insider is aware of Material Nonpublic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in appropriate circumstances, permit executive officers, directors or Other Individuals to enter into a trading program that complies with Rule 10b5-1. If you are subject to the pre-clearance procedures or the Black-Out Periods of this Policy and you wish to establish a trading program, you must pre-clear it with the General Counsel. In general, a Rule 10b5-1 trading program must be entered into at a time when the person entering into the plan is not aware of Material Nonpublic Information. The program must include the required cooling-off period before transactions can commence.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In addition, any modification or termination of the Rule 10b5-1 trading program will require new pre-approval from the General Counsel. With respect to arrangements that result or may result in transactions taking place during Black-Out Periods, the General Counsel will review such arrangements in light of guidelines that it from time to time establishes, with input, if appropriate, from Company legal counsel.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General 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Ultimately, however, the responsibility for adhering to this Policy and avoiding unlawful transactions rests with the individual Subject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directors, officers, employees and in-house contractors must certify their understanding of, and intent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as of October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157" w:name="page158"/>
    <w:bookmarkEnd w:id="157"/>
    <w:p>
      <w:pPr>
        <w:jc w:val="center"/>
        <w:ind w:right="-1112"/>
        <w:spacing w:after="0"/>
        <w:rPr>
          <w:sz w:val="20"/>
          <w:szCs w:val="20"/>
          <w:color w:val="auto"/>
        </w:rPr>
      </w:pPr>
      <w:r>
        <w:rPr>
          <w:rFonts w:ascii="Times New Roman" w:cs="Times New Roman" w:eastAsia="Times New Roman" w:hAnsi="Times New Roman"/>
          <w:sz w:val="18"/>
          <w:szCs w:val="18"/>
          <w:u w:val="single" w:color="auto"/>
          <w:color w:val="auto"/>
        </w:rPr>
        <w:t>ATTACHMENT 1</w:t>
      </w:r>
    </w:p>
    <w:p>
      <w:pPr>
        <w:spacing w:after="0" w:line="221"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MATADOR RESOURCES COMPANY</w:t>
      </w:r>
    </w:p>
    <w:p>
      <w:pPr>
        <w:spacing w:after="0" w:line="31"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PERSONNEL SUBJECT TO PRE-CLEARANCE</w:t>
      </w:r>
    </w:p>
    <w:p>
      <w:pPr>
        <w:spacing w:after="0" w:line="193" w:lineRule="exact"/>
        <w:rPr>
          <w:sz w:val="20"/>
          <w:szCs w:val="20"/>
          <w:color w:val="auto"/>
        </w:rPr>
      </w:pPr>
    </w:p>
    <w:p>
      <w:pPr>
        <w:ind w:left="652" w:hanging="652"/>
        <w:spacing w:after="0"/>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Company’s Board of Directors</w:t>
      </w:r>
    </w:p>
    <w:p>
      <w:pPr>
        <w:spacing w:after="0" w:line="18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advisors to the Company’s Board of Directors</w:t>
      </w:r>
    </w:p>
    <w:p>
      <w:pPr>
        <w:spacing w:after="0" w:line="19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of the Company</w:t>
      </w:r>
    </w:p>
    <w:p>
      <w:pPr>
        <w:spacing w:after="0" w:line="184" w:lineRule="exact"/>
        <w:rPr>
          <w:rFonts w:ascii="Times New Roman" w:cs="Times New Roman" w:eastAsia="Times New Roman" w:hAnsi="Times New Roman"/>
          <w:sz w:val="18"/>
          <w:szCs w:val="18"/>
          <w:color w:val="auto"/>
        </w:rPr>
      </w:pPr>
    </w:p>
    <w:p>
      <w:pPr>
        <w:ind w:left="652" w:right="2479" w:hanging="652"/>
        <w:spacing w:after="0" w:line="482"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Employees and In-House Direct Contractors Subject to Pre-Clearance of Transactions </w:t>
      </w:r>
      <w:r>
        <w:rPr>
          <w:rFonts w:ascii="Times New Roman" w:cs="Times New Roman" w:eastAsia="Times New Roman" w:hAnsi="Times New Roman"/>
          <w:sz w:val="18"/>
          <w:szCs w:val="18"/>
          <w:u w:val="single" w:color="auto"/>
          <w:color w:val="auto"/>
        </w:rPr>
        <w:t>Name Title</w:t>
      </w:r>
    </w:p>
    <w:p>
      <w:pPr>
        <w:spacing w:after="0" w:line="1" w:lineRule="exact"/>
        <w:rPr>
          <w:rFonts w:ascii="Times New Roman" w:cs="Times New Roman" w:eastAsia="Times New Roman" w:hAnsi="Times New Roman"/>
          <w:sz w:val="18"/>
          <w:szCs w:val="18"/>
          <w:color w:val="auto"/>
        </w:rPr>
      </w:pPr>
    </w:p>
    <w:p>
      <w:pPr>
        <w:ind w:left="652" w:right="4139"/>
        <w:spacing w:after="0" w:line="5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ALL EMPLOYEES AND IN-HOUSE DIRECT CONTRACTORS </w:t>
      </w:r>
      <w:r>
        <w:rPr>
          <w:rFonts w:ascii="Times New Roman" w:cs="Times New Roman" w:eastAsia="Times New Roman" w:hAnsi="Times New Roman"/>
          <w:sz w:val="17"/>
          <w:szCs w:val="17"/>
          <w:color w:val="auto"/>
        </w:rPr>
        <w:t>As well as such other persons as designated by the CEO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17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1"/>
          </w:cols>
          <w:pgMar w:left="328" w:top="1417"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2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3660" w:type="dxa"/>
            <w:vAlign w:val="bottom"/>
          </w:tcPr>
          <w:p>
            <w:pPr>
              <w:spacing w:after="0"/>
              <w:rPr>
                <w:sz w:val="19"/>
                <w:szCs w:val="19"/>
                <w:color w:val="auto"/>
              </w:rPr>
            </w:pPr>
          </w:p>
        </w:tc>
      </w:tr>
      <w:tr>
        <w:trPr>
          <w:trHeight w:val="216"/>
        </w:trPr>
        <w:tc>
          <w:tcPr>
            <w:tcW w:w="672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List of Subsidiaries</w:t>
            </w:r>
          </w:p>
        </w:tc>
        <w:tc>
          <w:tcPr>
            <w:tcW w:w="3660" w:type="dxa"/>
            <w:vAlign w:val="bottom"/>
          </w:tcPr>
          <w:p>
            <w:pPr>
              <w:spacing w:after="0"/>
              <w:rPr>
                <w:sz w:val="18"/>
                <w:szCs w:val="18"/>
                <w:color w:val="auto"/>
              </w:rPr>
            </w:pPr>
          </w:p>
        </w:tc>
      </w:tr>
      <w:tr>
        <w:trPr>
          <w:trHeight w:val="234"/>
        </w:trPr>
        <w:tc>
          <w:tcPr>
            <w:tcW w:w="672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as of December 31, 2025</w:t>
            </w:r>
          </w:p>
        </w:tc>
        <w:tc>
          <w:tcPr>
            <w:tcW w:w="3660" w:type="dxa"/>
            <w:vAlign w:val="bottom"/>
          </w:tcPr>
          <w:p>
            <w:pPr>
              <w:spacing w:after="0"/>
              <w:rPr>
                <w:sz w:val="20"/>
                <w:szCs w:val="20"/>
                <w:color w:val="auto"/>
              </w:rPr>
            </w:pPr>
          </w:p>
        </w:tc>
      </w:tr>
      <w:tr>
        <w:trPr>
          <w:trHeight w:val="335"/>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31"/>
        </w:trPr>
        <w:tc>
          <w:tcPr>
            <w:tcW w:w="6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 Water Management Company, LLC</w:t>
            </w:r>
          </w:p>
        </w:tc>
        <w:tc>
          <w:tcPr>
            <w:tcW w:w="520" w:type="dxa"/>
            <w:vAlign w:val="bottom"/>
          </w:tcPr>
          <w:p>
            <w:pPr>
              <w:spacing w:after="0"/>
              <w:rPr>
                <w:sz w:val="20"/>
                <w:szCs w:val="20"/>
                <w:color w:val="auto"/>
              </w:rPr>
            </w:pPr>
          </w:p>
        </w:tc>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Greyhound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Greyhound Resources,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Gathering and Disposal Systems,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Delaware,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Holdings,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 Texas,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Southeast,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Matador Production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Delaware Resources,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 Texas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Southeast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Hat Mesa,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3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Permian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Rockies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Royalties,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Toro,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Pronto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Pronto Midstream Finance,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Black River Oil Pipeline,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Black River Oil Pipeline II,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Black River Water Management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DLK Black River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RB Pipeline,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3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Stateline Water Management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Stebbins Water Management,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Wolf Pipeline,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Wolf Water Resources,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Southeast Water Management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 Permian,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Toro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Toro Pipeline,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WR Permian,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bl>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Inclusion of an entity on the list of subsidiaries is not a representation that such subsidiary is a significant subsidiary.</w:t>
      </w:r>
    </w:p>
    <w:p>
      <w:pPr>
        <w:sectPr>
          <w:pgSz w:w="11900" w:h="16838" w:orient="portrait"/>
          <w:cols w:equalWidth="0" w:num="1">
            <w:col w:w="10800"/>
          </w:cols>
          <w:pgMar w:left="760" w:top="981"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333-204868, 333-231989, 333-180641 and 333-266409) on Form S-8 and registration statement (No. 333-278215) on Form S-3 of our reports dated February 26, 2026, with respect to the consolidated financial statements of Matador Resources Company and subsidiaries and the effectiveness of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36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use of the name Netherland, Sewell &amp; Associates, Inc.; the references to our audit of Matador Resources Company's proved oil and natural gas reserves estimates and future net revenue at December 31, 2025; and the inclusion of our corresponding audit letter, dated January 21, 2026, in this Annual Report on Form 10-K of Matador Resources Company for the fiscal year ended December 31, 2025, as well as in the notes to the financial statements included therein. In addition, we hereby consent to the incorporation by reference of our audit letter, dated January 21, 2026, in Matador Resources Company's Forms S-8 (File No. 333-180641, File No. 333-204868, File No. 333-231989, and File No. 333-266409) and Form S-3 (File No. 333-278215).</w:t>
      </w:r>
    </w:p>
    <w:p>
      <w:pPr>
        <w:spacing w:after="0" w:line="27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80" w:lineRule="exact"/>
        <w:rPr>
          <w:sz w:val="20"/>
          <w:szCs w:val="20"/>
          <w:color w:val="auto"/>
        </w:rPr>
      </w:pPr>
    </w:p>
    <w:tbl>
      <w:tblPr>
        <w:tblLayout w:type="fixed"/>
        <w:tblInd w:w="720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Eric J. Stevens</w:t>
            </w:r>
          </w:p>
        </w:tc>
        <w:tc>
          <w:tcPr>
            <w:tcW w:w="1560" w:type="dxa"/>
            <w:vAlign w:val="bottom"/>
          </w:tcPr>
          <w:p>
            <w:pPr>
              <w:spacing w:after="0"/>
              <w:rPr>
                <w:sz w:val="17"/>
                <w:szCs w:val="17"/>
                <w:color w:val="auto"/>
              </w:rPr>
            </w:pPr>
          </w:p>
        </w:tc>
      </w:tr>
      <w:tr>
        <w:trPr>
          <w:trHeight w:val="245"/>
        </w:trPr>
        <w:tc>
          <w:tcPr>
            <w:tcW w:w="860" w:type="dxa"/>
            <w:vAlign w:val="bottom"/>
          </w:tcPr>
          <w:p>
            <w:pPr>
              <w:spacing w:after="0"/>
              <w:rPr>
                <w:sz w:val="21"/>
                <w:szCs w:val="21"/>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Eric J. Stevens, P.E.</w:t>
            </w:r>
          </w:p>
        </w:tc>
      </w:tr>
      <w:tr>
        <w:trPr>
          <w:trHeight w:val="239"/>
        </w:trPr>
        <w:tc>
          <w:tcPr>
            <w:tcW w:w="86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9"/>
              </w:rPr>
              <w:t>President and Chief Operating Officer</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ectPr>
          <w:pgSz w:w="11900" w:h="16838" w:orient="portrait"/>
          <w:cols w:equalWidth="0" w:num="1">
            <w:col w:w="11240"/>
          </w:cols>
          <w:pgMar w:left="320" w:top="36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200" w:firstLine="887"/>
        <w:spacing w:after="0" w:line="266" w:lineRule="auto"/>
        <w:tabs>
          <w:tab w:leader="none" w:pos="19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right="200" w:firstLine="887"/>
        <w:spacing w:after="0" w:line="266" w:lineRule="auto"/>
        <w:tabs>
          <w:tab w:leader="none" w:pos="19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140" w:firstLine="887"/>
        <w:spacing w:after="0" w:line="312" w:lineRule="auto"/>
        <w:tabs>
          <w:tab w:leader="none" w:pos="1946"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600" w:firstLine="887"/>
        <w:spacing w:after="0" w:line="266" w:lineRule="auto"/>
        <w:tabs>
          <w:tab w:leader="none" w:pos="19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65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6580" w:type="dxa"/>
            <w:vAlign w:val="bottom"/>
          </w:tcPr>
          <w:p>
            <w:pPr>
              <w:spacing w:after="0"/>
              <w:rPr>
                <w:sz w:val="15"/>
                <w:szCs w:val="15"/>
                <w:color w:val="auto"/>
              </w:rPr>
            </w:pPr>
          </w:p>
        </w:tc>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T. Macalik, certify that:</w:t>
      </w:r>
    </w:p>
    <w:p>
      <w:pPr>
        <w:spacing w:after="0" w:line="171" w:lineRule="exact"/>
        <w:rPr>
          <w:sz w:val="20"/>
          <w:szCs w:val="20"/>
          <w:color w:val="auto"/>
        </w:rPr>
      </w:pPr>
    </w:p>
    <w:p>
      <w:pPr>
        <w:ind w:left="640" w:hanging="187"/>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200" w:firstLine="887"/>
        <w:spacing w:after="0" w:line="266" w:lineRule="auto"/>
        <w:tabs>
          <w:tab w:leader="none" w:pos="19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right="200" w:firstLine="887"/>
        <w:spacing w:after="0" w:line="266" w:lineRule="auto"/>
        <w:tabs>
          <w:tab w:leader="none" w:pos="19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140" w:firstLine="887"/>
        <w:spacing w:after="0" w:line="312" w:lineRule="auto"/>
        <w:tabs>
          <w:tab w:leader="none" w:pos="1946"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600" w:firstLine="887"/>
        <w:spacing w:after="0" w:line="266" w:lineRule="auto"/>
        <w:tabs>
          <w:tab w:leader="none" w:pos="19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8"/>
          <w:szCs w:val="18"/>
          <w:color w:val="auto"/>
        </w:rPr>
        <w:t>February 26, 2026</w:t>
      </w:r>
      <w:r>
        <w:rPr>
          <w:sz w:val="20"/>
          <w:szCs w:val="20"/>
          <w:color w:val="auto"/>
        </w:rPr>
        <w:tab/>
      </w:r>
      <w:r>
        <w:rPr>
          <w:rFonts w:ascii="Times New Roman" w:cs="Times New Roman" w:eastAsia="Times New Roman" w:hAnsi="Times New Roman"/>
          <w:sz w:val="17"/>
          <w:szCs w:val="17"/>
          <w:color w:val="auto"/>
        </w:rPr>
        <w:t>/s/ Robert T. Macalik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669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7">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Robert T. Macalik</w:t>
      </w:r>
    </w:p>
    <w:p>
      <w:pPr>
        <w:ind w:left="546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6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Matador Resources Company (the “Company”) on Form 10-K for the year ended December 31, 2025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spacing w:after="0" w:line="104" w:lineRule="exact"/>
        <w:rPr>
          <w:sz w:val="20"/>
          <w:szCs w:val="20"/>
          <w:color w:val="auto"/>
        </w:rPr>
      </w:pPr>
    </w:p>
    <w:p>
      <w:pPr>
        <w:ind w:left="260" w:hanging="252"/>
        <w:spacing w:after="0"/>
        <w:tabs>
          <w:tab w:leader="none" w:pos="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65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6580" w:type="dxa"/>
            <w:vAlign w:val="bottom"/>
          </w:tcPr>
          <w:p>
            <w:pPr>
              <w:spacing w:after="0"/>
              <w:rPr>
                <w:sz w:val="15"/>
                <w:szCs w:val="15"/>
                <w:color w:val="auto"/>
              </w:rPr>
            </w:pPr>
          </w:p>
        </w:tc>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Matador Resources Company (the “Company”) on Form 10-K for the year ended December 31, 2025 as filed with the Securities and Exchange Commission on the date hereof (the “Form 10-K”), I, Brian J. Willey, Executive Vice President and Chief Financial Officer of the Company, hereby certify,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T. Macalik</w:t>
            </w:r>
          </w:p>
        </w:tc>
      </w:tr>
      <w:tr>
        <w:trPr>
          <w:trHeight w:val="218"/>
        </w:trPr>
        <w:tc>
          <w:tcPr>
            <w:tcW w:w="5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Robert T. Macalik</w:t>
            </w:r>
          </w:p>
        </w:tc>
      </w:tr>
      <w:tr>
        <w:trPr>
          <w:trHeight w:val="180"/>
        </w:trPr>
        <w:tc>
          <w:tcPr>
            <w:tcW w:w="5140" w:type="dxa"/>
            <w:vAlign w:val="bottom"/>
          </w:tcPr>
          <w:p>
            <w:pPr>
              <w:spacing w:after="0"/>
              <w:rPr>
                <w:sz w:val="15"/>
                <w:szCs w:val="15"/>
                <w:color w:val="auto"/>
              </w:rPr>
            </w:pPr>
          </w:p>
        </w:tc>
        <w:tc>
          <w:tcPr>
            <w:tcW w:w="6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14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[Netherland, Sewell &amp; Associates, Inc.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21,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Mr. Tanner Schulz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MRC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Mr. Schulz:</w:t>
      </w:r>
    </w:p>
    <w:p>
      <w:pPr>
        <w:spacing w:after="0" w:line="23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accordance with your request, we have audited the estimates prepared by MRC Energy Company (MRC), as of December 31, 2025, of the proved reserves and future revenue to the MRC interest in certain oil and gas properties located in Louisiana, New Mexico, and Texas. It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Rule 4-10(a). The estimates of reserves and future revenue have been prepared in accordance with the definitions and regulations of the SEC and conform to the FASB Accounting Standards Codification Topic 932, Extractive Activities—Oil and Gas, except that per-well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overhead expenses are excluded for the operated properties and future income taxes are excluded for all properties. We completed our audit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or about the date of this letter. This report has been prepared for MRC's use in filing with the SEC; in our opinion the assumptions, data, methods, and procedures used in the preparation of this report are appropriate for such purpose.</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MRC's estimates of the net reserves and future net revenue, as of December 31, 2025, for the audited properties:</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5"/>
        </w:trPr>
        <w:tc>
          <w:tcPr>
            <w:tcW w:w="3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4"/>
          </w:tcPr>
          <w:p>
            <w:pPr>
              <w:ind w:left="1000"/>
              <w:spacing w:after="0"/>
              <w:rPr>
                <w:sz w:val="20"/>
                <w:szCs w:val="20"/>
                <w:color w:val="auto"/>
              </w:rPr>
            </w:pPr>
            <w:r>
              <w:rPr>
                <w:rFonts w:ascii="Arial" w:cs="Arial" w:eastAsia="Arial" w:hAnsi="Arial"/>
                <w:sz w:val="18"/>
                <w:szCs w:val="18"/>
                <w:color w:val="auto"/>
              </w:rPr>
              <w:t>Net Reserves</w:t>
            </w:r>
          </w:p>
        </w:tc>
        <w:tc>
          <w:tcPr>
            <w:tcW w:w="3580" w:type="dxa"/>
            <w:vAlign w:val="bottom"/>
            <w:gridSpan w:val="3"/>
          </w:tcPr>
          <w:p>
            <w:pPr>
              <w:jc w:val="right"/>
              <w:ind w:right="690"/>
              <w:spacing w:after="0"/>
              <w:rPr>
                <w:sz w:val="20"/>
                <w:szCs w:val="20"/>
                <w:color w:val="auto"/>
              </w:rPr>
            </w:pPr>
            <w:r>
              <w:rPr>
                <w:rFonts w:ascii="Arial" w:cs="Arial" w:eastAsia="Arial" w:hAnsi="Arial"/>
                <w:sz w:val="18"/>
                <w:szCs w:val="18"/>
                <w:color w:val="auto"/>
              </w:rPr>
              <w:t>Future Net Revenue (M$)</w:t>
            </w:r>
          </w:p>
        </w:tc>
      </w:tr>
      <w:tr>
        <w:trPr>
          <w:trHeight w:val="218"/>
        </w:trPr>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color w:val="auto"/>
              </w:rPr>
              <w:t>Oil</w:t>
            </w:r>
          </w:p>
        </w:tc>
        <w:tc>
          <w:tcPr>
            <w:tcW w:w="1380" w:type="dxa"/>
            <w:vAlign w:val="bottom"/>
            <w:tcBorders>
              <w:top w:val="single" w:sz="8" w:color="auto"/>
            </w:tcBorders>
          </w:tcPr>
          <w:p>
            <w:pPr>
              <w:jc w:val="right"/>
              <w:ind w:right="370"/>
              <w:spacing w:after="0" w:line="218" w:lineRule="exact"/>
              <w:rPr>
                <w:sz w:val="20"/>
                <w:szCs w:val="20"/>
                <w:color w:val="auto"/>
              </w:rPr>
            </w:pPr>
            <w:r>
              <w:rPr>
                <w:rFonts w:ascii="Arial" w:cs="Arial" w:eastAsia="Arial" w:hAnsi="Arial"/>
                <w:sz w:val="18"/>
                <w:szCs w:val="18"/>
                <w:color w:val="auto"/>
              </w:rPr>
              <w:t>Gas</w:t>
            </w:r>
            <w:r>
              <w:rPr>
                <w:rFonts w:ascii="Arial" w:cs="Arial" w:eastAsia="Arial" w:hAnsi="Arial"/>
                <w:sz w:val="23"/>
                <w:szCs w:val="23"/>
                <w:color w:val="auto"/>
                <w:vertAlign w:val="superscript"/>
              </w:rPr>
              <w:t>(1)</w:t>
            </w: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Present Worth</w:t>
            </w:r>
          </w:p>
        </w:tc>
      </w:tr>
      <w:tr>
        <w:trPr>
          <w:trHeight w:val="235"/>
        </w:trPr>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Category</w:t>
            </w:r>
          </w:p>
        </w:tc>
        <w:tc>
          <w:tcPr>
            <w:tcW w:w="400" w:type="dxa"/>
            <w:vAlign w:val="bottom"/>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(MBBL)</w:t>
            </w:r>
          </w:p>
        </w:tc>
        <w:tc>
          <w:tcPr>
            <w:tcW w:w="400" w:type="dxa"/>
            <w:vAlign w:val="bottom"/>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(MMCF)</w:t>
            </w: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at 10%</w:t>
            </w:r>
          </w:p>
        </w:tc>
      </w:tr>
      <w:tr>
        <w:trPr>
          <w:trHeight w:val="461"/>
        </w:trPr>
        <w:tc>
          <w:tcPr>
            <w:tcW w:w="3820" w:type="dxa"/>
            <w:vAlign w:val="bottom"/>
            <w:gridSpan w:val="2"/>
          </w:tcPr>
          <w:p>
            <w:pPr>
              <w:spacing w:after="0"/>
              <w:rPr>
                <w:sz w:val="20"/>
                <w:szCs w:val="20"/>
                <w:color w:val="auto"/>
              </w:rPr>
            </w:pPr>
            <w:r>
              <w:rPr>
                <w:rFonts w:ascii="Arial" w:cs="Arial" w:eastAsia="Arial" w:hAnsi="Arial"/>
                <w:sz w:val="18"/>
                <w:szCs w:val="18"/>
                <w:color w:val="auto"/>
              </w:rPr>
              <w:t>Proved Developed 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222,250.7</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1,106,843.5</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9,350,763.5</w:t>
            </w:r>
          </w:p>
        </w:tc>
        <w:tc>
          <w:tcPr>
            <w:tcW w:w="3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6,020,231.2</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Proved Developed Non-Producing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777.2</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2,910.9</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36,395.9</w:t>
            </w:r>
          </w:p>
        </w:tc>
        <w:tc>
          <w:tcPr>
            <w:tcW w:w="3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22,099.8</w:t>
            </w:r>
          </w:p>
        </w:tc>
      </w:tr>
      <w:tr>
        <w:trPr>
          <w:trHeight w:val="235"/>
        </w:trPr>
        <w:tc>
          <w:tcPr>
            <w:tcW w:w="3820" w:type="dxa"/>
            <w:vAlign w:val="bottom"/>
            <w:gridSpan w:val="2"/>
          </w:tcPr>
          <w:p>
            <w:pPr>
              <w:spacing w:after="0"/>
              <w:rPr>
                <w:sz w:val="20"/>
                <w:szCs w:val="20"/>
                <w:color w:val="auto"/>
              </w:rPr>
            </w:pPr>
            <w:r>
              <w:rPr>
                <w:rFonts w:ascii="Arial" w:cs="Arial" w:eastAsia="Arial" w:hAnsi="Arial"/>
                <w:sz w:val="18"/>
                <w:szCs w:val="18"/>
                <w:color w:val="auto"/>
              </w:rPr>
              <w:t>Proved Undeveloped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152,952.1</w:t>
            </w:r>
          </w:p>
        </w:tc>
        <w:tc>
          <w:tcPr>
            <w:tcW w:w="4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636,649.1</w:t>
            </w: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4,726,342.1</w:t>
            </w:r>
          </w:p>
        </w:tc>
        <w:tc>
          <w:tcPr>
            <w:tcW w:w="3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2,195,419.2</w:t>
            </w:r>
          </w:p>
        </w:tc>
      </w:tr>
      <w:tr>
        <w:trPr>
          <w:trHeight w:val="497"/>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Total Proved</w:t>
            </w:r>
          </w:p>
        </w:tc>
        <w:tc>
          <w:tcPr>
            <w:tcW w:w="1340" w:type="dxa"/>
            <w:vAlign w:val="bottom"/>
          </w:tcPr>
          <w:p>
            <w:pPr>
              <w:jc w:val="right"/>
              <w:spacing w:after="0"/>
              <w:rPr>
                <w:sz w:val="20"/>
                <w:szCs w:val="20"/>
                <w:color w:val="auto"/>
              </w:rPr>
            </w:pPr>
            <w:r>
              <w:rPr>
                <w:rFonts w:ascii="Arial" w:cs="Arial" w:eastAsia="Arial" w:hAnsi="Arial"/>
                <w:sz w:val="18"/>
                <w:szCs w:val="18"/>
                <w:color w:val="auto"/>
              </w:rPr>
              <w:t>375,980.0</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1,746,403.5</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14,113,501.5</w:t>
            </w:r>
          </w:p>
        </w:tc>
        <w:tc>
          <w:tcPr>
            <w:tcW w:w="3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8,237,750.2</w:t>
            </w:r>
          </w:p>
        </w:tc>
      </w:tr>
    </w:tbl>
    <w:p>
      <w:pPr>
        <w:spacing w:after="0" w:line="316" w:lineRule="exact"/>
        <w:rPr>
          <w:sz w:val="20"/>
          <w:szCs w:val="20"/>
          <w:color w:val="auto"/>
        </w:rPr>
      </w:pPr>
    </w:p>
    <w:p>
      <w:pPr>
        <w:ind w:left="540" w:hanging="208"/>
        <w:spacing w:after="0"/>
        <w:tabs>
          <w:tab w:leader="none" w:pos="540"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Gas reserves are inclusive of fuel gas volumes expected to be consumed in field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 in accordance with the Standards Pertaining to the Estimating and Auditing of Oil and Gas Reserves Information</w:t>
      </w:r>
    </w:p>
    <w:p>
      <w:pPr>
        <w:sectPr>
          <w:pgSz w:w="11900" w:h="16838" w:orient="portrait"/>
          <w:cols w:equalWidth="0" w:num="1">
            <w:col w:w="11240"/>
          </w:cols>
          <w:pgMar w:left="320" w:top="117"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promulgated by the Society of Petroleum Engineers (SPE Standards). Additionally, these estimates are within the recommended 10 percent tolerance threshold set forth in the SPE Standards. We are satisfied with the methods and procedures used by MRC in preparing the December 31, 2025, estimates of reserves and future revenue, and we saw nothing of an unusual nature that would cause us to take exception with the estimates, in the aggregate, as prepared by MRC.</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and future revenue included herein have not been adjusted for risk. MRC's estimates do not include probable or</w:t>
      </w:r>
    </w:p>
    <w:p>
      <w:pPr>
        <w:jc w:val="both"/>
        <w:ind w:right="20"/>
        <w:spacing w:after="0" w:line="237" w:lineRule="auto"/>
        <w:rPr>
          <w:sz w:val="20"/>
          <w:szCs w:val="20"/>
          <w:color w:val="auto"/>
        </w:rPr>
      </w:pPr>
      <w:r>
        <w:rPr>
          <w:rFonts w:ascii="Arial" w:cs="Arial" w:eastAsia="Arial" w:hAnsi="Arial"/>
          <w:sz w:val="18"/>
          <w:szCs w:val="18"/>
          <w:color w:val="auto"/>
        </w:rPr>
        <w:t>possible reserves that may exist for these properties, nor do they include any value for undeveloped acreage beyond those tracts for which undeveloped reserves have been estimated.</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Prices used by MRC are based on the 12-month unweighted arithmetic average of the first-day-of-the-month price for each month in the period January through December 2025. For oil volumes, the average West Texas Intermediate posted price of $61.82 per barrel is adjusted by lease for quality, transportation fees, and market differentials. For gas volumes, the average Henry Hub spot price of $3.387 per MMBTU is adjusted by lease for energy content, transportation fees, and market differentials. All prices are held constant throughout the lives of the properties. The average adjusted product prices weighted by production over the remaining lives of the properties are $65.42 per barrel of oil and $1.468 per MCF of gas.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costs used by MRC are based on historical operating expense records. For the nonoperated properties, these costs include the per-well overhead expenses allowed under joint operating agreements along with estimates of costs to be incurred at and below the district and field levels. Operating costs for the operated properties include only direct lease- and field-level costs. Operating costs have been divided into field-level costs, per-well costs, and per-unit-of-production costs. For all properties, headquarters general and administrative overhead expenses of MRC are not included. Capital costs used by MRC are based on authorizations for expenditure and actual costs from</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recent activity. Capital costs are included as required for workovers, new development wells, and production equipment. Abandonment costs used are MRC's estimates of the costs to abandon the wells and production facilities, net of any salvage value. Operating, capital,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abandonment costs are not escalated for inflation.</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such information or data until we had satisfactorily resolved our questions relating thereto or had independently verified such information or data. Our audit did not include a review of MRC's overall reserves management processes and practices.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Standards. Nathan C. Shahan, a Licensed Professional Engineer in the State of Texas, has been practicing consulting petroleum engineering at NSAI since 2007 and has over 5 years of prior industry experience. We are independent petroleum engineers, geologists, geophysicists, and petrophysicists; we do not own an interest in these properties nor are we employed on a contingent basis.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Richard B. Talley, Jr.</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Richard B. Talley, Jr., P.E.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Nathan C. Shahan</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Nathan C. Shahan, P.E. 102389</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Signed: January 21,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NCS:MBG</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CERTIFICATION OF QUALIFICATION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 Nathan C. Shahan, Licensed Professional Engineer, 2100 Ross Avenue, Suite 2200, Dallas, Texas, hereby certify: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 am an employee of Netherland, Sewell &amp; Associates, Inc. in the position of Vice President.</w:t>
      </w:r>
    </w:p>
    <w:p>
      <w:pPr>
        <w:spacing w:after="0" w:line="252" w:lineRule="exact"/>
        <w:rPr>
          <w:sz w:val="20"/>
          <w:szCs w:val="20"/>
          <w:color w:val="auto"/>
        </w:rPr>
      </w:pPr>
    </w:p>
    <w:p>
      <w:pPr>
        <w:jc w:val="both"/>
        <w:ind w:left="660" w:right="660"/>
        <w:spacing w:after="0" w:line="287" w:lineRule="auto"/>
        <w:rPr>
          <w:sz w:val="20"/>
          <w:szCs w:val="20"/>
          <w:color w:val="auto"/>
        </w:rPr>
      </w:pPr>
      <w:r>
        <w:rPr>
          <w:rFonts w:ascii="Arial" w:cs="Arial" w:eastAsia="Arial" w:hAnsi="Arial"/>
          <w:sz w:val="18"/>
          <w:szCs w:val="18"/>
          <w:color w:val="auto"/>
        </w:rPr>
        <w:t>That I do not have, nor do I expect to receive, any direct or indirect interest in the securities of Matador Resources Company or its subsidiaries.</w:t>
      </w:r>
    </w:p>
    <w:p>
      <w:pPr>
        <w:spacing w:after="0" w:line="180" w:lineRule="exact"/>
        <w:rPr>
          <w:sz w:val="20"/>
          <w:szCs w:val="20"/>
          <w:color w:val="auto"/>
        </w:rPr>
      </w:pPr>
    </w:p>
    <w:p>
      <w:pPr>
        <w:jc w:val="both"/>
        <w:ind w:left="660" w:right="660"/>
        <w:spacing w:after="0" w:line="262" w:lineRule="auto"/>
        <w:rPr>
          <w:sz w:val="20"/>
          <w:szCs w:val="20"/>
          <w:color w:val="auto"/>
        </w:rPr>
      </w:pPr>
      <w:r>
        <w:rPr>
          <w:rFonts w:ascii="Arial" w:cs="Arial" w:eastAsia="Arial" w:hAnsi="Arial"/>
          <w:sz w:val="18"/>
          <w:szCs w:val="18"/>
          <w:color w:val="auto"/>
        </w:rPr>
        <w:t>That I attended Texas A&amp;M University and graduated in 2002 with a Bachelor of Science Degree in Petroleum Engineering and in 2007 with a Master of Engineering Degree in Petroleum Engineering; that I am a Licensed Professional Engineer in the State of Texas, United States of America; and that I have in excess of 5 years of prior industry experience in engineering and geoscience studies and evaluations.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C. Shahan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Nathan C. Shahan, P.E.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Registration No. 102389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1)"/>
      <w:numFmt w:val="decimal"/>
      <w:start w:val="1"/>
    </w:lvl>
  </w:abstractNum>
  <w:abstractNum w:abstractNumId="12">
    <w:nsid w:val="310C50B3"/>
    <w:multiLevelType w:val="hybridMultilevel"/>
    <w:lvl w:ilvl="0">
      <w:lvlJc w:val="left"/>
      <w:lvlText w:val="(%1)"/>
      <w:numFmt w:val="decimal"/>
      <w:start w:val="1"/>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1)"/>
      <w:numFmt w:val="decimal"/>
      <w:start w:val="3"/>
    </w:lvl>
  </w:abstractNum>
  <w:abstractNum w:abstractNumId="15">
    <w:nsid w:val="25A70BF7"/>
    <w:multiLevelType w:val="hybridMultilevel"/>
    <w:lvl w:ilvl="0">
      <w:lvlJc w:val="left"/>
      <w:lvlText w:val="(%1)"/>
      <w:numFmt w:val="decimal"/>
      <w:start w:val="1"/>
    </w:lvl>
  </w:abstractNum>
  <w:abstractNum w:abstractNumId="16">
    <w:nsid w:val="1DBABF00"/>
    <w:multiLevelType w:val="hybridMultilevel"/>
    <w:lvl w:ilvl="0">
      <w:lvlJc w:val="left"/>
      <w:lvlText w:val="(%1)"/>
      <w:numFmt w:val="decimal"/>
      <w:start w:val="1"/>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1)"/>
      <w:numFmt w:val="decimal"/>
      <w:start w:val="1"/>
    </w:lvl>
  </w:abstractNum>
  <w:abstractNum w:abstractNumId="19">
    <w:nsid w:val="1381823A"/>
    <w:multiLevelType w:val="hybridMultilevel"/>
    <w:lvl w:ilvl="0">
      <w:lvlJc w:val="left"/>
      <w:lvlText w:val="(%1)"/>
      <w:numFmt w:val="decimal"/>
      <w:start w:val="1"/>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1)"/>
      <w:numFmt w:val="decimal"/>
      <w:start w:val="1"/>
    </w:lvl>
  </w:abstractNum>
  <w:abstractNum w:abstractNumId="22">
    <w:nsid w:val="6590700B"/>
    <w:multiLevelType w:val="hybridMultilevel"/>
    <w:lvl w:ilvl="0">
      <w:lvlJc w:val="left"/>
      <w:lvlText w:val="(%1)"/>
      <w:numFmt w:val="decimal"/>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lowerRoman"/>
      <w:start w:val="3"/>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1)"/>
      <w:numFmt w:val="decimal"/>
      <w:start w:val="6"/>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1)"/>
      <w:numFmt w:val="decimal"/>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upperLetter"/>
      <w:start w:val="35"/>
    </w:lvl>
  </w:abstractNum>
  <w:abstractNum w:abstractNumId="58">
    <w:nsid w:val="76272110"/>
    <w:multiLevelType w:val="hybridMultilevel"/>
    <w:lvl w:ilvl="0">
      <w:lvlJc w:val="left"/>
      <w:lvlText w:val="%1"/>
      <w:numFmt w:val="decimal"/>
      <w:start w:val="97"/>
    </w:lvl>
  </w:abstractNum>
  <w:abstractNum w:abstractNumId="59">
    <w:nsid w:val="4C04A8AF"/>
    <w:multiLevelType w:val="hybridMultilevel"/>
    <w:lvl w:ilvl="0">
      <w:lvlJc w:val="left"/>
      <w:lvlText w:val="%1"/>
      <w:numFmt w:val="decimal"/>
      <w:start w:val="10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1)"/>
      <w:numFmt w:val="decimal"/>
      <w:start w:val="2"/>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decimal"/>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lowerLetter"/>
      <w:start w:val="25"/>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1)"/>
      <w:numFmt w:val="decimal"/>
      <w:start w:val="1"/>
    </w:lvl>
  </w:abstractNum>
  <w:abstractNum w:abstractNumId="80">
    <w:nsid w:val="5FB8011C"/>
    <w:multiLevelType w:val="hybridMultilevel"/>
    <w:lvl w:ilvl="0">
      <w:lvlJc w:val="left"/>
      <w:lvlText w:val="(%1)"/>
      <w:numFmt w:val="decimal"/>
      <w:start w:val="1"/>
    </w:lvl>
  </w:abstractNum>
  <w:abstractNum w:abstractNumId="81">
    <w:nsid w:val="6AA78F7F"/>
    <w:multiLevelType w:val="hybridMultilevel"/>
    <w:lvl w:ilvl="0">
      <w:lvlJc w:val="left"/>
      <w:lvlText w:val="(%1)"/>
      <w:numFmt w:val="decimal"/>
      <w:start w:val="1"/>
    </w:lvl>
  </w:abstractNum>
  <w:abstractNum w:abstractNumId="82">
    <w:nsid w:val="7672BD23"/>
    <w:multiLevelType w:val="hybridMultilevel"/>
    <w:lvl w:ilvl="0">
      <w:lvlJc w:val="left"/>
      <w:lvlText w:val="(%1)"/>
      <w:numFmt w:val="decimal"/>
      <w:start w:val="1"/>
    </w:lvl>
  </w:abstractNum>
  <w:abstractNum w:abstractNumId="83">
    <w:nsid w:val="6FC75AF8"/>
    <w:multiLevelType w:val="hybridMultilevel"/>
    <w:lvl w:ilvl="0">
      <w:lvlJc w:val="left"/>
      <w:lvlText w:val="(%1)"/>
      <w:numFmt w:val="decimal"/>
      <w:start w:val="2"/>
    </w:lvl>
  </w:abstractNum>
  <w:abstractNum w:abstractNumId="84">
    <w:nsid w:val="6A5F7029"/>
    <w:multiLevelType w:val="hybridMultilevel"/>
    <w:lvl w:ilvl="0">
      <w:lvlJc w:val="left"/>
      <w:lvlText w:val="(%1)"/>
      <w:numFmt w:val="decimal"/>
      <w:start w:val="1"/>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decimal"/>
      <w:start w:val="1"/>
    </w:lvl>
  </w:abstractNum>
  <w:abstractNum w:abstractNumId="87">
    <w:nsid w:val="73A1821B"/>
    <w:multiLevelType w:val="hybridMultilevel"/>
    <w:lvl w:ilvl="0">
      <w:lvlJc w:val="left"/>
      <w:lvlText w:val="%1."/>
      <w:numFmt w:val="decimal"/>
      <w:start w:val="1"/>
    </w:lvl>
  </w:abstractNum>
  <w:abstractNum w:abstractNumId="88">
    <w:nsid w:val="7DE67713"/>
    <w:multiLevelType w:val="hybridMultilevel"/>
    <w:lvl w:ilvl="0">
      <w:lvlJc w:val="left"/>
      <w:lvlText w:val="%1."/>
      <w:numFmt w:val="decimal"/>
      <w:start w:val="2"/>
    </w:lvl>
  </w:abstractNum>
  <w:abstractNum w:abstractNumId="89">
    <w:nsid w:val="555C55B5"/>
    <w:multiLevelType w:val="hybridMultilevel"/>
    <w:lvl w:ilvl="0">
      <w:lvlJc w:val="left"/>
      <w:lvlText w:val="%1."/>
      <w:numFmt w:val="decimal"/>
      <w:start w:val="3"/>
    </w:lvl>
  </w:abstractNum>
  <w:abstractNum w:abstractNumId="90">
    <w:nsid w:val="3FA62ACA"/>
    <w:multiLevelType w:val="hybridMultilevel"/>
    <w:lvl w:ilvl="0">
      <w:lvlJc w:val="left"/>
      <w:lvlText w:val="%1."/>
      <w:numFmt w:val="decimal"/>
      <w:start w:val="4"/>
    </w:lvl>
  </w:abstractNum>
  <w:abstractNum w:abstractNumId="91">
    <w:nsid w:val="14FCE74E"/>
    <w:multiLevelType w:val="hybridMultilevel"/>
    <w:lvl w:ilvl="0">
      <w:lvlJc w:val="left"/>
      <w:lvlText w:val="%1."/>
      <w:numFmt w:val="decimal"/>
      <w:start w:val="5"/>
    </w:lvl>
  </w:abstractNum>
  <w:abstractNum w:abstractNumId="92">
    <w:nsid w:val="6A3DD3E8"/>
    <w:multiLevelType w:val="hybridMultilevel"/>
    <w:lvl w:ilvl="0">
      <w:lvlJc w:val="left"/>
      <w:lvlText w:val="%1."/>
      <w:numFmt w:val="decimal"/>
      <w:start w:val="6"/>
    </w:lvl>
  </w:abstractNum>
  <w:abstractNum w:abstractNumId="93">
    <w:nsid w:val="71C91298"/>
    <w:multiLevelType w:val="hybridMultilevel"/>
    <w:lvl w:ilvl="0">
      <w:lvlJc w:val="left"/>
      <w:lvlText w:val="%1."/>
      <w:numFmt w:val="decimal"/>
      <w:start w:val="7"/>
    </w:lvl>
  </w:abstractNum>
  <w:abstractNum w:abstractNumId="94">
    <w:nsid w:val="9DAF632"/>
    <w:multiLevelType w:val="hybridMultilevel"/>
    <w:lvl w:ilvl="0">
      <w:lvlJc w:val="left"/>
      <w:lvlText w:val="%1."/>
      <w:numFmt w:val="decimal"/>
      <w:start w:val="8"/>
    </w:lvl>
  </w:abstractNum>
  <w:abstractNum w:abstractNumId="95">
    <w:nsid w:val="53299938"/>
    <w:multiLevelType w:val="hybridMultilevel"/>
    <w:lvl w:ilvl="0">
      <w:lvlJc w:val="left"/>
      <w:lvlText w:val="%1."/>
      <w:numFmt w:val="decimal"/>
      <w:start w:val="9"/>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decimal"/>
      <w:start w:val="2"/>
    </w:lvl>
  </w:abstractNum>
  <w:abstractNum w:abstractNumId="98">
    <w:nsid w:val="1D545C4D"/>
    <w:multiLevelType w:val="hybridMultilevel"/>
    <w:lvl w:ilvl="0">
      <w:lvlJc w:val="left"/>
      <w:lvlText w:val="%1."/>
      <w:numFmt w:val="decimal"/>
      <w:start w:val="3"/>
    </w:lvl>
  </w:abstractNum>
  <w:abstractNum w:abstractNumId="99">
    <w:nsid w:val="59ADEA3D"/>
    <w:multiLevelType w:val="hybridMultilevel"/>
    <w:lvl w:ilvl="0">
      <w:lvlJc w:val="left"/>
      <w:lvlText w:val="%1."/>
      <w:numFmt w:val="decimal"/>
      <w:start w:val="4"/>
    </w:lvl>
  </w:abstractNum>
  <w:abstractNum w:abstractNumId="100">
    <w:nsid w:val="288F1A34"/>
    <w:multiLevelType w:val="hybridMultilevel"/>
    <w:lvl w:ilvl="0">
      <w:lvlJc w:val="left"/>
      <w:lvlText w:val="%1."/>
      <w:numFmt w:val="decimal"/>
      <w:start w:val="1"/>
    </w:lvl>
  </w:abstractNum>
  <w:abstractNum w:abstractNumId="101">
    <w:nsid w:val="2A155DBC"/>
    <w:multiLevelType w:val="hybridMultilevel"/>
    <w:lvl w:ilvl="0">
      <w:lvlJc w:val="left"/>
      <w:lvlText w:val="%1."/>
      <w:numFmt w:val="decimal"/>
      <w:start w:val="2"/>
    </w:lvl>
  </w:abstractNum>
  <w:abstractNum w:abstractNumId="102">
    <w:nsid w:val="1D9F6E5F"/>
    <w:multiLevelType w:val="hybridMultilevel"/>
    <w:lvl w:ilvl="0">
      <w:lvlJc w:val="left"/>
      <w:lvlText w:val="%1."/>
      <w:numFmt w:val="decimal"/>
      <w:start w:val="3"/>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decimal"/>
      <w:start w:val="2"/>
    </w:lvl>
  </w:abstractNum>
  <w:abstractNum w:abstractNumId="107">
    <w:nsid w:val="415E286C"/>
    <w:multiLevelType w:val="hybridMultilevel"/>
    <w:lvl w:ilvl="0">
      <w:lvlJc w:val="left"/>
      <w:lvlText w:val="%1."/>
      <w:numFmt w:val="decimal"/>
      <w:start w:val="3"/>
    </w:lvl>
  </w:abstractNum>
  <w:abstractNum w:abstractNumId="108">
    <w:nsid w:val="7C58FD05"/>
    <w:multiLevelType w:val="hybridMultilevel"/>
    <w:lvl w:ilvl="0">
      <w:lvlJc w:val="left"/>
      <w:lvlText w:val="%1."/>
      <w:numFmt w:val="decimal"/>
      <w:start w:val="4"/>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
    </w:lvl>
    <w:lvl w:ilvl="1">
      <w:lvlJc w:val="left"/>
      <w:lvlText w:val="%2."/>
      <w:numFmt w:val="lowerLetter"/>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2" Type="http://schemas.openxmlformats.org/officeDocument/2006/relationships/image" Target="media/image99.png"/><Relationship Id="rId140" Type="http://schemas.openxmlformats.org/officeDocument/2006/relationships/image" Target="media/image100.png"/><Relationship Id="rId157" Type="http://schemas.openxmlformats.org/officeDocument/2006/relationships/image" Target="media/image101.png"/><Relationship Id="rId176" Type="http://schemas.openxmlformats.org/officeDocument/2006/relationships/image" Target="media/image102.png"/><Relationship Id="rId178" Type="http://schemas.openxmlformats.org/officeDocument/2006/relationships/image" Target="media/image103.png"/><Relationship Id="rId179" Type="http://schemas.openxmlformats.org/officeDocument/2006/relationships/image" Target="media/image104.png"/><Relationship Id="rId180" Type="http://schemas.openxmlformats.org/officeDocument/2006/relationships/image" Target="media/image105.png"/><Relationship Id="rId181" Type="http://schemas.openxmlformats.org/officeDocument/2006/relationships/image" Target="media/image106.png"/><Relationship Id="rId182" Type="http://schemas.openxmlformats.org/officeDocument/2006/relationships/image" Target="media/image107.png"/><Relationship Id="rId183" Type="http://schemas.openxmlformats.org/officeDocument/2006/relationships/image" Target="media/image108.png"/><Relationship Id="rId184" Type="http://schemas.openxmlformats.org/officeDocument/2006/relationships/image" Target="media/image109.png"/><Relationship Id="rId185" Type="http://schemas.openxmlformats.org/officeDocument/2006/relationships/image" Target="media/image110.png"/><Relationship Id="rId186" Type="http://schemas.openxmlformats.org/officeDocument/2006/relationships/image" Target="media/image111.png"/><Relationship Id="rId187" Type="http://schemas.openxmlformats.org/officeDocument/2006/relationships/image" Target="media/image112.png"/><Relationship Id="rId188" Type="http://schemas.openxmlformats.org/officeDocument/2006/relationships/image" Target="media/image113.png"/><Relationship Id="rId189" Type="http://schemas.openxmlformats.org/officeDocument/2006/relationships/image" Target="media/image114.png"/><Relationship Id="rId190" Type="http://schemas.openxmlformats.org/officeDocument/2006/relationships/image" Target="media/image115.png"/><Relationship Id="rId191" Type="http://schemas.openxmlformats.org/officeDocument/2006/relationships/image" Target="media/image116.png"/><Relationship Id="rId192" Type="http://schemas.openxmlformats.org/officeDocument/2006/relationships/image" Target="media/image117.png"/><Relationship Id="rId193" Type="http://schemas.openxmlformats.org/officeDocument/2006/relationships/image" Target="media/image118.png"/><Relationship Id="rId194" Type="http://schemas.openxmlformats.org/officeDocument/2006/relationships/image" Target="media/image119.png"/><Relationship Id="rId195"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8" Type="http://schemas.openxmlformats.org/officeDocument/2006/relationships/image" Target="media/image123.png"/><Relationship Id="rId199" Type="http://schemas.openxmlformats.org/officeDocument/2006/relationships/image" Target="media/image124.png"/><Relationship Id="rId200" Type="http://schemas.openxmlformats.org/officeDocument/2006/relationships/image" Target="media/image125.png"/><Relationship Id="rId201" Type="http://schemas.openxmlformats.org/officeDocument/2006/relationships/image" Target="media/image126.png"/><Relationship Id="rId202" Type="http://schemas.openxmlformats.org/officeDocument/2006/relationships/image" Target="media/image127.png"/><Relationship Id="rId203" Type="http://schemas.openxmlformats.org/officeDocument/2006/relationships/image" Target="media/image128.png"/><Relationship Id="rId204" Type="http://schemas.openxmlformats.org/officeDocument/2006/relationships/image" Target="media/image129.png"/><Relationship Id="rId205" Type="http://schemas.openxmlformats.org/officeDocument/2006/relationships/image" Target="media/image130.png"/><Relationship Id="rId206" Type="http://schemas.openxmlformats.org/officeDocument/2006/relationships/image" Target="media/image131.png"/><Relationship Id="rId207" Type="http://schemas.openxmlformats.org/officeDocument/2006/relationships/image" Target="media/image132.png"/><Relationship Id="rId208" Type="http://schemas.openxmlformats.org/officeDocument/2006/relationships/image" Target="media/image133.png"/><Relationship Id="rId209" Type="http://schemas.openxmlformats.org/officeDocument/2006/relationships/image" Target="media/image134.png"/><Relationship Id="rId210" Type="http://schemas.openxmlformats.org/officeDocument/2006/relationships/image" Target="media/image135.png"/><Relationship Id="rId211" Type="http://schemas.openxmlformats.org/officeDocument/2006/relationships/image" Target="media/image136.png"/><Relationship Id="rId212" Type="http://schemas.openxmlformats.org/officeDocument/2006/relationships/image" Target="media/image137.png"/><Relationship Id="rId213" Type="http://schemas.openxmlformats.org/officeDocument/2006/relationships/image" Target="media/image138.png"/><Relationship Id="rId214" Type="http://schemas.openxmlformats.org/officeDocument/2006/relationships/image" Target="media/image139.png"/><Relationship Id="rId215" Type="http://schemas.openxmlformats.org/officeDocument/2006/relationships/image" Target="media/image140.png"/><Relationship Id="rId216" Type="http://schemas.openxmlformats.org/officeDocument/2006/relationships/image" Target="media/image141.png"/><Relationship Id="rId217" Type="http://schemas.openxmlformats.org/officeDocument/2006/relationships/image" Target="media/image142.png"/><Relationship Id="rId218" Type="http://schemas.openxmlformats.org/officeDocument/2006/relationships/image" Target="media/image143.png"/><Relationship Id="rId219" Type="http://schemas.openxmlformats.org/officeDocument/2006/relationships/image" Target="media/image144.png"/><Relationship Id="rId220" Type="http://schemas.openxmlformats.org/officeDocument/2006/relationships/image" Target="media/image145.png"/><Relationship Id="rId221" Type="http://schemas.openxmlformats.org/officeDocument/2006/relationships/image" Target="media/image146.png"/><Relationship Id="rId222" Type="http://schemas.openxmlformats.org/officeDocument/2006/relationships/image" Target="media/image147.png"/><Relationship Id="rId223" Type="http://schemas.openxmlformats.org/officeDocument/2006/relationships/image" Target="media/image148.png"/><Relationship Id="rId224" Type="http://schemas.openxmlformats.org/officeDocument/2006/relationships/image" Target="media/image149.png"/><Relationship Id="rId225" Type="http://schemas.openxmlformats.org/officeDocument/2006/relationships/image" Target="media/image150.png"/><Relationship Id="rId226" Type="http://schemas.openxmlformats.org/officeDocument/2006/relationships/image" Target="media/image151.png"/><Relationship Id="rId227" Type="http://schemas.openxmlformats.org/officeDocument/2006/relationships/image" Target="media/image152.png"/><Relationship Id="rId228" Type="http://schemas.openxmlformats.org/officeDocument/2006/relationships/image" Target="media/image153.png"/><Relationship Id="rId229" Type="http://schemas.openxmlformats.org/officeDocument/2006/relationships/image" Target="media/image154.png"/><Relationship Id="rId230" Type="http://schemas.openxmlformats.org/officeDocument/2006/relationships/image" Target="media/image155.png"/><Relationship Id="rId231" Type="http://schemas.openxmlformats.org/officeDocument/2006/relationships/image" Target="media/image156.png"/><Relationship Id="rId232" Type="http://schemas.openxmlformats.org/officeDocument/2006/relationships/image" Target="media/image157.png"/><Relationship Id="rId233" Type="http://schemas.openxmlformats.org/officeDocument/2006/relationships/image" Target="media/image158.png"/><Relationship Id="rId234" Type="http://schemas.openxmlformats.org/officeDocument/2006/relationships/image" Target="media/image159.png"/><Relationship Id="rId235" Type="http://schemas.openxmlformats.org/officeDocument/2006/relationships/image" Target="media/image160.png"/><Relationship Id="rId236" Type="http://schemas.openxmlformats.org/officeDocument/2006/relationships/image" Target="media/image161.png"/><Relationship Id="rId237" Type="http://schemas.openxmlformats.org/officeDocument/2006/relationships/image" Target="media/image162.png"/><Relationship Id="rId106" Type="http://schemas.openxmlformats.org/officeDocument/2006/relationships/hyperlink" Target="https://www.sec.gov/Archives/edgar/data/1520006/000119312523013640/d428449dex21.htm" TargetMode="External"/><Relationship Id="rId107" Type="http://schemas.openxmlformats.org/officeDocument/2006/relationships/hyperlink" Target="https://www.sec.gov/Archives/edgar/data/1520006/000152000624000078/a20231231mtdr10-kex22.htm" TargetMode="External"/><Relationship Id="rId108" Type="http://schemas.openxmlformats.org/officeDocument/2006/relationships/hyperlink" Target="https://www.sec.gov/Archives/edgar/data/1520006/000152000624000078/a20231231mtdr10-kex23.htm" TargetMode="External"/><Relationship Id="rId109" Type="http://schemas.openxmlformats.org/officeDocument/2006/relationships/hyperlink" Target="https://www.sec.gov/Archives/edgar/data/1520006/000110465924070829/tm2417025d1_ex2-1.htm" TargetMode="External"/><Relationship Id="rId110" Type="http://schemas.openxmlformats.org/officeDocument/2006/relationships/hyperlink" Target="https://www.sec.gov/Archives/edgar/data/1520006/000152000624000209/a20240930mtdr10qex23.htm" TargetMode="External"/><Relationship Id="rId111" Type="http://schemas.openxmlformats.org/officeDocument/2006/relationships/hyperlink" Target="https://www.sec.gov/Archives/edgar/data/1520006/000152000625000066/a20241231mtdr10kex26.htm" TargetMode="External"/><Relationship Id="rId112" Type="http://schemas.openxmlformats.org/officeDocument/2006/relationships/hyperlink" Target="https://www.sec.gov/Archives/edgar/data/1520006/000152000617000188/a20170630mtdr10q-exhibit32.htm" TargetMode="External"/><Relationship Id="rId113" Type="http://schemas.openxmlformats.org/officeDocument/2006/relationships/hyperlink" Target="https://www.sec.gov/Archives/edgar/data/1520006/000152000617000188/a20170630mtdr10q-exhibit33.htm" TargetMode="External"/><Relationship Id="rId114" Type="http://schemas.openxmlformats.org/officeDocument/2006/relationships/hyperlink" Target="https://www.sec.gov/Archives/edgar/data/1520006/000152000617000188/a20170630mtdr10q-exhibit34.htm" TargetMode="External"/><Relationship Id="rId115" Type="http://schemas.openxmlformats.org/officeDocument/2006/relationships/hyperlink" Target="https://www.sec.gov/Archives/edgar/data/1520006/000152000618000051/a20171231mtdr8k-amendedbyl.htm" TargetMode="External"/><Relationship Id="rId116" Type="http://schemas.openxmlformats.org/officeDocument/2006/relationships/hyperlink" Target="https://www.sec.gov/Archives/edgar/data/1520006/000119312512016839/d217064dex41.htm" TargetMode="External"/><Relationship Id="rId117" Type="http://schemas.openxmlformats.org/officeDocument/2006/relationships/hyperlink" Target="https://www.sec.gov/Archives/edgar/data/1520006/000119312523097891/d459785dex41.htm" TargetMode="External"/><Relationship Id="rId118" Type="http://schemas.openxmlformats.org/officeDocument/2006/relationships/hyperlink" Target="https://www.sec.gov/Archives/edgar/data/1520006/000152000623000174/a20230630mtdr10qex43.htm" TargetMode="External"/><Relationship Id="rId119" Type="http://schemas.openxmlformats.org/officeDocument/2006/relationships/hyperlink" Target="https://www.sec.gov/Archives/edgar/data/1520006/000119312524084849/d797085dex41.htm" TargetMode="External"/><Relationship Id="rId120" Type="http://schemas.openxmlformats.org/officeDocument/2006/relationships/hyperlink" Target="https://www.sec.gov/Archives/edgar/data/1520006/000152000624000209/a20240930mtdr10qex42.htm" TargetMode="External"/><Relationship Id="rId121" Type="http://schemas.openxmlformats.org/officeDocument/2006/relationships/hyperlink" Target="https://www.sec.gov/Archives/edgar/data/1520006/000152000624000209/a20240930mtdr10qex43.htm" TargetMode="External"/><Relationship Id="rId123" Type="http://schemas.openxmlformats.org/officeDocument/2006/relationships/hyperlink" Target="https://www.sec.gov/Archives/edgar/data/1520006/000110465924102789/tm2424667d1_ex4-1.htm" TargetMode="External"/><Relationship Id="rId124" Type="http://schemas.openxmlformats.org/officeDocument/2006/relationships/hyperlink" Target="https://www.sec.gov/Archives/edgar/data/1520006/000152000625000122/a20250331mtdr10qex41.htm" TargetMode="External"/><Relationship Id="rId125" Type="http://schemas.openxmlformats.org/officeDocument/2006/relationships/hyperlink" Target="https://www.sec.gov/Archives/edgar/data/1520006/000152000625000122/a20250331mtdr10qex42.htm" TargetMode="External"/><Relationship Id="rId126" Type="http://schemas.openxmlformats.org/officeDocument/2006/relationships/hyperlink" Target="https://www.sec.gov/Archives/edgar/data/1520006/000152000625000122/a20250331mtdr10qex43.htm" TargetMode="External"/><Relationship Id="rId127" Type="http://schemas.openxmlformats.org/officeDocument/2006/relationships/hyperlink" Target="https://www.sec.gov/Archives/edgar/data/1520006/000152000620000037/a20191231mtdr10-kex44.htm" TargetMode="External"/><Relationship Id="rId128" Type="http://schemas.openxmlformats.org/officeDocument/2006/relationships/hyperlink" Target="https://www.sec.gov/Archives/edgar/data/1520006/000119312511310666/d217064dex103.htm" TargetMode="External"/><Relationship Id="rId129" Type="http://schemas.openxmlformats.org/officeDocument/2006/relationships/hyperlink" Target="https://www.sec.gov/Archives/edgar/data/1520006/000119312511310666/d217064dex108.htm" TargetMode="External"/><Relationship Id="rId130" Type="http://schemas.openxmlformats.org/officeDocument/2006/relationships/hyperlink" Target="https://www.sec.gov/Archives/edgar/data/1520006/000119312511356358/d217064dex1012.htm" TargetMode="External"/><Relationship Id="rId131" Type="http://schemas.openxmlformats.org/officeDocument/2006/relationships/hyperlink" Target="https://www.sec.gov/Archives/edgar/data/1520006/000152000615000008/mtdr10-k12312014ex1052.htm" TargetMode="External"/><Relationship Id="rId132" Type="http://schemas.openxmlformats.org/officeDocument/2006/relationships/hyperlink" Target="https://www.sec.gov/Archives/edgar/data/1520006/000152000617000141/mtdrexhibit1012017q1.htm" TargetMode="External"/><Relationship Id="rId133" Type="http://schemas.openxmlformats.org/officeDocument/2006/relationships/hyperlink" Target="https://www.sec.gov/Archives/edgar/data/1520006/000152000619000115/a20190630mtdr10q-exhibit104.htm" TargetMode="External"/><Relationship Id="rId134" Type="http://schemas.openxmlformats.org/officeDocument/2006/relationships/hyperlink" Target="https://www.sec.gov/Archives/edgar/data/1520006/000152000622000206/a20220930mtdr10qex101.htm" TargetMode="External"/><Relationship Id="rId135" Type="http://schemas.openxmlformats.org/officeDocument/2006/relationships/hyperlink" Target="https://www.sec.gov/Archives/edgar/data/1520006/000152000624000105/a20240331mtdr10qex102.htm" TargetMode="External"/><Relationship Id="rId136" Type="http://schemas.openxmlformats.org/officeDocument/2006/relationships/hyperlink" Target="https://www.sec.gov/Archives/edgar/data/1520006/000162828026003190/a20260123mtdr8-kex101.htm" TargetMode="External"/><Relationship Id="rId137" Type="http://schemas.openxmlformats.org/officeDocument/2006/relationships/hyperlink" Target="https://www.sec.gov/Archives/edgar/data/1520006/000119312511310666/d217064dex1022.htm" TargetMode="External"/><Relationship Id="rId138" Type="http://schemas.openxmlformats.org/officeDocument/2006/relationships/hyperlink" Target="https://www.sec.gov/Archives/edgar/data/1520006/000119312513111031/d444422dex1049.htm" TargetMode="External"/><Relationship Id="rId139" Type="http://schemas.openxmlformats.org/officeDocument/2006/relationships/hyperlink" Target="https://www.sec.gov/Archives/edgar/data/1520006/000119312513111031/d444422dex1050.htm" TargetMode="External"/><Relationship Id="rId141" Type="http://schemas.openxmlformats.org/officeDocument/2006/relationships/hyperlink" Target="https://www.sec.gov/Archives/edgar/data/1520006/000152000621000236/a20211118mtdrex101forupl.htm" TargetMode="External"/><Relationship Id="rId142" Type="http://schemas.openxmlformats.org/officeDocument/2006/relationships/hyperlink" Target="https://www.sec.gov/Archives/edgar/data/1520006/000152000622000109/a20220331mtdr10qex101.htm" TargetMode="External"/><Relationship Id="rId143" Type="http://schemas.openxmlformats.org/officeDocument/2006/relationships/hyperlink" Target="https://www.sec.gov/Archives/edgar/data/1520006/000152000623000087/truist_matador-secondame.htm" TargetMode="External"/><Relationship Id="rId144" Type="http://schemas.openxmlformats.org/officeDocument/2006/relationships/hyperlink" Target="https://www.sec.gov/Archives/edgar/data/1520006/000152000623000102/a20230331mtdr10qex102.htm" TargetMode="External"/><Relationship Id="rId145" Type="http://schemas.openxmlformats.org/officeDocument/2006/relationships/hyperlink" Target="https://www.sec.gov/Archives/edgar/data/1520006/000152000623000188/a20231019mtdr8kex101.htm" TargetMode="External"/><Relationship Id="rId146" Type="http://schemas.openxmlformats.org/officeDocument/2006/relationships/hyperlink" Target="https://www.sec.gov/Archives/edgar/data/1520006/000119312524075954/d811227dex101.htm" TargetMode="External"/><Relationship Id="rId147" Type="http://schemas.openxmlformats.org/officeDocument/2006/relationships/hyperlink" Target="https://www.sec.gov/Archives/edgar/data/1520006/000110465924101211/tm2424254d1_ex10-1.htm" TargetMode="External"/><Relationship Id="rId148" Type="http://schemas.openxmlformats.org/officeDocument/2006/relationships/hyperlink" Target="https://www.sec.gov/Archives/edgar/data/1520006/000110465925120120/tm2533173d2_ex10-1.htm" TargetMode="External"/><Relationship Id="rId149" Type="http://schemas.openxmlformats.org/officeDocument/2006/relationships/hyperlink" Target="https://www.sec.gov/Archives/edgar/data/1520006/000152000616000245/mtdr10-k12312015ex1059.htm" TargetMode="External"/><Relationship Id="rId150" Type="http://schemas.openxmlformats.org/officeDocument/2006/relationships/hyperlink" Target="https://www.sec.gov/Archives/edgar/data/1520006/000152000619000048/a20181231mtdr10-kex1066.htm" TargetMode="External"/><Relationship Id="rId151" Type="http://schemas.openxmlformats.org/officeDocument/2006/relationships/hyperlink" Target="https://www.sec.gov/Archives/edgar/data/1520006/000152000615000102/matador-amendedandrestated.htm" TargetMode="External"/><Relationship Id="rId152" Type="http://schemas.openxmlformats.org/officeDocument/2006/relationships/hyperlink" Target="https://www.sec.gov/Archives/edgar/data/1520006/000152000617000199/a20170930mtdr10q-exhibit101.htm" TargetMode="External"/><Relationship Id="rId153" Type="http://schemas.openxmlformats.org/officeDocument/2006/relationships/hyperlink" Target="https://www.sec.gov/Archives/edgar/data/1520006/000152000616000245/mtdr10-k12312015ex1053.htm" TargetMode="External"/><Relationship Id="rId154" Type="http://schemas.openxmlformats.org/officeDocument/2006/relationships/hyperlink" Target="https://www.sec.gov/Archives/edgar/data/1520006/000152000616000245/mtdr10-k12312015ex1054.htm" TargetMode="External"/><Relationship Id="rId155" Type="http://schemas.openxmlformats.org/officeDocument/2006/relationships/hyperlink" Target="https://www.sec.gov/Archives/edgar/data/1520006/000152000617000074/mtdr10-k12312016ex1063.htm" TargetMode="External"/><Relationship Id="rId156" Type="http://schemas.openxmlformats.org/officeDocument/2006/relationships/hyperlink" Target="https://www.sec.gov/Archives/edgar/data/1520006/000152000617000188/a20170630mtdr10q-exhibit104.htm" TargetMode="External"/><Relationship Id="rId158" Type="http://schemas.openxmlformats.org/officeDocument/2006/relationships/hyperlink" Target="https://www.sec.gov/Archives/edgar/data/1520006/000152000617000199/a20170930mtdr10q-exhibit103.htm" TargetMode="External"/><Relationship Id="rId159" Type="http://schemas.openxmlformats.org/officeDocument/2006/relationships/hyperlink" Target="https://www.sec.gov/Archives/edgar/data/1520006/000152000617000199/a20170930mtdr10q-exhibit104.htm" TargetMode="External"/><Relationship Id="rId160" Type="http://schemas.openxmlformats.org/officeDocument/2006/relationships/hyperlink" Target="https://www.sec.gov/Archives/edgar/data/1520006/000152000617000199/a20170930mtdr10q-exhibit105.htm" TargetMode="External"/><Relationship Id="rId161" Type="http://schemas.openxmlformats.org/officeDocument/2006/relationships/hyperlink" Target="https://www.sec.gov/Archives/edgar/data/1520006/000152000617000199/a20170930mtdr10q-exhibit106.htm" TargetMode="External"/><Relationship Id="rId162" Type="http://schemas.openxmlformats.org/officeDocument/2006/relationships/hyperlink" Target="https://www.sec.gov/Archives/edgar/data/1520006/000152000617000199/a20170930mtdr10q-exhibit107.htm" TargetMode="External"/><Relationship Id="rId163" Type="http://schemas.openxmlformats.org/officeDocument/2006/relationships/hyperlink" Target="https://www.sec.gov/Archives/edgar/data/1520006/000152000619000048/a20181231mtdr10-kex1067.htm" TargetMode="External"/><Relationship Id="rId164" Type="http://schemas.openxmlformats.org/officeDocument/2006/relationships/hyperlink" Target="https://www.sec.gov/Archives/edgar/data/1520006/000152000619000048/a20181231mtdr10-kex1068.htm" TargetMode="External"/><Relationship Id="rId165" Type="http://schemas.openxmlformats.org/officeDocument/2006/relationships/hyperlink" Target="https://www.sec.gov/Archives/edgar/data/1520006/000119312519167218/d760472dex991.htm" TargetMode="External"/><Relationship Id="rId166" Type="http://schemas.openxmlformats.org/officeDocument/2006/relationships/hyperlink" Target="https://www.sec.gov/Archives/edgar/data/1520006/000152000622000164/mtdrltipamendment-ex101.htm" TargetMode="External"/><Relationship Id="rId167" Type="http://schemas.openxmlformats.org/officeDocument/2006/relationships/hyperlink" Target="https://www.sec.gov/Archives/edgar/data/1520006/000152000619000115/a20190630mtdr10q-exhibit102.htm" TargetMode="External"/><Relationship Id="rId168" Type="http://schemas.openxmlformats.org/officeDocument/2006/relationships/hyperlink" Target="https://www.sec.gov/Archives/edgar/data/1520006/000152000619000115/a20190630mtdr10q-exhibit103.htm" TargetMode="External"/><Relationship Id="rId169" Type="http://schemas.openxmlformats.org/officeDocument/2006/relationships/hyperlink" Target="https://www.sec.gov/Archives/edgar/data/1520006/000152000620000140/a20200331mtdr10q-exhibit101.htm" TargetMode="External"/><Relationship Id="rId170" Type="http://schemas.openxmlformats.org/officeDocument/2006/relationships/hyperlink" Target="https://www.sec.gov/Archives/edgar/data/1520006/000152000620000140/a20200331mtdr10q-exhbit102.htm" TargetMode="External"/><Relationship Id="rId171" Type="http://schemas.openxmlformats.org/officeDocument/2006/relationships/hyperlink" Target="https://www.sec.gov/Archives/edgar/data/1520006/000152000622000065/a20211231mtdr10-kex1058.htm" TargetMode="External"/><Relationship Id="rId172" Type="http://schemas.openxmlformats.org/officeDocument/2006/relationships/hyperlink" Target="https://www.sec.gov/Archives/edgar/data/1520006/000152000622000065/a20211231mtdr10-kex1059.htm" TargetMode="External"/><Relationship Id="rId173" Type="http://schemas.openxmlformats.org/officeDocument/2006/relationships/hyperlink" Target="https://www.sec.gov/Archives/edgar/data/1520006/000152000622000065/a20211231mtdr10-kex1060.htm" TargetMode="External"/><Relationship Id="rId174" Type="http://schemas.openxmlformats.org/officeDocument/2006/relationships/hyperlink" Target="https://www.sec.gov/Archives/edgar/data/1520006/000152000621000056/a20201231mtdr10-kex1056.htm" TargetMode="External"/><Relationship Id="rId175" Type="http://schemas.openxmlformats.org/officeDocument/2006/relationships/hyperlink" Target="https://www.sec.gov/Archives/edgar/data/1520006/000152000622000164/mtdrespp-ex102.htm" TargetMode="External"/><Relationship Id="rId177" Type="http://schemas.openxmlformats.org/officeDocument/2006/relationships/hyperlink" Target="https://www.sec.gov/Archives/edgar/data/1520006/000152000624000078/a20231231mtdr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2026-02-26T06:13:21Z</dcterms:created>
  <dcterms:modified xsi:type="dcterms:W3CDTF">2026-02-26T06:13:21Z</dcterms:modified>
</cp:coreProperties>
</file>