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 </w:t>
      </w:r>
    </w:p>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001-35410 </w:t>
      </w:r>
    </w:p>
    <w:p>
      <w:pPr>
        <w:pStyle w:val="TextBody"/>
        <w:bidi w:val="0"/>
        <w:spacing w:lineRule="auto" w:line="288" w:before="0" w:after="0"/>
        <w:jc w:val="center"/>
        <w:rPr/>
      </w:pPr>
      <w:r>
        <w:rPr>
          <w:color w:val="000000"/>
        </w:rPr>
        <w:t> </w:t>
      </w:r>
      <w:r>
        <w:rPr>
          <w:rFonts w:ascii="Times New Roman;serif" w:hAnsi="Times New Roman;serif"/>
          <w:b w:val="false"/>
          <w:color w:val="000000"/>
          <w:sz w:val="12"/>
        </w:rPr>
        <w:t>_________________________________________________________  </w:t>
      </w:r>
    </w:p>
    <w:p>
      <w:pPr>
        <w:pStyle w:val="TextBody"/>
        <w:bidi w:val="0"/>
        <w:spacing w:lineRule="auto" w:line="216" w:before="120" w:after="283"/>
        <w:jc w:val="center"/>
        <w:rPr>
          <w:rFonts w:ascii="Times New Roman;serif" w:hAnsi="Times New Roman;serif"/>
          <w:b/>
          <w:color w:val="000000"/>
          <w:sz w:val="48"/>
        </w:rPr>
      </w:pPr>
      <w:r>
        <w:rPr>
          <w:rFonts w:ascii="Times New Roman;serif" w:hAnsi="Times New Roman;serif"/>
          <w:b/>
          <w:color w:val="000000"/>
          <w:sz w:val="48"/>
        </w:rPr>
        <w:t xml:space="preserve">Matador Resources Company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12"/>
        </w:rPr>
        <w:t>_________________________________________________________</w:t>
      </w:r>
      <w:r>
        <w:rPr>
          <w:color w:val="000000"/>
        </w:rPr>
        <w:t> </w:t>
      </w:r>
    </w:p>
    <w:tbl>
      <w:tblPr>
        <w:tblW w:w="4409" w:type="dxa"/>
        <w:jc w:val="center"/>
        <w:tblInd w:w="0" w:type="dxa"/>
        <w:tblLayout w:type="fixed"/>
        <w:tblCellMar>
          <w:top w:w="28" w:type="dxa"/>
          <w:left w:w="28" w:type="dxa"/>
          <w:bottom w:w="28" w:type="dxa"/>
          <w:right w:w="28" w:type="dxa"/>
        </w:tblCellMar>
      </w:tblPr>
      <w:tblGrid>
        <w:gridCol w:w="1055"/>
        <w:gridCol w:w="930"/>
        <w:gridCol w:w="940"/>
        <w:gridCol w:w="433"/>
        <w:gridCol w:w="433"/>
        <w:gridCol w:w="618"/>
      </w:tblGrid>
      <w:tr>
        <w:trPr/>
        <w:tc>
          <w:tcPr>
            <w:tcW w:w="105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27-4662601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5400 LBJ Freeway, Suite 1500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Dallas,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75240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(972) 371-5200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_________________________________________________________</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is a shell company (as defined in Rule 12b-2 of the Exchange Act).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180" w:after="283"/>
        <w:jc w:val="left"/>
        <w:rPr/>
      </w:pPr>
      <w:r>
        <w:rPr>
          <w:rFonts w:ascii="Times New Roman;serif" w:hAnsi="Times New Roman;serif"/>
          <w:b w:val="false"/>
          <w:color w:val="000000"/>
          <w:sz w:val="18"/>
        </w:rPr>
        <w:t xml:space="preserve">As of August 5, 2026, there were 123,754,216 shares of the registrant’s common </w:t>
      </w:r>
      <w:r>
        <w:rPr>
          <w:rFonts w:ascii="Times New Roman;serif" w:hAnsi="Times New Roman;serif"/>
          <w:b w:val="false"/>
          <w:color w:val="000000"/>
          <w:sz w:val="18"/>
          <w:shd w:fill="FFFFFF" w:val="clear"/>
        </w:rPr>
        <w:t>s</w:t>
      </w:r>
      <w:r>
        <w:rPr>
          <w:rFonts w:ascii="Times New Roman;serif" w:hAnsi="Times New Roman;serif"/>
          <w:b w:val="false"/>
          <w:color w:val="000000"/>
          <w:sz w:val="18"/>
        </w:rPr>
        <w:t>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99"/>
        <w:gridCol w:w="3079"/>
        <w:gridCol w:w="3085"/>
        <w:gridCol w:w="158"/>
        <w:gridCol w:w="158"/>
        <w:gridCol w:w="226"/>
      </w:tblGrid>
      <w:tr>
        <w:trPr/>
        <w:tc>
          <w:tcPr>
            <w:tcW w:w="349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0">
              <w:r>
                <w:rPr>
                  <w:rStyle w:val="InternetLink"/>
                  <w:rFonts w:ascii="Times New Roman;serif" w:hAnsi="Times New Roman;serif"/>
                  <w:b w:val="false"/>
                  <w:color w:val="0000FF"/>
                  <w:sz w:val="20"/>
                  <w:u w:val="single"/>
                </w:rPr>
                <w:t>PART I — FINANCIAL INFORMATION</w:t>
              </w:r>
            </w:hyperlink>
          </w:p>
        </w:tc>
        <w:tc>
          <w:tcPr>
            <w:tcW w:w="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fdd06624872f4b93b5d710265f47fb93_10">
              <w:r>
                <w:rPr>
                  <w:rStyle w:val="InternetLink"/>
                  <w:rFonts w:ascii="Times New Roman;serif" w:hAnsi="Times New Roman;serif"/>
                  <w:b w:val="false"/>
                  <w:color w:val="0000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3">
              <w:r>
                <w:rPr>
                  <w:rStyle w:val="InternetLink"/>
                  <w:rFonts w:ascii="Times New Roman;serif" w:hAnsi="Times New Roman;serif"/>
                  <w:b w:val="false"/>
                  <w:color w:val="0000FF"/>
                  <w:sz w:val="20"/>
                  <w:u w:val="single"/>
                </w:rPr>
                <w:t>Item 1. Financial Statements —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3">
              <w:r>
                <w:rPr>
                  <w:rStyle w:val="InternetLink"/>
                  <w:rFonts w:ascii="Times New Roman;serif" w:hAnsi="Times New Roman;serif"/>
                  <w:b w:val="false"/>
                  <w:color w:val="0000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6">
              <w:r>
                <w:rPr>
                  <w:rStyle w:val="InternetLink"/>
                  <w:rFonts w:ascii="Times New Roman;serif" w:hAnsi="Times New Roman;serif"/>
                  <w:b w:val="false"/>
                  <w:color w:val="0000FF"/>
                  <w:sz w:val="20"/>
                  <w:u w:val="single"/>
                </w:rPr>
                <w:t>Condensed Consolidated Balance Sheets at June 30, 2026 and December 31,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6">
              <w:r>
                <w:rPr>
                  <w:rStyle w:val="InternetLink"/>
                  <w:rFonts w:ascii="Times New Roman;serif" w:hAnsi="Times New Roman;serif"/>
                  <w:b w:val="false"/>
                  <w:color w:val="0000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9">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9">
              <w:r>
                <w:rPr>
                  <w:rStyle w:val="InternetLink"/>
                  <w:rFonts w:ascii="Times New Roman;serif" w:hAnsi="Times New Roman;serif"/>
                  <w:b w:val="false"/>
                  <w:color w:val="0000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22">
              <w:r>
                <w:rPr>
                  <w:rStyle w:val="InternetLink"/>
                  <w:rFonts w:ascii="Times New Roman;serif" w:hAnsi="Times New Roman;serif"/>
                  <w:b w:val="false"/>
                  <w:color w:val="0000FF"/>
                  <w:sz w:val="20"/>
                  <w:u w:val="single"/>
                </w:rPr>
                <w:t>Condensed Consolidated Statements of Changes in Shareholders’ Equity for the Three and Six Months Ended June 30,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22">
              <w:r>
                <w:rPr>
                  <w:rStyle w:val="InternetLink"/>
                  <w:rFonts w:ascii="Times New Roman;serif" w:hAnsi="Times New Roman;serif"/>
                  <w:b w:val="false"/>
                  <w:color w:val="0000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28">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28">
              <w:r>
                <w:rPr>
                  <w:rStyle w:val="InternetLink"/>
                  <w:rFonts w:ascii="Times New Roman;serif" w:hAnsi="Times New Roman;serif"/>
                  <w:b w:val="false"/>
                  <w:color w:val="0000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31">
              <w:r>
                <w:rPr>
                  <w:rStyle w:val="InternetLink"/>
                  <w:rFonts w:ascii="Times New Roman;serif" w:hAnsi="Times New Roman;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34">
              <w:r>
                <w:rPr>
                  <w:rStyle w:val="InternetLink"/>
                  <w:rFonts w:ascii="Times New Roman;serif" w:hAnsi="Times New Roman;serif"/>
                  <w:b w:val="false"/>
                  <w:color w:val="0000FF"/>
                  <w:sz w:val="20"/>
                  <w:u w:val="single"/>
                </w:rPr>
                <w:t>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85">
              <w:r>
                <w:rPr>
                  <w:rStyle w:val="InternetLink"/>
                  <w:rFonts w:ascii="Times New Roman;serif" w:hAnsi="Times New Roman;serif"/>
                  <w:b w:val="false"/>
                  <w:color w:val="0000FF"/>
                  <w:sz w:val="20"/>
                  <w:u w:val="single"/>
                </w:rPr>
                <w:t>25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33">
              <w:r>
                <w:rPr>
                  <w:rStyle w:val="InternetLink"/>
                  <w:rFonts w:ascii="Times New Roman;serif" w:hAnsi="Times New Roman;serif"/>
                  <w:b w:val="false"/>
                  <w:color w:val="0000FF"/>
                  <w:sz w:val="20"/>
                  <w:u w:val="single"/>
                </w:rPr>
                <w:t>Item 3. 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33">
              <w:r>
                <w:rPr>
                  <w:rStyle w:val="InternetLink"/>
                  <w:rFonts w:ascii="Times New Roman;serif" w:hAnsi="Times New Roman;serif"/>
                  <w:b w:val="false"/>
                  <w:color w:val="0000FF"/>
                  <w:sz w:val="20"/>
                  <w:u w:val="single"/>
                </w:rPr>
                <w:t>43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36">
              <w:r>
                <w:rPr>
                  <w:rStyle w:val="InternetLink"/>
                  <w:rFonts w:ascii="Times New Roman;serif" w:hAnsi="Times New Roman;serif"/>
                  <w:b w:val="false"/>
                  <w:color w:val="0000FF"/>
                  <w:sz w:val="20"/>
                  <w:u w:val="single"/>
                </w:rPr>
                <w:t>Item 4. 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36">
              <w:r>
                <w:rPr>
                  <w:rStyle w:val="InternetLink"/>
                  <w:rFonts w:ascii="Times New Roman;serif" w:hAnsi="Times New Roman;serif"/>
                  <w:b w:val="false"/>
                  <w:color w:val="0000FF"/>
                  <w:sz w:val="20"/>
                  <w:u w:val="single"/>
                </w:rPr>
                <w:t>44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39">
              <w:r>
                <w:rPr>
                  <w:rStyle w:val="InternetLink"/>
                  <w:rFonts w:ascii="Times New Roman;serif" w:hAnsi="Times New Roman;serif"/>
                  <w:b w:val="false"/>
                  <w:color w:val="0000FF"/>
                  <w:sz w:val="20"/>
                  <w:u w:val="single"/>
                </w:rPr>
                <w:t>PART II —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39">
              <w:r>
                <w:rPr>
                  <w:rStyle w:val="InternetLink"/>
                  <w:rFonts w:ascii="Times New Roman;serif" w:hAnsi="Times New Roman;serif"/>
                  <w:b w:val="false"/>
                  <w:color w:val="0000FF"/>
                  <w:sz w:val="20"/>
                  <w:u w:val="single"/>
                </w:rPr>
                <w:t>45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42">
              <w:r>
                <w:rPr>
                  <w:rStyle w:val="InternetLink"/>
                  <w:rFonts w:ascii="Times New Roman;serif" w:hAnsi="Times New Roman;serif"/>
                  <w:b w:val="false"/>
                  <w:color w:val="0000FF"/>
                  <w:sz w:val="20"/>
                  <w:u w:val="single"/>
                </w:rPr>
                <w:t>Item 1. 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42">
              <w:r>
                <w:rPr>
                  <w:rStyle w:val="InternetLink"/>
                  <w:rFonts w:ascii="Times New Roman;serif" w:hAnsi="Times New Roman;serif"/>
                  <w:b w:val="false"/>
                  <w:color w:val="0000FF"/>
                  <w:sz w:val="20"/>
                  <w:u w:val="single"/>
                </w:rPr>
                <w:t>45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45">
              <w:r>
                <w:rPr>
                  <w:rStyle w:val="InternetLink"/>
                  <w:rFonts w:ascii="Times New Roman;serif" w:hAnsi="Times New Roman;serif"/>
                  <w:b w:val="false"/>
                  <w:color w:val="0000FF"/>
                  <w:sz w:val="20"/>
                  <w:u w:val="single"/>
                </w:rPr>
                <w:t>Item 1A. 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45">
              <w:r>
                <w:rPr>
                  <w:rStyle w:val="InternetLink"/>
                  <w:rFonts w:ascii="Times New Roman;serif" w:hAnsi="Times New Roman;serif"/>
                  <w:b w:val="false"/>
                  <w:color w:val="0000FF"/>
                  <w:sz w:val="20"/>
                  <w:u w:val="single"/>
                </w:rPr>
                <w:t>45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48">
              <w:r>
                <w:rPr>
                  <w:rStyle w:val="InternetLink"/>
                  <w:rFonts w:ascii="Times New Roman;serif" w:hAnsi="Times New Roman;serif"/>
                  <w:b w:val="false"/>
                  <w:color w:val="0000FF"/>
                  <w:sz w:val="20"/>
                  <w:u w:val="single"/>
                </w:rPr>
                <w:t>Item 2. Repurchase of Equity by the Company or Affiliates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48">
              <w:r>
                <w:rPr>
                  <w:rStyle w:val="InternetLink"/>
                  <w:rFonts w:ascii="Times New Roman;serif" w:hAnsi="Times New Roman;serif"/>
                  <w:b w:val="false"/>
                  <w:color w:val="0000FF"/>
                  <w:sz w:val="20"/>
                  <w:u w:val="single"/>
                </w:rPr>
                <w:t>46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51">
              <w:r>
                <w:rPr>
                  <w:rStyle w:val="InternetLink"/>
                  <w:rFonts w:ascii="Times New Roman;serif" w:hAnsi="Times New Roman;serif"/>
                  <w:b w:val="false"/>
                  <w:color w:val="0000FF"/>
                  <w:sz w:val="20"/>
                  <w:u w:val="single"/>
                </w:rPr>
                <w:t>Item 5.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51">
              <w:r>
                <w:rPr>
                  <w:rStyle w:val="InternetLink"/>
                  <w:rFonts w:ascii="Times New Roman;serif" w:hAnsi="Times New Roman;serif"/>
                  <w:b w:val="false"/>
                  <w:color w:val="0000FF"/>
                  <w:sz w:val="20"/>
                  <w:u w:val="single"/>
                </w:rPr>
                <w:t>46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54">
              <w:r>
                <w:rPr>
                  <w:rStyle w:val="InternetLink"/>
                  <w:rFonts w:ascii="Times New Roman;serif" w:hAnsi="Times New Roman;serif"/>
                  <w:b w:val="false"/>
                  <w:color w:val="0000FF"/>
                  <w:sz w:val="20"/>
                  <w:u w:val="single"/>
                </w:rPr>
                <w:t>Item 6. 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54">
              <w:r>
                <w:rPr>
                  <w:rStyle w:val="InternetLink"/>
                  <w:rFonts w:ascii="Times New Roman;serif" w:hAnsi="Times New Roman;serif"/>
                  <w:b w:val="false"/>
                  <w:color w:val="0000FF"/>
                  <w:sz w:val="20"/>
                  <w:u w:val="single"/>
                </w:rPr>
                <w:t>47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d06624872f4b93b5d710265f47fb93_157">
              <w:r>
                <w:rPr>
                  <w:rStyle w:val="InternetLink"/>
                  <w:rFonts w:ascii="Times New Roman;serif" w:hAnsi="Times New Roman;serif"/>
                  <w:b w:val="false"/>
                  <w:color w:val="0000FF"/>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d06624872f4b93b5d710265f47fb93_157">
              <w:r>
                <w:rPr>
                  <w:rStyle w:val="InternetLink"/>
                  <w:rFonts w:ascii="Times New Roman;serif" w:hAnsi="Times New Roman;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2723"/>
        <w:gridCol w:w="2278"/>
        <w:gridCol w:w="2299"/>
        <w:gridCol w:w="196"/>
        <w:gridCol w:w="961"/>
        <w:gridCol w:w="109"/>
        <w:gridCol w:w="109"/>
        <w:gridCol w:w="109"/>
        <w:gridCol w:w="109"/>
        <w:gridCol w:w="196"/>
        <w:gridCol w:w="961"/>
        <w:gridCol w:w="155"/>
      </w:tblGrid>
      <w:tr>
        <w:trPr/>
        <w:tc>
          <w:tcPr>
            <w:tcW w:w="2723"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revenues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interest billings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and well equipment 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816,568 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at cost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properties, full-cost method</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Evaluated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14,286,726 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Unproved and unevaluated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properties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1,963,059 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property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depletion, depreciation and 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(8,002,990)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(7,395,142)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property and equipment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12,263,280 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10,731,298 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13,494,566 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11,710,569 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AND SHAREHOLDERS’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Royalties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joint interest owners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1,031,509 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Agreement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San Mateo Credit Facility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5,694,555 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4,682,408 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10)</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 xml:space="preserve">Common stock - $0.01 par value, 160,000,000 shares authorized; 124,511,431 and 124,409,739 shares issued;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and 123,998,298 and 124,262,322 shares outstanding,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513,133 and 147,417 shares,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Matador Resources Company shareholders’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5,928,623 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5,658,141 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subsidiaries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6,250,898 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5,996,652 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13,494,566 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11,710,569 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408805"/>
                <wp:effectExtent l="0" t="0" r="0" b="0"/>
                <wp:wrapNone/>
                <wp:docPr id="3" name="Frame3"/>
                <a:graphic xmlns:a="http://schemas.openxmlformats.org/drawingml/2006/main">
                  <a:graphicData uri="http://schemas.microsoft.com/office/word/2010/wordprocessingShape">
                    <wps:wsp>
                      <wps:cNvSpPr txBox="1"/>
                      <wps:spPr>
                        <a:xfrm>
                          <a:off x="0" y="0"/>
                          <a:ext cx="6480175" cy="4408805"/>
                        </a:xfrm>
                        <a:prstGeom prst="rect"/>
                        <a:solidFill>
                          <a:srgbClr val="FFFFFF"/>
                        </a:solidFill>
                      </wps:spPr>
                      <wps:txb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619"/>
        <w:gridCol w:w="1258"/>
        <w:gridCol w:w="1266"/>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1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1,909,270 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and processing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1,231,455 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677,815 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(93,826)</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583,989 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139,383 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444,606 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390,310 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283"/>
        <w:jc w:val="center"/>
        <w:rPr/>
      </w:pPr>
      <w:r>
        <w:rPr>
          <w:rFonts w:ascii="Times New Roman;serif" w:hAnsi="Times New Roman;serif"/>
          <w:b/>
          <w:color w:val="000000"/>
          <w:sz w:val="20"/>
        </w:rPr>
        <w:t>For the Three and Six Months Ended June 30, 2026</w:t>
      </w:r>
      <w:r>
        <w:rPr>
          <w:color w:val="000000"/>
        </w:rPr>
        <w:t xml:space="preserve"> </w:t>
      </w:r>
    </w:p>
    <w:tbl>
      <w:tblPr>
        <w:tblW w:w="14986" w:type="dxa"/>
        <w:jc w:val="left"/>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10"/>
        <w:gridCol w:w="211"/>
        <w:gridCol w:w="196"/>
        <w:gridCol w:w="109"/>
        <w:gridCol w:w="109"/>
        <w:gridCol w:w="109"/>
        <w:gridCol w:w="196"/>
        <w:gridCol w:w="66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124,410 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338,511 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5,996,652 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($0.375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pursuant to incentive and purchase plans, net of shares withheld for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$1.4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(loss)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124,447 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328,185 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5,913,085 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($0.375 per share)</w:t>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(46,441)</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pursuant to incentive and purchase plans, net of shares withheld for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$1.7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124,511 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2,537,746 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3,414,634 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5,928,623 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322,275 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6,250,898 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2025</w:t>
      </w:r>
    </w:p>
    <w:tbl>
      <w:tblPr>
        <w:tblW w:w="15121" w:type="dxa"/>
        <w:jc w:val="center"/>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77"/>
        <w:gridCol w:w="279"/>
        <w:gridCol w:w="196"/>
        <w:gridCol w:w="109"/>
        <w:gridCol w:w="109"/>
        <w:gridCol w:w="109"/>
        <w:gridCol w:w="196"/>
        <w:gridCol w:w="66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125,101 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368,283 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5,457,432 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($0.3125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pursuant to incentive and purchase plans, net of shares withheld for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$0.6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125,329 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2,534,016 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5,287,492 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356,635 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5,644,127 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($0.3125 per share)</w:t>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(38,970)</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pursuant to incentive and purchase plans, net of shares withheld for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$1.3 million (see Note 7)</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125,416 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2,546,557 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2,869,147 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5,366,173 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360,349 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5,726,522 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629" w:type="dxa"/>
        <w:jc w:val="left"/>
        <w:tblInd w:w="0" w:type="dxa"/>
        <w:tblLayout w:type="fixed"/>
        <w:tblCellMar>
          <w:top w:w="28" w:type="dxa"/>
          <w:left w:w="28" w:type="dxa"/>
          <w:bottom w:w="28" w:type="dxa"/>
          <w:right w:w="28" w:type="dxa"/>
        </w:tblCellMar>
      </w:tblPr>
      <w:tblGrid>
        <w:gridCol w:w="2229"/>
        <w:gridCol w:w="1958"/>
        <w:gridCol w:w="1962"/>
        <w:gridCol w:w="198"/>
        <w:gridCol w:w="747"/>
        <w:gridCol w:w="109"/>
        <w:gridCol w:w="109"/>
        <w:gridCol w:w="109"/>
        <w:gridCol w:w="109"/>
        <w:gridCol w:w="198"/>
        <w:gridCol w:w="747"/>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provision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other debt-related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changes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prepaid expenses and other current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and well equipment inventory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liabilities and other current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Royalties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joint interest owners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1,228,906 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Drilling, completion and equipping capital expenditures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oil and natural gas properties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Cardinal</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capital expenditures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midstream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Expenditures for other property and equipment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equity method investment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(2,057,908)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(1,006,674)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Credit Agreement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Agreement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San Mateo Credit Facility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San Mateo Credit Facility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amend credit facilities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senior unsecured notes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issue senior unsecured notes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senior unsecured notes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sale-leaseback financing obligation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sale-leaseback financing obligation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related to formation of San Mateo</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stock-based compensation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(230,188)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and restricted cash</w:t>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beginning of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end of period</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 — NATURE OF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has operations in the Haynesville shale and Cotton Valley plays in Northwest Louisiana. Additionally, the Company conducts midstream operations primarily through its midstream joint venture, San Mateo Midstream, LLC and its subsidiaries (“San Mateo”), in support of, and to provide flow assurance for, the Company’s exploration, development and production operations, and San Mateo provides natural gas processing, oil transportation services, oil, natural gas and produced water gathering services and produced water disposal services to third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Interim Financial Statements, Basis of Presentation, Consolidation and Significant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2025 filed with the SEC on February 26, 2026 (the “Annual Report”).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Topic 810, </w:t>
      </w:r>
      <w:r>
        <w:rPr>
          <w:rFonts w:ascii="Times New Roman;serif" w:hAnsi="Times New Roman;serif"/>
          <w:b w:val="false"/>
          <w:i/>
          <w:color w:val="000000"/>
          <w:sz w:val="20"/>
        </w:rPr>
        <w:t>Consolidation</w:t>
      </w:r>
      <w:r>
        <w:rPr>
          <w:rFonts w:ascii="Times New Roman;serif" w:hAnsi="Times New Roman;serif"/>
          <w:b w:val="false"/>
          <w:color w:val="000000"/>
          <w:sz w:val="20"/>
        </w:rPr>
        <w:t>. The Company proportionately consolidates certain joint ventures that are less-than-wholly-owned and are involved in oil and natural gas exploration. All intercompany accounts and transactions have been eliminated in consolidation.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Certain reclassifications to captions within the interim unaudited condensed consolidated balance sheets, statements of operations and statements of changes in shareholders’ equity have been made to the prior period’s financial statements to conform to the current period presentation. These reclassifications had no effect on previously reported results of operations, cash flows or retained earnings. In management’s opinion, these interim unaudited condensed consolidated financial statements include all normal, recurring adjustments that are necessary for a fair presentation of the Company’s interim unaudited condensed consolidated financial statements as of June 30, 2026. Amounts as of December 31, 2025 are derived from the Company’s audited consolidated financial statements included in the Annual Report.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in the purchase price allocations and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 — Continued</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revenues and revenues from contracts with customers on a disaggregated basis for the three and six months ended June 30, 2026 and 2025 (in thousands).</w:t>
      </w:r>
    </w:p>
    <w:tbl>
      <w:tblPr>
        <w:tblW w:w="9435" w:type="dxa"/>
        <w:jc w:val="left"/>
        <w:tblInd w:w="0" w:type="dxa"/>
        <w:tblLayout w:type="fixed"/>
        <w:tblCellMar>
          <w:top w:w="28" w:type="dxa"/>
          <w:left w:w="28" w:type="dxa"/>
          <w:bottom w:w="28" w:type="dxa"/>
          <w:right w:w="28" w:type="dxa"/>
        </w:tblCellMar>
      </w:tblPr>
      <w:tblGrid>
        <w:gridCol w:w="1222"/>
        <w:gridCol w:w="1073"/>
        <w:gridCol w:w="1080"/>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1,909,270 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39" w:type="dxa"/>
        <w:jc w:val="left"/>
        <w:tblInd w:w="0" w:type="dxa"/>
        <w:tblLayout w:type="fixed"/>
        <w:tblCellMar>
          <w:top w:w="28" w:type="dxa"/>
          <w:left w:w="28" w:type="dxa"/>
          <w:bottom w:w="28" w:type="dxa"/>
          <w:right w:w="28" w:type="dxa"/>
        </w:tblCellMar>
      </w:tblPr>
      <w:tblGrid>
        <w:gridCol w:w="1368"/>
        <w:gridCol w:w="1204"/>
        <w:gridCol w:w="1207"/>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from contracts with customers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1,931,851 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Property and Equipment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and six months ended June 30, 2026 and 2025, the cost center ceiling was higher than the capitalized costs of oil and natural gas properties, and, as a result, no impairment charge was necessary.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capitalized approximately $19.2 million and $18.2 million of its general and administrative costs for the three months ended June 30, 2026 and 2025, respectively, and $40.3 million and $35.7 million of its general and administrative costs for the six months ended June 30, 2026 and 2025, respectively. The Company capitalized approximately $4.6 million and $6.2 million of its interest expense for the three months ended June 30, 2026 and 2025, respectively, and $11.6 million and $14.9 million of its interest expense for the six months ended June 30, 2026 and 2025, respectively.</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Earnings Per Common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 — Continued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diluted weighted average common shares outstanding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639"/>
        <w:gridCol w:w="1441"/>
        <w:gridCol w:w="1444"/>
        <w:gridCol w:w="421"/>
        <w:gridCol w:w="405"/>
        <w:gridCol w:w="212"/>
        <w:gridCol w:w="212"/>
        <w:gridCol w:w="212"/>
        <w:gridCol w:w="212"/>
        <w:gridCol w:w="421"/>
        <w:gridCol w:w="405"/>
        <w:gridCol w:w="212"/>
        <w:gridCol w:w="109"/>
        <w:gridCol w:w="109"/>
        <w:gridCol w:w="109"/>
        <w:gridCol w:w="413"/>
        <w:gridCol w:w="413"/>
        <w:gridCol w:w="182"/>
        <w:gridCol w:w="182"/>
        <w:gridCol w:w="182"/>
        <w:gridCol w:w="182"/>
        <w:gridCol w:w="413"/>
        <w:gridCol w:w="413"/>
        <w:gridCol w:w="262"/>
      </w:tblGrid>
      <w:tr>
        <w:trPr/>
        <w:tc>
          <w:tcPr>
            <w:tcW w:w="163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52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524" w:type="dxa"/>
            <w:gridSpan w:val="3"/>
            <w:vMerge w:val="continue"/>
            <w:tcBorders/>
            <w:tcMar>
              <w:top w:w="0" w:type="dxa"/>
              <w:left w:w="0" w:type="dxa"/>
              <w:bottom w:w="0" w:type="dxa"/>
              <w:right w:w="0" w:type="dxa"/>
            </w:tcMar>
            <w:vAlign w:val="center"/>
          </w:tcPr>
          <w:p>
            <w:pPr>
              <w:pStyle w:val="Normal"/>
              <w:bidi w:val="0"/>
              <w:jc w:val="left"/>
              <w:rPr/>
            </w:pPr>
            <w:r>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124,156 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options and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weighted average common shares outstanding </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124,156 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124,456 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124,205 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124,977 </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3 — ACQUISITIONS</w:t>
      </w:r>
    </w:p>
    <w:p>
      <w:pPr>
        <w:pStyle w:val="TextBody"/>
        <w:bidi w:val="0"/>
        <w:spacing w:lineRule="auto" w:line="276"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Bureau of Land Management (“BLM”) Oil and Gas Lease Acquisition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the Company completed the acquisition of 5,154 net undeveloped acres in the core of the Delaware Basin in Southeast New Mexico for approximately $1.16 billion as part of the BLM Oil and Gas Lease Sale (the “BLM Acquisition”). The acquired acreage complements the Company’s existing acreage position, and as a result, includes proved undeveloped reserves in addition to unproved and unevaluated reserves.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BLM Acquisition was accounted for as an asset acquisition. The purchase price is allocated to the underlying assets acquired based upon their relative fair values as of the acquisition date as set forth below (in thousands).</w:t>
      </w:r>
    </w:p>
    <w:tbl>
      <w:tblPr>
        <w:tblW w:w="5045" w:type="dxa"/>
        <w:jc w:val="left"/>
        <w:tblInd w:w="0" w:type="dxa"/>
        <w:tblLayout w:type="fixed"/>
        <w:tblCellMar>
          <w:top w:w="28" w:type="dxa"/>
          <w:left w:w="28" w:type="dxa"/>
          <w:bottom w:w="28" w:type="dxa"/>
          <w:right w:w="28" w:type="dxa"/>
        </w:tblCellMar>
      </w:tblPr>
      <w:tblGrid>
        <w:gridCol w:w="1342"/>
        <w:gridCol w:w="1178"/>
        <w:gridCol w:w="1184"/>
        <w:gridCol w:w="211"/>
        <w:gridCol w:w="97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Allocation</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Unproved and unevaluated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natural gas properties acquired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1,160,154 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measurements of the assets acquired were based on inputs that are not observable in the market and therefore represent Level 3 inputs. The fair value of evaluated oil and gas properties were measured using the discounted cash flow technique of valuation. Significant inputs to the valuation of oil and gas properties include estimates of: (i) future production volumes, (ii) future commodity prices and (iii) the weighted average cost of capital. These inputs require significant judgments and estimates and are the most sensitive and subject to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4 — ASSET RETIREMENT OBLIGATIONS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Company’s asset retirement obligations for the six months ended June 30, 2026 (in thousands).</w:t>
      </w:r>
    </w:p>
    <w:tbl>
      <w:tblPr>
        <w:tblW w:w="4791" w:type="dxa"/>
        <w:jc w:val="left"/>
        <w:tblInd w:w="0" w:type="dxa"/>
        <w:tblLayout w:type="fixed"/>
        <w:tblCellMar>
          <w:top w:w="28" w:type="dxa"/>
          <w:left w:w="28" w:type="dxa"/>
          <w:bottom w:w="28" w:type="dxa"/>
          <w:right w:w="28" w:type="dxa"/>
        </w:tblCellMar>
      </w:tblPr>
      <w:tblGrid>
        <w:gridCol w:w="1305"/>
        <w:gridCol w:w="1144"/>
        <w:gridCol w:w="1151"/>
        <w:gridCol w:w="211"/>
        <w:gridCol w:w="826"/>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asset retirement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incurred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settled during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asset retirement obligations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current asset retirement obligations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asset retirement obligations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color w:val="000000"/>
        </w:rPr>
      </w:pPr>
      <w:r>
        <w:rPr>
          <w:color w:val="000000"/>
        </w:rPr>
        <w:t> </w:t>
      </w:r>
      <w:r>
        <w:rPr>
          <w:rFonts w:ascii="Times New Roman;serif" w:hAnsi="Times New Roman;serif"/>
          <w:b/>
          <w:color w:val="000000"/>
          <w:sz w:val="18"/>
        </w:rPr>
        <w:t>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(1)Included in accounts payable and accrued liabilities in the Company’s interim unaudited condensed consolidated balance sheet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5 — DEBT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debt, including the effects of issuance costs and discounts, net as of June 30, 2026 and December 31, 2025, are set forth below (in thousands).</w:t>
      </w:r>
    </w:p>
    <w:tbl>
      <w:tblPr>
        <w:tblW w:w="7119" w:type="dxa"/>
        <w:jc w:val="left"/>
        <w:tblInd w:w="0" w:type="dxa"/>
        <w:tblLayout w:type="fixed"/>
        <w:tblCellMar>
          <w:top w:w="28" w:type="dxa"/>
          <w:left w:w="28" w:type="dxa"/>
          <w:bottom w:w="28" w:type="dxa"/>
          <w:right w:w="28" w:type="dxa"/>
        </w:tblCellMar>
      </w:tblPr>
      <w:tblGrid>
        <w:gridCol w:w="1503"/>
        <w:gridCol w:w="1324"/>
        <w:gridCol w:w="1328"/>
        <w:gridCol w:w="211"/>
        <w:gridCol w:w="976"/>
        <w:gridCol w:w="109"/>
        <w:gridCol w:w="109"/>
        <w:gridCol w:w="109"/>
        <w:gridCol w:w="109"/>
        <w:gridCol w:w="211"/>
        <w:gridCol w:w="976"/>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agreements: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due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Mateo Credit Facility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6.875% senior notes due 2028 (the “2028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6.500% senior notes due 2032 (the “2032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2033 (the “2033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6.000% senior notes due 2034 (the “2034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and discounts,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unsecured notes payable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2,121,102 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4,216,410 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3,402,102 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Credit Agreements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MRC Energy Company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$939.0 million in borrowings outstanding under the Company’s reserves-based revolving credit facility (the “Credit Agreement”) and approximately $53.8 million in outstanding letters of credit issued pursuant to the Credit Agreement. Since June 30, 2026, the Company’s borrowings increased $243.0 million under the Credit Agreement, and at August 5, 2026, the Company had $1.18 billion in borrowings outstanding.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borrowings under the Credit Agreement mature on March 22, 2029. 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2026, in connection with the regularly scheduled May 1 redetermination, the borrowing base of the Credit Agreement was reaffirmed at $3.25 billion. Additionally, the Company elected to, and the lenders agreed to, increase the borrowing commitments from $2.25 billion to $2.75 billion.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the Company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$150.0 million or 10% of the elected borrowing commitments of unrestricted cash and cash equivalents), divided by a rolling four quarter EBITDA calculation, of 3.5 or less at the end of each fiscal quarter. The Company was in compliance with the terms of the Credit Agreement at June 30, 2026.</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San Mateo Midstream, LLC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San Mateo had $911.0 million in borrowings outstanding under its secured revolving credit facility (the “San Mateo Credit Facility”) and approximately $15.4 million in outstanding letters of credit issued pursuant to the San Mateo Credit Facility. Since June 30, 2026, San Mateo’s borrowings increased $25.0 million under the San Mateo Credit Facility, and at August 5, 2026, San Mateo had $936.0 million in borrowings outstanding.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San Mateo Credit Facility is non-recourse with respect to Matador and its other subsidiaries but is guaranteed by San Mateo’s subsidiaries and secured by substantially all of San Mateo’s assets, including real property. The outstanding borrowings under the San Mateo Credit Facility mature on November 26,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DEBT — Continued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 4.50 or San Mateo’s liquidity is less than 10% of the lender commitments under the San Mateo Credit Facility. San Mateo was in compliance with the terms of the San Mateo Credit Facility at June 30, 2026.</w:t>
      </w:r>
    </w:p>
    <w:p>
      <w:pPr>
        <w:pStyle w:val="TextBody"/>
        <w:bidi w:val="0"/>
        <w:spacing w:lineRule="auto" w:line="288" w:before="120" w:after="1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Senior Unsecured Notes</w:t>
      </w:r>
    </w:p>
    <w:p>
      <w:pPr>
        <w:pStyle w:val="TextBody"/>
        <w:bidi w:val="0"/>
        <w:spacing w:lineRule="auto" w:line="288" w:before="120" w:after="10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2028 Notes Tender Offer and Redemption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March 2026, the Company completed the repurchase of an aggregate principal amount of $419.8 million of the $500.0 million of the 2028 Notes pursuant to the Company’s cash tender offer announced on February 26, 2026 (the “2028 Notes Tender Offer”). Additionally, in March 2026, the Company irrevocably deposited funds with the trustee to redeem the remaining aggregate principal amount of $80.2 million of 2028 Notes outstanding on April 15, 2026 (the “2028 Notes Redemption”), and as a result of such deposit, to satisfy and discharge the Company’s obligations under the indenture governing the 2028 Notes. In connection with the 2028 Notes Tender Offer and 2028 Notes Redemption, the Company incurred a loss on debt extinguishment of $15.6 million, including a $9.7 million cash prepayment premium and a $5.9 million write-off of remaining unamortized deferred issuance costs and discounts.</w:t>
      </w:r>
    </w:p>
    <w:p>
      <w:pPr>
        <w:pStyle w:val="TextBody"/>
        <w:bidi w:val="0"/>
        <w:spacing w:lineRule="auto" w:line="288" w:before="120" w:after="10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2034 Notes</w:t>
      </w:r>
    </w:p>
    <w:p>
      <w:pPr>
        <w:pStyle w:val="TextBody"/>
        <w:bidi w:val="0"/>
        <w:spacing w:lineRule="auto" w:line="288"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March 5, 2026, the Company completed the sale of $750.0 million in aggregate principal amount of the 2034 Notes, which have a 6.0% coupon rate and mature on April 15, 2034. Interest is payable in arrears on each April 15 and October 15. The first interest payment date will be October 15, 2026. The 2034 Notes are jointly and severally guaranteed on a senior unsecured basis by certain subsidiaries of the Company (the “Guarantors”). San Mateo is not a Restricted Subsidiary (as defined in the indenture governing the 2034 Notes (the “2034 Notes Indenture”)) or Guarantor of the 2034 Notes. </w:t>
      </w:r>
    </w:p>
    <w:p>
      <w:pPr>
        <w:pStyle w:val="TextBody"/>
        <w:bidi w:val="0"/>
        <w:spacing w:lineRule="auto" w:line="288"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used the net proceeds from the sale of the 2034 Notes of $737.9 million, after deducting initial purchasers’ discounts and estimated offering expenses, to fund the 2028 Notes Tender Offer and 2028 Notes Redemption and for general corporate purposes.</w:t>
      </w:r>
    </w:p>
    <w:p>
      <w:pPr>
        <w:pStyle w:val="TextBody"/>
        <w:bidi w:val="0"/>
        <w:spacing w:lineRule="auto" w:line="288"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any time prior to April 15, 2029, the Company may redeem up to 40% in aggregate principal amount of the 2034 Notes at a redemption price of 106.0%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2034 Notes remains outstanding immediately after such redemption. In addition, at any time prior to April 15, 2029, the Company may redeem all or part of the 2034 Notes for cash at a redemption price equal to 100% of their principal amount plus an applicable make-whole premium and accrued and unpaid interest, if any, to the applicable redemption date.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or after April 15, 2029, the Company may redeem all or a part of the 2034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tbl>
      <w:tblPr>
        <w:tblW w:w="3685" w:type="dxa"/>
        <w:jc w:val="center"/>
        <w:tblInd w:w="0" w:type="dxa"/>
        <w:tblLayout w:type="fixed"/>
        <w:tblCellMar>
          <w:top w:w="28" w:type="dxa"/>
          <w:left w:w="28" w:type="dxa"/>
          <w:bottom w:w="28" w:type="dxa"/>
          <w:right w:w="28" w:type="dxa"/>
        </w:tblCellMar>
      </w:tblPr>
      <w:tblGrid>
        <w:gridCol w:w="612"/>
        <w:gridCol w:w="537"/>
        <w:gridCol w:w="545"/>
        <w:gridCol w:w="109"/>
        <w:gridCol w:w="109"/>
        <w:gridCol w:w="109"/>
        <w:gridCol w:w="487"/>
        <w:gridCol w:w="487"/>
        <w:gridCol w:w="690"/>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Redemption Price</w:t>
            </w:r>
          </w:p>
        </w:tc>
      </w:tr>
      <w:tr>
        <w:trP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Subject to certain exceptions, the 2034 Notes Indenture contains various covenants that limit the Company’s and its Restricted Subsidiaries’ ability to take certain actions,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sell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DEBT — Continued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pay dividends or make certain investments;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create liens that secure indebtedness;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enter into transactions with affiliates;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merge or consolidate with another company.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case of an event of default arising from certain events of bankruptcy or insolvency with respect to Matador, any Restricted Subsidiary that is a Significant Subsidiary (as defined in the 2034 Notes Indenture) or any group of Restricted Subsidiaries that, taken together, would constitute a Significant Subsidiary, all outstanding 2034 Notes will become due and payable immediately without further action or notice. If any other event of default occurs and is continuing, the trustee or the holders of at least 25% in principal amount of the then outstanding 2034 Notes may declare all the 2034 Notes to be due and payable immediately. Events of default include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default for 30 days in the payment when due of interest on the 2034 Notes;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default in the payment when due of the principal of, or premium, if any, on the 2034 Notes;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by the Company to comply with its obligations to offer to purchase or purchase 2034 Notes pursuant to the change of control or asset sale covenants of the 2034 Notes Indenture or to comply with the covenant relating to mergers;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by the Company for 180 days after notice to comply with its reporting obligations under the 2034 Notes Indenture;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failure by the Company for 60 days after notice to comply with any of the other agreements in the 2034 Notes Indenture;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payment defaults and accelerations with respect to other indebtedness of the Company and its Restricted Subsidiaries in the aggregate principal amount of $100.0 million or more;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by the Company or any Restricted Subsidiary to pay certain final judgments aggregating in excess of $100.0 million within 60 days;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subsidiary guarantee by a Guarantor ceases to be in full force and effect, is declared null and void in a judicial proceeding or is denied or disaffirmed by its maker;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certain events of bankruptcy or insolvency with respect to the Company or any Restricted Subsidiary that is a Significant Subsidiary or any group of Restricted Subsidiaries that, taken together, would constitute a Significant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6 — INCOME TAXES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The Company recorded a current income tax provision of $0.2 million for each of the three and six months ended June 30, 2026 and a deferred income tax provision of $106.6 million and $105.9 million for the three and six months ended June 30, 2026, respectively. The Company recorded a current income tax provision of $23.1 million and $46.1 million and a deferred income tax provision of $33.4 million and $93.3 million for the three and six months ended June 30, 2025, respectively. The decrease in the current income tax provision and increase in the deferred income tax provision for the three and six months ended June 30, 2026 compared to the respective periods of 2025 were primarily the result of the One Big Beautiful Bill Act of 2025 (the “OBBBA”). See Note 8,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of the Company’s Annual Report for further details of the provisions of the OBBBA that most significantly affect its income taxes. Additionally, the increase in the total income tax provision resulted from higher income before income taxes.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21% for the three months ended June 30, 2026. The Company’s effective income tax rate of 23% for the six months ended June 30, 2026 differed from the U.S. federal statutory rate primarily due to state taxes in New Mexico, partially offset by the impact of permanent differences between book and tax income recognized discretely in the current period. The Company’s effective income tax rates of 27% and 26% for the three and six months ended June 30, 2025, respectively, differed from the U.S. federal statutory rate primarily due to state taxes in New Mexico.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6 — INCOME TAXES — Continued</w:t>
      </w:r>
    </w:p>
    <w:p>
      <w:pPr>
        <w:pStyle w:val="TextBody"/>
        <w:bidi w:val="0"/>
        <w:spacing w:before="100" w:after="283"/>
        <w:jc w:val="center"/>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cash (refunds) payments for income taxes during the three and six months ended June 30, 2026 and 2025 are as follows (in thousands). </w:t>
      </w:r>
    </w:p>
    <w:tbl>
      <w:tblPr>
        <w:tblW w:w="9597" w:type="dxa"/>
        <w:jc w:val="left"/>
        <w:tblInd w:w="0" w:type="dxa"/>
        <w:tblLayout w:type="fixed"/>
        <w:tblCellMar>
          <w:top w:w="28" w:type="dxa"/>
          <w:left w:w="28" w:type="dxa"/>
          <w:bottom w:w="28" w:type="dxa"/>
          <w:right w:w="28" w:type="dxa"/>
        </w:tblCellMar>
      </w:tblPr>
      <w:tblGrid>
        <w:gridCol w:w="1419"/>
        <w:gridCol w:w="1245"/>
        <w:gridCol w:w="1266"/>
        <w:gridCol w:w="109"/>
        <w:gridCol w:w="109"/>
        <w:gridCol w:w="109"/>
        <w:gridCol w:w="211"/>
        <w:gridCol w:w="796"/>
        <w:gridCol w:w="109"/>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(refunds) payments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7 — EQUITY</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Stock-Based Compensation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awards to certain of its employees of 392,000 service-based restricted stock units to be settled in cash, which are liability instruments, and 392,000 performance-based stock units and 2,500 service-based shares of restricted stock, which are equity instruments. The performance-based stock units vest in an amount between zero and 200% of the target units granted based on the Company’s relative total shareholder return over the three-year period ending December 31, 2028, as compared to a designated peer group. The service-based restricted stock and restricted stock units vest over a three-year period. The fair value of these awards was approximately $37.6 million on their respective grant dates.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Common Stock Dividend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Matador’s Board of Directors (the “Board”) declared a quarterly cash dividend of $0.375 per share of common stock in each of the first and second quarters of 2026. The first quarter dividend, which totaled $46.8 million, was paid on March 10, 2026 to shareholders of record as of February 27, 2026. The second quarter dividend, which totaled $46.4 million, was paid on June 5, 2026 to shareholders of record as of May 8, 2026. On July 22, 2026, the Board declared a quarterly cash dividend of $0.375 per share of common stock payable on September 8, 2026 to shareholders of record as of August 10, 2026.</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Share Repurchase Program</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further described in the Annual Report, the Company maintains a share repurchase program (the “Share Repurchase Program”) authorizing the repurchase of up to $400.0 million of common stock. During the three and six months ended June 30, 2026, the Company repurchased 225,000 and 242,702 shares of common stock, respectively, under the Share Repurchase Program at a weighted average price of $49.59 and $48.88 per common share, respectively, for a total cost of $11.2 million and $11.9 million, respectively.</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San Mateo Distributions and Contributions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San Mateo distributed $30.1 million and $29.6 million, respectively, to the Company and $28.9 million and $28.4 million, respectively, to a subsidiary of Five Point Infrastructure LLC (“Five Point”), the Company’s joint venture partner in San Mateo. During the six months ended June 30, 2026 and 2025, San Mateo distributed $61.7 million and $64.8 million to the Company and $59.3 million and $62.2 million, respectively, to Five Point. During the three and six months ended June 30, 2026 and 2025, there were no contributions to San Mateo by either the Company or Five Point.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EQUITY — Continued</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Performance Incentives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Five Point paid the Company $8.2 million and $6.4 million of performance incentives during the three months ended June 30, 2026 and 2025, respectively. Five Point paid the Company $15.1 million and $9.2 million of performance incentives during the six months ended June 30, 2026 and 2025, respectively. These performance incentives are recorded when received, net of the $1.7 million and $1.3 million deferred tax impact to the Company for the three months ended June 30, 2026 and 2025, respectively, and $3.1 million and $1.9 million deferred tax impact to the Company for the six months ended June 30, 2026 and 2025, respectively, in “Additional paid-in capital” in the Company’s interim unaudited condensed consolidated balance sheets. These performance incentives received in the three and six months ended June 30, 2026 and 2025 are also denoted as “Contributions related to formation of San Mateo” under “Financing activities” in the Company’s interim unaudited condensed consolidated statements of cash flows and changes in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8 — DERIVATIVE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various costless collar and price call contracts open and in place to mitigate its exposure to oil and natural gas price volatility, each with an established price floor and ceiling. At June 30, 2026, the Company had natural gas swap and natural gas basis differential swap contracts open and in place to mitigate its exposure to natural gas price volatility, with a specific term (calculation period), notional quantity (volume hedged) and fixed price. The Company had no open contracts associated with natural gas liquids prices at June 30, 2026.</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open costless collar contracts at June 30, 2026.</w:t>
      </w:r>
    </w:p>
    <w:tbl>
      <w:tblPr>
        <w:tblW w:w="10205" w:type="dxa"/>
        <w:jc w:val="left"/>
        <w:tblInd w:w="0" w:type="dxa"/>
        <w:tblLayout w:type="fixed"/>
        <w:tblCellMar>
          <w:top w:w="28" w:type="dxa"/>
          <w:left w:w="28" w:type="dxa"/>
          <w:bottom w:w="28" w:type="dxa"/>
          <w:right w:w="28" w:type="dxa"/>
        </w:tblCellMar>
      </w:tblPr>
      <w:tblGrid>
        <w:gridCol w:w="503"/>
        <w:gridCol w:w="441"/>
        <w:gridCol w:w="444"/>
        <w:gridCol w:w="109"/>
        <w:gridCol w:w="109"/>
        <w:gridCol w:w="109"/>
        <w:gridCol w:w="462"/>
        <w:gridCol w:w="462"/>
        <w:gridCol w:w="463"/>
        <w:gridCol w:w="109"/>
        <w:gridCol w:w="109"/>
        <w:gridCol w:w="109"/>
        <w:gridCol w:w="559"/>
        <w:gridCol w:w="532"/>
        <w:gridCol w:w="360"/>
        <w:gridCol w:w="109"/>
        <w:gridCol w:w="109"/>
        <w:gridCol w:w="109"/>
        <w:gridCol w:w="321"/>
        <w:gridCol w:w="938"/>
        <w:gridCol w:w="165"/>
        <w:gridCol w:w="109"/>
        <w:gridCol w:w="109"/>
        <w:gridCol w:w="109"/>
        <w:gridCol w:w="329"/>
        <w:gridCol w:w="962"/>
        <w:gridCol w:w="170"/>
        <w:gridCol w:w="109"/>
        <w:gridCol w:w="109"/>
        <w:gridCol w:w="109"/>
        <w:gridCol w:w="211"/>
        <w:gridCol w:w="752"/>
        <w:gridCol w:w="496"/>
      </w:tblGrid>
      <w:tr>
        <w:trPr/>
        <w:tc>
          <w:tcPr>
            <w:tcW w:w="5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Notional Quantity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Price Floor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Price Ceiling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of</w:t>
              <w:br/>
              <w:t xml:space="preserve">Asset </w:t>
              <w:br/>
              <w:t xml:space="preserve">(Liability) </w:t>
              <w:br/>
              <w:t>(thousands)</w:t>
            </w:r>
          </w:p>
        </w:tc>
      </w:tr>
      <w:tr>
        <w:trPr/>
        <w:tc>
          <w:tcPr>
            <w:tcW w:w="13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07/01/2026 - 12/31/2026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12,328,000 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(66,064)</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01/01/2027 - 12/31/2027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3,650,000 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Henry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07/01/2026 - 12/31/2026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27,600,000 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8419"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open costless collar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(59,645)</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open price call contracts at June 30, 2026.</w:t>
      </w:r>
    </w:p>
    <w:tbl>
      <w:tblPr>
        <w:tblW w:w="9330" w:type="dxa"/>
        <w:jc w:val="left"/>
        <w:tblInd w:w="0" w:type="dxa"/>
        <w:tblLayout w:type="fixed"/>
        <w:tblCellMar>
          <w:top w:w="28" w:type="dxa"/>
          <w:left w:w="28" w:type="dxa"/>
          <w:bottom w:w="28" w:type="dxa"/>
          <w:right w:w="28" w:type="dxa"/>
        </w:tblCellMar>
      </w:tblPr>
      <w:tblGrid>
        <w:gridCol w:w="408"/>
        <w:gridCol w:w="358"/>
        <w:gridCol w:w="360"/>
        <w:gridCol w:w="109"/>
        <w:gridCol w:w="109"/>
        <w:gridCol w:w="109"/>
        <w:gridCol w:w="724"/>
        <w:gridCol w:w="724"/>
        <w:gridCol w:w="727"/>
        <w:gridCol w:w="109"/>
        <w:gridCol w:w="109"/>
        <w:gridCol w:w="109"/>
        <w:gridCol w:w="699"/>
        <w:gridCol w:w="699"/>
        <w:gridCol w:w="701"/>
        <w:gridCol w:w="109"/>
        <w:gridCol w:w="109"/>
        <w:gridCol w:w="109"/>
        <w:gridCol w:w="228"/>
        <w:gridCol w:w="779"/>
        <w:gridCol w:w="117"/>
        <w:gridCol w:w="109"/>
        <w:gridCol w:w="109"/>
        <w:gridCol w:w="109"/>
        <w:gridCol w:w="211"/>
        <w:gridCol w:w="796"/>
        <w:gridCol w:w="491"/>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Quantity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Fixed Price </w:t>
              <w:b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of</w:t>
              <w:br/>
              <w:t xml:space="preserve">Asset </w:t>
              <w:br/>
              <w:t xml:space="preserve">(Liability) </w:t>
              <w:br/>
              <w:t>(thousands)</w:t>
            </w:r>
          </w:p>
        </w:tc>
      </w:tr>
      <w:tr>
        <w:trPr/>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07/01/2026 - 12/31/2026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12,236,000 </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(57,059)</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open price call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(57,059)</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open swap contracts at June 30, 2026.</w:t>
      </w:r>
    </w:p>
    <w:tbl>
      <w:tblPr>
        <w:tblW w:w="10140"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724"/>
        <w:gridCol w:w="724"/>
        <w:gridCol w:w="727"/>
        <w:gridCol w:w="109"/>
        <w:gridCol w:w="109"/>
        <w:gridCol w:w="109"/>
        <w:gridCol w:w="819"/>
        <w:gridCol w:w="819"/>
        <w:gridCol w:w="822"/>
        <w:gridCol w:w="109"/>
        <w:gridCol w:w="109"/>
        <w:gridCol w:w="109"/>
        <w:gridCol w:w="280"/>
        <w:gridCol w:w="699"/>
        <w:gridCol w:w="145"/>
        <w:gridCol w:w="109"/>
        <w:gridCol w:w="109"/>
        <w:gridCol w:w="109"/>
        <w:gridCol w:w="211"/>
        <w:gridCol w:w="691"/>
        <w:gridCol w:w="491"/>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Quantity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Fixed Price </w:t>
              <w:br/>
              <w:t>($/MMBtu)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of</w:t>
              <w:br/>
              <w:t xml:space="preserve">Asset </w:t>
              <w:br/>
              <w:t xml:space="preserve">(Liability) </w:t>
              <w:br/>
              <w:t>(thousands)</w:t>
            </w:r>
          </w:p>
        </w:tc>
      </w:tr>
      <w:tr>
        <w:trPr/>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Waha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07/01/2026 - 07/31/2026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3,100,000 </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open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DERIVATIVE FINANCIAL INSTRUMENTS — Continued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open basis differential swap contracts at June 30, 2026.</w:t>
      </w:r>
    </w:p>
    <w:tbl>
      <w:tblPr>
        <w:tblW w:w="10205" w:type="dxa"/>
        <w:jc w:val="left"/>
        <w:tblInd w:w="0" w:type="dxa"/>
        <w:tblLayout w:type="fixed"/>
        <w:tblCellMar>
          <w:top w:w="28" w:type="dxa"/>
          <w:left w:w="28" w:type="dxa"/>
          <w:bottom w:w="28" w:type="dxa"/>
          <w:right w:w="28" w:type="dxa"/>
        </w:tblCellMar>
      </w:tblPr>
      <w:tblGrid>
        <w:gridCol w:w="1159"/>
        <w:gridCol w:w="876"/>
        <w:gridCol w:w="881"/>
        <w:gridCol w:w="109"/>
        <w:gridCol w:w="109"/>
        <w:gridCol w:w="109"/>
        <w:gridCol w:w="521"/>
        <w:gridCol w:w="521"/>
        <w:gridCol w:w="523"/>
        <w:gridCol w:w="109"/>
        <w:gridCol w:w="109"/>
        <w:gridCol w:w="109"/>
        <w:gridCol w:w="819"/>
        <w:gridCol w:w="563"/>
        <w:gridCol w:w="519"/>
        <w:gridCol w:w="109"/>
        <w:gridCol w:w="109"/>
        <w:gridCol w:w="109"/>
        <w:gridCol w:w="261"/>
        <w:gridCol w:w="652"/>
        <w:gridCol w:w="135"/>
        <w:gridCol w:w="109"/>
        <w:gridCol w:w="109"/>
        <w:gridCol w:w="109"/>
        <w:gridCol w:w="211"/>
        <w:gridCol w:w="762"/>
        <w:gridCol w:w="494"/>
      </w:tblGrid>
      <w:tr>
        <w:trPr/>
        <w:tc>
          <w:tcPr>
            <w:tcW w:w="115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Quantity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Fixed Price </w:t>
              <w:br/>
              <w:t>($/MMBtu)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of</w:t>
              <w:br/>
              <w:t xml:space="preserve">Asset </w:t>
              <w:br/>
              <w:t xml:space="preserve">(Liability) </w:t>
              <w:br/>
              <w:t>(thousands)</w:t>
            </w:r>
          </w:p>
        </w:tc>
      </w:tr>
      <w:tr>
        <w:trPr/>
        <w:tc>
          <w:tcPr>
            <w:tcW w:w="2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 - Waha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07/01/2026 - 12/31/2026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27,600,000 </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 - Houston Ship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07/01/2026 - 09/30/2029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135,432,000 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8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open basis differential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(15,219)</w:t>
            </w:r>
          </w:p>
        </w:tc>
        <w:tc>
          <w:tcPr>
            <w:tcW w:w="4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794" w:type="dxa"/>
            <w:gridSpan w:val="6"/>
            <w:tcBorders/>
          </w:tcPr>
          <w:p>
            <w:pPr>
              <w:pStyle w:val="TableContents"/>
              <w:bidi w:val="0"/>
              <w:spacing w:before="0" w:after="283"/>
              <w:jc w:val="left"/>
              <w:rPr>
                <w:sz w:val="4"/>
                <w:szCs w:val="4"/>
              </w:rPr>
            </w:pPr>
            <w:r>
              <w:rPr>
                <w:sz w:val="4"/>
                <w:szCs w:val="4"/>
              </w:rPr>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2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gross asset and liability fair values of the Company’s commodity price derivative financial instruments and the location of these balances in the interim unaudited condensed consolidated balance sheets as of June 30, 2026 and December 31, 2025 (in thousands).</w:t>
      </w:r>
    </w:p>
    <w:tbl>
      <w:tblPr>
        <w:tblW w:w="10010" w:type="dxa"/>
        <w:jc w:val="left"/>
        <w:tblInd w:w="0" w:type="dxa"/>
        <w:tblLayout w:type="fixed"/>
        <w:tblCellMar>
          <w:top w:w="28" w:type="dxa"/>
          <w:left w:w="28" w:type="dxa"/>
          <w:bottom w:w="28" w:type="dxa"/>
          <w:right w:w="28" w:type="dxa"/>
        </w:tblCellMar>
      </w:tblPr>
      <w:tblGrid>
        <w:gridCol w:w="750"/>
        <w:gridCol w:w="658"/>
        <w:gridCol w:w="662"/>
        <w:gridCol w:w="109"/>
        <w:gridCol w:w="109"/>
        <w:gridCol w:w="109"/>
        <w:gridCol w:w="211"/>
        <w:gridCol w:w="901"/>
        <w:gridCol w:w="109"/>
        <w:gridCol w:w="109"/>
        <w:gridCol w:w="109"/>
        <w:gridCol w:w="109"/>
        <w:gridCol w:w="406"/>
        <w:gridCol w:w="1422"/>
        <w:gridCol w:w="212"/>
        <w:gridCol w:w="109"/>
        <w:gridCol w:w="109"/>
        <w:gridCol w:w="109"/>
        <w:gridCol w:w="624"/>
        <w:gridCol w:w="2486"/>
        <w:gridCol w:w="325"/>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w:t>
              <w:br/>
              <w:t>netted in the condensed</w:t>
              <w:br/>
              <w:t>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presented in the condensed</w:t>
              <w:br/>
              <w:t>consolidated</w:t>
              <w:br/>
              <w:t>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(141,092)</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(135,965)</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DERIVATIVE FINANCIAL INSTRUMENTS — Continued</w:t>
      </w:r>
    </w:p>
    <w:p>
      <w:pPr>
        <w:pStyle w:val="TextBody"/>
        <w:bidi w:val="0"/>
        <w:spacing w:lineRule="auto" w:line="288" w:before="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location and aggregate gain (loss) of all derivative financial instruments recorded in the interim unaudited condensed consolidated statements of operations for the periods presented (in thousands). </w:t>
      </w:r>
    </w:p>
    <w:tbl>
      <w:tblPr>
        <w:tblW w:w="10406"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1080"/>
        <w:gridCol w:w="1080"/>
        <w:gridCol w:w="1081"/>
        <w:gridCol w:w="109"/>
        <w:gridCol w:w="109"/>
        <w:gridCol w:w="10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736"/>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 of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in Condensed Consolidated </w:t>
              <w:b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Realized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Realized gain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Unrealized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(256,998)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9 — FAIR VALUE MEASUREMENTS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1    Unadjusted quoted prices for identical, unrestricted assets or liabilities in active markets.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Level 3    Unobservable inputs that are not corroborated by market data that reflect a company’s own market assumptions.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FAIR VALUE MEASUREMENTS — Continued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valuation of the Company’s financial assets and liabilities that were accounted for at fair value on a recurring basis in accordance with the classifications provided above as of June 30, 2026 and December 31, 2025 (in thousands).</w:t>
      </w:r>
    </w:p>
    <w:tbl>
      <w:tblPr>
        <w:tblW w:w="8221"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2"/>
        <w:gridCol w:w="109"/>
        <w:gridCol w:w="109"/>
        <w:gridCol w:w="109"/>
        <w:gridCol w:w="211"/>
        <w:gridCol w:w="901"/>
        <w:gridCol w:w="109"/>
        <w:gridCol w:w="109"/>
        <w:gridCol w:w="109"/>
        <w:gridCol w:w="109"/>
        <w:gridCol w:w="213"/>
        <w:gridCol w:w="411"/>
        <w:gridCol w:w="112"/>
        <w:gridCol w:w="109"/>
        <w:gridCol w:w="109"/>
        <w:gridCol w:w="109"/>
        <w:gridCol w:w="211"/>
        <w:gridCol w:w="90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June 30, 2026 using</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price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57"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0"/>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 using</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costless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Additional disclosures related to derivative financial instruments are provided in Note 8,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Fair Value Measurements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values and fair values of outstanding senior unsecured notes at June 30, 2026 and December 31, 2025 (in thousands).</w:t>
      </w:r>
    </w:p>
    <w:tbl>
      <w:tblPr>
        <w:tblW w:w="8051" w:type="dxa"/>
        <w:jc w:val="left"/>
        <w:tblInd w:w="0" w:type="dxa"/>
        <w:tblLayout w:type="fixed"/>
        <w:tblCellMar>
          <w:top w:w="28" w:type="dxa"/>
          <w:left w:w="28" w:type="dxa"/>
          <w:bottom w:w="28" w:type="dxa"/>
          <w:right w:w="28" w:type="dxa"/>
        </w:tblCellMar>
      </w:tblPr>
      <w:tblGrid>
        <w:gridCol w:w="380"/>
        <w:gridCol w:w="333"/>
        <w:gridCol w:w="337"/>
        <w:gridCol w:w="354"/>
        <w:gridCol w:w="354"/>
        <w:gridCol w:w="35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w:t>
              <w:br/>
              <w:t>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w:t>
              <w:br/>
              <w:t>Value</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10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Notes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FAIR VALUE MEASUREMENTS — Continued</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See Note 3, </w:t>
      </w:r>
      <w:r>
        <w:rPr>
          <w:rFonts w:ascii="Times New Roman;serif" w:hAnsi="Times New Roman;serif"/>
          <w:b w:val="false"/>
          <w:i/>
          <w:color w:val="000000"/>
          <w:sz w:val="20"/>
        </w:rPr>
        <w:t>Acquisitions</w:t>
      </w:r>
      <w:r>
        <w:rPr>
          <w:rFonts w:ascii="Times New Roman;serif" w:hAnsi="Times New Roman;serif"/>
          <w:b w:val="false"/>
          <w:color w:val="000000"/>
          <w:sz w:val="20"/>
        </w:rPr>
        <w:t>, for a discussion of the fair value measurement of assets acquired as part of the BLM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10 — COMMITMENTS AND CONTINGENCIES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Processing, Transportation and Produced Water Disposal Commitments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Firm Commitments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$39.9 million and $22.0 million for services under these agreements during the three months ended June 30, 2026 and 2025, respectively, and $65.2 million and $43.4 million for services under these agreements during the six months ended June 30, 2026 and 2025,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June 30, 2026, the total deficiencies required to be paid by the Company under these agreements would be approximately $2.37 billion.</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San Mateo Commitments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dedicated to San Mateo its current and certain future leasehold interests in the Rustler Breaks asset area and the Wolf portion of the West Texas asset area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The Company also dedicated to San Mateo certain of its current and future leasehold interests in the Ranger and Antelope Ridge asset areas pursuant to 15-year, fixed-fee natural gas gathering, compression, treating and processing agreements (collectively with the transportation, gathering, produced water disposal and natural gas processing agreements, the “Operational Agreements”). San Mateo provides the Company with firm service under each of the Operational Agreements in exchange for certain minimum volume commitments. The remaining minimum contractual obligation under the Operational Agreements at June 30, 2026 was approximately $646.2 million.</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SUPPLEMENTAL DISCLOSURES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Payable and Accrued Liabilities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current accounts payable and accrued liabilities at June 30, 2026 and December 31, 2025 (in thousands).</w:t>
      </w:r>
    </w:p>
    <w:tbl>
      <w:tblPr>
        <w:tblW w:w="8161" w:type="dxa"/>
        <w:jc w:val="left"/>
        <w:tblInd w:w="0" w:type="dxa"/>
        <w:tblLayout w:type="fixed"/>
        <w:tblCellMar>
          <w:top w:w="28" w:type="dxa"/>
          <w:left w:w="28" w:type="dxa"/>
          <w:bottom w:w="28" w:type="dxa"/>
          <w:right w:w="28" w:type="dxa"/>
        </w:tblCellMar>
      </w:tblPr>
      <w:tblGrid>
        <w:gridCol w:w="1951"/>
        <w:gridCol w:w="1712"/>
        <w:gridCol w:w="1721"/>
        <w:gridCol w:w="211"/>
        <w:gridCol w:w="826"/>
        <w:gridCol w:w="109"/>
        <w:gridCol w:w="109"/>
        <w:gridCol w:w="109"/>
        <w:gridCol w:w="109"/>
        <w:gridCol w:w="231"/>
        <w:gridCol w:w="905"/>
        <w:gridCol w:w="168"/>
      </w:tblGrid>
      <w:tr>
        <w:trPr/>
        <w:tc>
          <w:tcPr>
            <w:tcW w:w="195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evaluated and unproved and unevaluated property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151,680 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lease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partners’ share of joint interest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derivative 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midstream properties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payable related to purchased natural gas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540,620 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Supplemental Cash Flow Information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disclosures of cash flow information for the six months ended June 30, 2026 and 2025 (in thousands).</w:t>
      </w:r>
    </w:p>
    <w:tbl>
      <w:tblPr>
        <w:tblW w:w="10179" w:type="dxa"/>
        <w:jc w:val="left"/>
        <w:tblInd w:w="0" w:type="dxa"/>
        <w:tblLayout w:type="fixed"/>
        <w:tblCellMar>
          <w:top w:w="28" w:type="dxa"/>
          <w:left w:w="28" w:type="dxa"/>
          <w:bottom w:w="28" w:type="dxa"/>
          <w:right w:w="28" w:type="dxa"/>
        </w:tblCellMar>
      </w:tblPr>
      <w:tblGrid>
        <w:gridCol w:w="2734"/>
        <w:gridCol w:w="2401"/>
        <w:gridCol w:w="2410"/>
        <w:gridCol w:w="211"/>
        <w:gridCol w:w="826"/>
        <w:gridCol w:w="109"/>
        <w:gridCol w:w="109"/>
        <w:gridCol w:w="109"/>
        <w:gridCol w:w="109"/>
        <w:gridCol w:w="211"/>
        <w:gridCol w:w="796"/>
        <w:gridCol w:w="154"/>
      </w:tblGrid>
      <w:tr>
        <w:trPr/>
        <w:tc>
          <w:tcPr>
            <w:tcW w:w="2734"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expense, net of amounts capitalized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asset retirement obligations related to mineral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asset retirement obligations related to midstream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liabilities for drilling, completion and equipping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liabilities for acquisition of 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liabilities for midstream properties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as a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inventory from 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tbl>
      <w:tblPr>
        <w:tblW w:w="4959" w:type="dxa"/>
        <w:jc w:val="left"/>
        <w:tblInd w:w="0" w:type="dxa"/>
        <w:tblLayout w:type="fixed"/>
        <w:tblCellMar>
          <w:top w:w="28" w:type="dxa"/>
          <w:left w:w="28" w:type="dxa"/>
          <w:bottom w:w="28" w:type="dxa"/>
          <w:right w:w="28" w:type="dxa"/>
        </w:tblCellMar>
      </w:tblPr>
      <w:tblGrid>
        <w:gridCol w:w="902"/>
        <w:gridCol w:w="795"/>
        <w:gridCol w:w="808"/>
        <w:gridCol w:w="211"/>
        <w:gridCol w:w="721"/>
        <w:gridCol w:w="109"/>
        <w:gridCol w:w="109"/>
        <w:gridCol w:w="109"/>
        <w:gridCol w:w="109"/>
        <w:gridCol w:w="211"/>
        <w:gridCol w:w="7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SEGMENT INFORMATION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has operations in the Haynesville shale and Cotton Valley plays in Northwest Louisiana. The midstream segment conducts midstream operations in support of, and provides flow assurance for,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Delaware Basin are conducted through San Mateo.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Chairman and Chief Executive Officer. The CODM uses operating income to assess income generated from each segment to allocate resources by either reinvesting profits as midstream or drilling and completion capital expenditures, or for determining the appropriate amounts for acquisition spend, the repayment of debt, the payment of dividends and repurchases of common stock.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tbl>
      <w:tblPr>
        <w:tblW w:w="10205" w:type="dxa"/>
        <w:jc w:val="center"/>
        <w:tblInd w:w="0" w:type="dxa"/>
        <w:tblLayout w:type="fixed"/>
        <w:tblCellMar>
          <w:top w:w="28" w:type="dxa"/>
          <w:left w:w="28" w:type="dxa"/>
          <w:bottom w:w="28" w:type="dxa"/>
          <w:right w:w="28" w:type="dxa"/>
        </w:tblCellMar>
      </w:tblPr>
      <w:tblGrid>
        <w:gridCol w:w="813"/>
        <w:gridCol w:w="387"/>
        <w:gridCol w:w="389"/>
        <w:gridCol w:w="243"/>
        <w:gridCol w:w="1248"/>
        <w:gridCol w:w="125"/>
        <w:gridCol w:w="109"/>
        <w:gridCol w:w="109"/>
        <w:gridCol w:w="109"/>
        <w:gridCol w:w="211"/>
        <w:gridCol w:w="976"/>
        <w:gridCol w:w="109"/>
        <w:gridCol w:w="109"/>
        <w:gridCol w:w="109"/>
        <w:gridCol w:w="109"/>
        <w:gridCol w:w="211"/>
        <w:gridCol w:w="826"/>
        <w:gridCol w:w="109"/>
        <w:gridCol w:w="109"/>
        <w:gridCol w:w="109"/>
        <w:gridCol w:w="109"/>
        <w:gridCol w:w="483"/>
        <w:gridCol w:w="929"/>
        <w:gridCol w:w="250"/>
        <w:gridCol w:w="109"/>
        <w:gridCol w:w="109"/>
        <w:gridCol w:w="109"/>
        <w:gridCol w:w="230"/>
        <w:gridCol w:w="1182"/>
        <w:gridCol w:w="176"/>
      </w:tblGrid>
      <w:tr>
        <w:trPr/>
        <w:tc>
          <w:tcPr>
            <w:tcW w:w="81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(101,735)</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derivatives</w:t>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derivatives</w:t>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541,414 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577,322 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11,459,104 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1,900,557 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13,494,566 </w:t>
            </w:r>
          </w:p>
        </w:tc>
        <w:tc>
          <w:tcPr>
            <w:tcW w:w="17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4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1,594,747 </w:t>
            </w:r>
          </w:p>
        </w:tc>
        <w:tc>
          <w:tcPr>
            <w:tcW w:w="12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1,638,744 </w:t>
            </w:r>
          </w:p>
        </w:tc>
        <w:tc>
          <w:tcPr>
            <w:tcW w:w="1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midstream operating expense for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depletion, depreciation and amortization expenses of $297.1 million and $17.6 million for the exploration and production and midstream segments, respectively. Also includes corporate depletion, depreciation and amortization expenses of $0.4 million. Other expenses for each reportable segment also include (i) transportation and processing, (ii) general and administrative expenses, (iii) accretion of asset retirement obligations, (iv) purchased natural gas and (v) taxes other than income.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$23.0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$1.18 billion attributable to land and seismic acquisition expenditures related to the exploration and production segment, $6.2 million attributable to midstream acquisition expenditures and $13.4 million in capital expenditures attributable to non-controlling interest in subsidiaries related to the midstream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12 — SEGMENT INFORMATION — Continued</w:t>
      </w:r>
    </w:p>
    <w:tbl>
      <w:tblPr>
        <w:tblW w:w="10205" w:type="dxa"/>
        <w:jc w:val="left"/>
        <w:tblInd w:w="0" w:type="dxa"/>
        <w:tblLayout w:type="fixed"/>
        <w:tblCellMar>
          <w:top w:w="28" w:type="dxa"/>
          <w:left w:w="28" w:type="dxa"/>
          <w:bottom w:w="28" w:type="dxa"/>
          <w:right w:w="28" w:type="dxa"/>
        </w:tblCellMar>
      </w:tblPr>
      <w:tblGrid>
        <w:gridCol w:w="820"/>
        <w:gridCol w:w="399"/>
        <w:gridCol w:w="401"/>
        <w:gridCol w:w="252"/>
        <w:gridCol w:w="1169"/>
        <w:gridCol w:w="130"/>
        <w:gridCol w:w="109"/>
        <w:gridCol w:w="109"/>
        <w:gridCol w:w="109"/>
        <w:gridCol w:w="211"/>
        <w:gridCol w:w="976"/>
        <w:gridCol w:w="109"/>
        <w:gridCol w:w="109"/>
        <w:gridCol w:w="109"/>
        <w:gridCol w:w="109"/>
        <w:gridCol w:w="211"/>
        <w:gridCol w:w="826"/>
        <w:gridCol w:w="109"/>
        <w:gridCol w:w="109"/>
        <w:gridCol w:w="109"/>
        <w:gridCol w:w="109"/>
        <w:gridCol w:w="490"/>
        <w:gridCol w:w="942"/>
        <w:gridCol w:w="254"/>
        <w:gridCol w:w="109"/>
        <w:gridCol w:w="109"/>
        <w:gridCol w:w="109"/>
        <w:gridCol w:w="232"/>
        <w:gridCol w:w="1191"/>
        <w:gridCol w:w="175"/>
      </w:tblGrid>
      <w:tr>
        <w:trPr/>
        <w:tc>
          <w:tcPr>
            <w:tcW w:w="82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(95,118)</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(46,299)</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233,671 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288,664 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9,405,046 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1,770,840 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11,279,910 </w:t>
            </w:r>
          </w:p>
        </w:tc>
        <w:tc>
          <w:tcPr>
            <w:tcW w:w="17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389,113 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101,487 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491,414 </w:t>
            </w:r>
          </w:p>
        </w:tc>
        <w:tc>
          <w:tcPr>
            <w:tcW w:w="17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midstream operating expense for the midstream segment.</w:t>
      </w:r>
    </w:p>
    <w:p>
      <w:pPr>
        <w:pStyle w:val="TextBody"/>
        <w:bidi w:val="0"/>
        <w:spacing w:lineRule="auto" w:line="288" w:before="120" w:after="283"/>
        <w:ind w:left="0" w:right="0" w:hanging="360"/>
        <w:jc w:val="left"/>
        <w:rPr/>
      </w:pPr>
      <w:r>
        <w:rPr>
          <w:rFonts w:ascii="Times New Roman;serif" w:hAnsi="Times New Roman;serif"/>
          <w:b w:val="false"/>
          <w:color w:val="000000"/>
          <w:sz w:val="16"/>
        </w:rPr>
        <w:t>(2)Includes depletion, depreciation and amortization expenses of $289.0 million</w:t>
      </w:r>
      <w:r>
        <w:rPr>
          <w:color w:val="000000"/>
        </w:rPr>
        <w:t xml:space="preserve"> </w:t>
      </w:r>
      <w:r>
        <w:rPr>
          <w:rFonts w:ascii="Times New Roman;serif" w:hAnsi="Times New Roman;serif"/>
          <w:b w:val="false"/>
          <w:color w:val="000000"/>
          <w:sz w:val="16"/>
        </w:rPr>
        <w:t>and $13.1 million for the exploration and production and midstream segments, respectively. Also includes corporate depletion, depreciation and amortization expenses of $0.4 million. Other expenses for each reportable segment also include (i) transportation and processing, (ii) general and administrative expenses, (iii) accretion of asset retirement obligations, (iv) purchased natural gas and (v) taxes other than income.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(3)Includes $32.1 million in net income attributable to non-controlling interest in subsidiaries related to the midstream segment. </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$43.8 million attributable to land and seismic acquisition expenditures related to the exploration and production segment and $45.3 million in capital expenditures attributable to non-controlling interest in subsidiaries related to the midstream segment.</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799"/>
        <w:gridCol w:w="379"/>
        <w:gridCol w:w="380"/>
        <w:gridCol w:w="245"/>
        <w:gridCol w:w="1256"/>
        <w:gridCol w:w="126"/>
        <w:gridCol w:w="109"/>
        <w:gridCol w:w="109"/>
        <w:gridCol w:w="109"/>
        <w:gridCol w:w="211"/>
        <w:gridCol w:w="976"/>
        <w:gridCol w:w="109"/>
        <w:gridCol w:w="109"/>
        <w:gridCol w:w="109"/>
        <w:gridCol w:w="109"/>
        <w:gridCol w:w="211"/>
        <w:gridCol w:w="826"/>
        <w:gridCol w:w="109"/>
        <w:gridCol w:w="109"/>
        <w:gridCol w:w="109"/>
        <w:gridCol w:w="109"/>
        <w:gridCol w:w="487"/>
        <w:gridCol w:w="937"/>
        <w:gridCol w:w="253"/>
        <w:gridCol w:w="109"/>
        <w:gridCol w:w="109"/>
        <w:gridCol w:w="109"/>
        <w:gridCol w:w="231"/>
        <w:gridCol w:w="1187"/>
        <w:gridCol w:w="175"/>
      </w:tblGrid>
      <w:tr>
        <w:trPr/>
        <w:tc>
          <w:tcPr>
            <w:tcW w:w="79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1,899,284 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1,906,315 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(195,592)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derivatives</w:t>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(114,065)</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903,649 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559,982 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624,143 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11,459,104 </w:t>
            </w:r>
          </w:p>
        </w:tc>
        <w:tc>
          <w:tcPr>
            <w:tcW w:w="1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1,900,557 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13,494,566 </w:t>
            </w:r>
          </w:p>
        </w:tc>
        <w:tc>
          <w:tcPr>
            <w:tcW w:w="17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4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2,073,807 </w:t>
            </w:r>
          </w:p>
        </w:tc>
        <w:tc>
          <w:tcPr>
            <w:tcW w:w="1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2,135,670 </w:t>
            </w:r>
          </w:p>
        </w:tc>
        <w:tc>
          <w:tcPr>
            <w:tcW w:w="17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midstream operating expense for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depletion, depreciation and amortization expenses of $572.4 million and $34.6 million for the exploration and production and midstream segments, respectively. Also includes corporate depletion, depreciation and amortization expenses of $0.8 million. Other expenses for each reportable segment also includes (i) transportation and processing, (ii) general and administrative expenses, (iii) accretion of asset retirement obligations, (iv) purchased natural gas and (v) taxes other than income.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(3)Includes $43.1 million in net income attributable to non-controlling interest in subsidiaries related to the midstream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12 — SEGMENT INFORMATION — Continued</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(5)Includes $1.24 billion attributable to land and seismic acquisition expenditures related to the exploration and production segment, $6.2 million attributable to midstream acquisition expenditures and $18.6 million in capital expenditures attributable to non-controlling interest in subsidiaries related to the midstream segment. </w:t>
      </w:r>
    </w:p>
    <w:tbl>
      <w:tblPr>
        <w:tblW w:w="10205" w:type="dxa"/>
        <w:jc w:val="left"/>
        <w:tblInd w:w="0" w:type="dxa"/>
        <w:tblLayout w:type="fixed"/>
        <w:tblCellMar>
          <w:top w:w="28" w:type="dxa"/>
          <w:left w:w="28" w:type="dxa"/>
          <w:bottom w:w="28" w:type="dxa"/>
          <w:right w:w="28" w:type="dxa"/>
        </w:tblCellMar>
      </w:tblPr>
      <w:tblGrid>
        <w:gridCol w:w="804"/>
        <w:gridCol w:w="390"/>
        <w:gridCol w:w="391"/>
        <w:gridCol w:w="254"/>
        <w:gridCol w:w="1178"/>
        <w:gridCol w:w="131"/>
        <w:gridCol w:w="109"/>
        <w:gridCol w:w="109"/>
        <w:gridCol w:w="109"/>
        <w:gridCol w:w="211"/>
        <w:gridCol w:w="976"/>
        <w:gridCol w:w="109"/>
        <w:gridCol w:w="109"/>
        <w:gridCol w:w="109"/>
        <w:gridCol w:w="109"/>
        <w:gridCol w:w="211"/>
        <w:gridCol w:w="826"/>
        <w:gridCol w:w="109"/>
        <w:gridCol w:w="109"/>
        <w:gridCol w:w="109"/>
        <w:gridCol w:w="109"/>
        <w:gridCol w:w="494"/>
        <w:gridCol w:w="951"/>
        <w:gridCol w:w="256"/>
        <w:gridCol w:w="109"/>
        <w:gridCol w:w="109"/>
        <w:gridCol w:w="109"/>
        <w:gridCol w:w="233"/>
        <w:gridCol w:w="1196"/>
        <w:gridCol w:w="177"/>
      </w:tblGrid>
      <w:tr>
        <w:trPr/>
        <w:tc>
          <w:tcPr>
            <w:tcW w:w="80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1,725,692 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(87,755)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595,758 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677,815 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9,405,046 </w:t>
            </w:r>
          </w:p>
        </w:tc>
        <w:tc>
          <w:tcPr>
            <w:tcW w:w="13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1,770,840 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11,279,910 </w:t>
            </w:r>
          </w:p>
        </w:tc>
        <w:tc>
          <w:tcPr>
            <w:tcW w:w="17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865,265 </w:t>
            </w:r>
          </w:p>
        </w:tc>
        <w:tc>
          <w:tcPr>
            <w:tcW w:w="1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1,045,692 </w:t>
            </w:r>
          </w:p>
        </w:tc>
        <w:tc>
          <w:tcPr>
            <w:tcW w:w="17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midstream operating expense for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depletion, depreciation and amortization expenses of $558.5 million and $25.2 million for the exploration and production and midstream segments, respectively. Also includes corporate depletion, depreciation and amortization expenses of $0.8 million. Other expenses for each reportable segment also include (i) transportation and processing, (ii) general and administrative expenses, (iii) accretion of asset retirement obligations, (iv) purchased natural gas and (v) taxes other than income.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$54.3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$125.6 million attributable to land and seismic acquisition expenditures related to the exploration and production segment and $76.1 million in capital expenditures attributable to non-controlling interest in subsidiaries related to the midstream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13 — SUBSEQUENT EVENTS</w:t>
      </w:r>
    </w:p>
    <w:p>
      <w:pPr>
        <w:pStyle w:val="TextBody"/>
        <w:bidi w:val="0"/>
        <w:spacing w:before="0" w:after="0"/>
        <w:ind w:left="0" w:right="0" w:firstLine="495"/>
        <w:jc w:val="left"/>
        <w:rPr/>
      </w:pPr>
      <w:r>
        <w:rPr/>
      </w:r>
    </w:p>
    <w:p>
      <w:pPr>
        <w:pStyle w:val="TextBody"/>
        <w:bidi w:val="0"/>
        <w:spacing w:lineRule="auto" w:line="26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Paloma Acquisition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July 22, 2026, a wholly-owned subsidiary of the Company entered into a definitive agreement to acquire Paloma Permian, LLC (“Paloma”) from a portfolio company of EnCap Investments L.P. (“EnCap”), including certain proved undeveloped acreage and oil and natural gas producing properties located in Eddy and Lea Counties, New Mexico (the “Paloma Acquisition”). The consideration for the Paloma Acquisition will consist of a cash payment of $1.275 billion, subject to customary closing adjustments, including for working capital and for title and environmental defects. The consummation of the Paloma Acquisition is subject to the satisfaction or waiver of a number of customary closing conditions and is expected to close in the fourth quarter of 2026, with an effective date of June 1, 2026. This acquisition is expected to be funded through cash on hand and borrowings under the Company’s existing reserves-based Credit Agreement, for which the elected commitment level was increased to $2.75 billion as discussed in Note 5, </w:t>
      </w:r>
      <w:r>
        <w:rPr>
          <w:rFonts w:ascii="Times New Roman;serif" w:hAnsi="Times New Roman;serif"/>
          <w:b w:val="false"/>
          <w:i/>
          <w:color w:val="000000"/>
          <w:sz w:val="20"/>
        </w:rPr>
        <w:t>Debt.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Ridge Runner Acquisition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2026, a wholly-owned subsidiary of the Company entered into a definitive agreement to acquire from subsidiaries of Ridge Runner Resources II, LLC, a portfolio company of EnCap, primarily undeveloped acreage and certain oil and natural gas producing properties located the Woodford play in Lea County, New Mexico and Winkler and Ward Counties, Texas (the “Ridge Runner Acquisition”). The consummation of the Ridge Runner Acquisition is subject to the satisfaction or waiver of a number of customary closing conditions and is expected to close in the fourth quarter of 2026, with an effective date of June 1, 2026. This acquisition is expected to be funded through cash on hand and borrowings under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13 — SUBSEQUENT EVENTS — Continued</w:t>
      </w:r>
    </w:p>
    <w:p>
      <w:pPr>
        <w:pStyle w:val="TextBody"/>
        <w:bidi w:val="0"/>
        <w:spacing w:lineRule="auto" w:line="288" w:before="120" w:after="283"/>
        <w:jc w:val="left"/>
        <w:rPr/>
      </w:pPr>
      <w:r>
        <w:rPr>
          <w:rFonts w:ascii="Times New Roman;serif" w:hAnsi="Times New Roman;serif"/>
          <w:b w:val="false"/>
          <w:color w:val="000000"/>
          <w:sz w:val="20"/>
        </w:rPr>
        <w:t xml:space="preserve">existing reserves-based Credit Agreement, for which the elected commitment level was increased to $2.75 billion as discussed in Note 5, </w:t>
      </w:r>
      <w:r>
        <w:rPr>
          <w:rFonts w:ascii="Times New Roman;serif" w:hAnsi="Times New Roman;serif"/>
          <w:b w:val="false"/>
          <w:i/>
          <w:color w:val="000000"/>
          <w:sz w:val="20"/>
        </w:rPr>
        <w:t>Debt.</w:t>
      </w:r>
    </w:p>
    <w:p>
      <w:pPr>
        <w:pStyle w:val="TextBody"/>
        <w:bidi w:val="0"/>
        <w:spacing w:lineRule="auto" w:line="26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Cardinal Acquisition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2026, a wholly-owned subsidiary of San Mateo completed the acquisition of the operating subsidiaries of Cardinal Midstream Partners, LLC (“Cardinal”), a portfolio company of EnCap Flatrock Midstream, for total cash consideration of $752.0 million, subject to certain customary post-closing purchase price adjustments (the “Cardinal Acquisition”). The purchase price for the Cardinal Acquisition was funded through a combination of (i) borrowings under a new $650.0 million term loan due July 30, 2027 under the San Mateo Credit Facility, (ii) capital contributions by Matador and Five Point to San Mateo of $51.0 million and $49.0 million, respectively, and (iii) cash on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2025 (the “Annual Report”) filed with the Securities and Exchange Commission (the “SEC”) on February 26, 2026, along with Management’s Discussion and Analysis of Financial Condition and Results of Operations contained in the Annual Report. The Annual Report is accessible on the SEC’s website at </w:t>
      </w:r>
      <w:r>
        <w:rPr>
          <w:rFonts w:ascii="Times New Roman;serif" w:hAnsi="Times New Roman;serif"/>
          <w:b w:val="false"/>
          <w:i/>
          <w:color w:val="000000"/>
          <w:sz w:val="20"/>
          <w:u w:val="single"/>
        </w:rPr>
        <w:t>www.sec.gov</w:t>
      </w:r>
      <w:r>
        <w:rPr>
          <w:color w:val="000000"/>
        </w:rPr>
        <w:t xml:space="preserve"> </w:t>
      </w:r>
      <w:r>
        <w:rPr>
          <w:rFonts w:ascii="Times New Roman;serif" w:hAnsi="Times New Roman;serif"/>
          <w:b w:val="false"/>
          <w:i/>
          <w:color w:val="000000"/>
          <w:sz w:val="20"/>
        </w:rPr>
        <w:t xml:space="preserve">and on our website at </w:t>
      </w:r>
      <w:r>
        <w:rPr>
          <w:rFonts w:ascii="Times New Roman;serif" w:hAnsi="Times New Roman;serif"/>
          <w:b w:val="false"/>
          <w:i/>
          <w:color w:val="000000"/>
          <w:sz w:val="20"/>
          <w:u w:val="single"/>
        </w:rPr>
        <w:t>www.matadorresources.com</w:t>
      </w:r>
      <w:r>
        <w:rPr>
          <w:rFonts w:ascii="Times New Roman;serif" w:hAnsi="Times New Roman;serif"/>
          <w:b w:val="false"/>
          <w:i/>
          <w:color w:val="000000"/>
          <w:sz w:val="20"/>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 this Quarterly Report on Form 10-Q (this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collectively with its subsidiaries. For certain oil and natural gas terms used in this Quarterly Report, please see the “Glossary of Oil and Natural Gas Terms” included with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All statements, other than statements of historical fact, included in this Quarterly Report regarding our strategy, future operations, estimated revenues and losses, projected costs, prospects, plans and objectives of management are forward-looking statements. Such statements are generally identifiable by the terminology used such as “anticipate,” “believe,” “continue,” “could,” “estimate,” “expect,” “forecasted,” “hypothetical,” “intend,” “may,” “might,” “plan,” “potential,” “predict,” “project,” “seek,” “should,” “would” or other similar words, although not all forward-looking statements contain such identifying words.</w:t>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general economic conditions, including the effects of inflation and interest rates; tariffs and trade tensions;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or the construction, expansion or operation of our midstream assets; delays and other difficulties related to regulatory and governmental approvals and restrictions; impact on our operations due to seismic events; availability of sufficient capital to execute our business plan, including from future cash flows, capital markets, available borrowing capacity under our revolving credit facilities and otherwise; our ability to make acquisitions on economically acceptable terms; our ability to integrate acquisitions, including the Cardinal Acquisition, the Paloma Acquisition and the Ridge Runner Acquisition (each as defined below); the operating results of and availability of any potential distributions from our joint ventures; weather conditions, environmental conditions and natural disasters; our ability to consummate the Paloma Acquisition and the Ridge Runner Acquisition in the anticipated timeframes or at all; risks related to the satisfaction or waiver of the conditions to closing the Paloma Acquisition and the Ridge Runner Acquisition in the anticipated timeframes or at all; risks related to obtaining the requisite regulatory approvals for the Paloma Acquisition and the Ridge Runner Acquisition; disruption from our acquisitions, including the Cardinal Acquisition, the Paloma Acquisition and the Ridge Runner Acquisition, making it more difficult to maintain business and operational relationships; significant transaction costs associated with our acquisitions, including the Cardinal Acquisition, the Paloma Acquisition and the Ridge Runner Acquisition; evolving cybersecurity risks; the risk of litigation and/or regulatory actions related to our acquisitions, including the Cardinal Acquisition, the Paloma Acquisition and the Ridge Runner Acquisition; and the other factors discussed below and elsewhere in this Quarterly Report and in other documents that we file with or furnish to the SEC, all of which are difficult to predict. Forward-looking statements may include statements about: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strategy;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estimated future reserves and the present value thereof, including whether or not a full-cost ceiling impairment could be realized;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cash flows and liquidity;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timing and payment of dividends,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financial strategy, budget, projections and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supply and demand of oil, natural gas and NGLs;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oil, natural gas and NGL prices, including our realized prices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amount of future production of oil and natural gas;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drilling and production equipment;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oil storage capacity;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and cost of oil field labor;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nature and timing of capital expenditures, including future exploration and development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and terms of capital;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drilling of wells;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negotiate and consummate acquisition and divestiture opportunities;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integration of acquisitions, including the Cardinal Acquisition, the Paloma Acquisition and the Ridge Runner Acquisition, with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government regulation and taxation of the oil and natural gas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tariffs and trade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marketing of oil and natural gas;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exploitation projects or property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our midstream business to construct, maintain and operate midstream pipelines and facilities, including the operation of cryogenic natural gas processing plants and the drilling of additional salt water disposal wells;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our midstream business to attract third-party volumes;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costs of exploiting and developing our properties and conducting other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in the oil and natural gas industry, including in both the exploration and production and midstream segments;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effectiveness of our risk management and hedging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environmental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initiatives and efforts relating to environmental, social and governance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counterparty credit risk;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geopolitical instability and developments in oil-producing and natural gas-producing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Cardinal Acquisition, the Paloma Acquisition and the Ridge Runner Acquisition, including the anticipated timing and benefits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the One Big Beautiful Bill Act of 2025 (the “OBBBA”);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plans, objectives, expectations and intentions contained in this Quarterly Report or in our other filings with the SEC that are not historical.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Highlights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total oil equivalent production was 19.6 million BOE, and our average daily oil equivalent production was 215,631 BOE per day, of which 126,106 Bbl per day, or 58%, was oil and 537.1 MMcf per day, or 42%, was natural gas. Our average daily oil production of 126,106 Bbl per day for the three months ended June 30, 2026 increased 3% year-over-year from 122,875 Bbl per day for the three months ended June 30, 2025. Our average daily natural gas production of 537.1 MMcf per day for the three months ended June 30, 2026 increased 4% year-over-year from 516.8 MMcf per day for the three months ended June 30, 2025. The Delaware Basin contributed 100% of our daily oil production and 97% of our daily natural gas production in each of the second quarters of 2026 and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we reported net income attributable to Matador shareholders of $390.7 million, or $3.15 per diluted common share, on a GAAP basis, as compared to net income attributable to Matador shareholders of $150.2 million, or $1.21 per diluted common share, for the second quarter of 2025. For the second quarter of 2026, our Adjusted EBITDA, a non</w:t>
        <w:noBreakHyphen/>
        <w:t>GAAP financial measure, was $781.0 million, as compared to Adjusted EBITDA of $594.2 million during the second quarter of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reported net income attributable to Matador shareholders of $354.8 million, or $2.86 per diluted common share, on a GAAP basis, as compared to net income attributable to Matador shareholders of $390.3 million, or $3.12 per diluted common share, for the six months ended June 30, 2025. For the six months ended June 30, 2026, our Adjusted EBITDA, a non</w:t>
        <w:noBreakHyphen/>
        <w:t>GAAP financial measure, was $1.36 billion, as compared to Adjusted EBITDA of $1.24 billion for the six months ended June 30,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a definition of Adjusted EBITDA and a reconciliation of Adjusted EBITDA to our net income and net cash provided by operating activities, see “—Liquidity and Capital Resources—Non-GAAP Financial Measures.” For more information regarding our financial results for the three and six months ended June 30, 2026, see “—Results of Operations” below.</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2026, we completed the acquisition of 5,154 net undeveloped acres in the core of the Delaware Basin in Southeast New Mexico for approximately $1.16 billion as part of the Bureau of Land Management Oil and Gas Lease Sale (the “BLM Acquisition”). The acquired acreage complements our existing acreage position, and as a result, includes proved undeveloped reserves in addition to unproved and unevaluated reserves.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Subsequent to the end of the reporting period, on July 22, 2026, we entered into a definitive agreement to acquire Paloma Permian, LLC (“Paloma”) from a portfolio company of EnCap Investments L.P. (“EnCap”), including certain proved undeveloped acreage and oil and natural gas producing properties located in Eddy and Lea Counties, New Mexico (the “Paloma Acquisition”). The consideration for the Paloma Acquisition will consist of a cash payment of $1.275 billion, subject to customary closing adjustments, including for working capital and for title and environmental defects. The consummation of the Paloma Acquisition is subject to the satisfaction or waiver of a number of customary closing conditions and is expected to close in the fourth quarter of 2026, with an effective date of June 1, 2026.</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22, 2026, we entered into a definitive agreement to acquire from subsidiaries of Ridge Runner Resources II, LLC, a portfolio company of EnCap, primarily undeveloped acreage and certain oil and natural gas producing properties located in the Woodford play in Lea County, New Mexico and Winkler and Ward Counties, Texas (the “Ridge Runner Acquisition”). The consummation of the Ridge Runner Acquisition is subject to the satisfaction or waiver of a number of customary closing conditions and is expected to close in the fourth quarter of 2026, with an effective date of June 1, 2026.</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31, 2026, San Mateo completed the acquisition of the operating subsidiaries of Cardinal Midstream Partners, LLC (“Cardinal”), a portfolio company of EnCap Flatrock Midstream, for total cash consideration of $752.0 million, subject to certain customary post-closing purchase price adjustments (the “Cardinal Acquisition”).</w:t>
      </w:r>
    </w:p>
    <w:p>
      <w:pPr>
        <w:pStyle w:val="TextBody"/>
        <w:bidi w:val="0"/>
        <w:spacing w:lineRule="auto" w:line="288"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discussion of the funding for these acquisitions, see “—Liquidity and Capital Resources” in Part I, Item 2 of this Quarterly Report.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2026 Capital Expenditure Budget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5, 2026, we increased our estimated drilling, completing and equipping (“D/C/E”) capital expenditures for 2026 to a range of $1.48 to $1.56 billion from a range of $1.35 to $1.44 billion, which includes our expected D/C/E capital expenditures on acreage acquired in the BLM Acquisition and expected to be acquired in the Paloma Acquisition and Ridge Runner Acquisition. On August 5, 2026, we also adjusted our estimated midstream capital expenditures for 2026 to a range of $145.0 to $165.0 million from a range of $100.0 to $110.0 million, which includes our proportionate share of San Mateo’s estimated 2026 capital expenditures as well as the estimated 2026 capital expenditures for other wholly-owned midstream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critical accounting policies and estimates from those set forth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are no recent accounting pronouncements that are expected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revenues and production data for the periods indicated:</w:t>
      </w:r>
    </w:p>
    <w:tbl>
      <w:tblPr>
        <w:tblW w:w="10205" w:type="dxa"/>
        <w:jc w:val="left"/>
        <w:tblInd w:w="0" w:type="dxa"/>
        <w:tblLayout w:type="fixed"/>
        <w:tblCellMar>
          <w:top w:w="28" w:type="dxa"/>
          <w:left w:w="28" w:type="dxa"/>
          <w:bottom w:w="28" w:type="dxa"/>
          <w:right w:w="28" w:type="dxa"/>
        </w:tblCellMar>
      </w:tblPr>
      <w:tblGrid>
        <w:gridCol w:w="1491"/>
        <w:gridCol w:w="1245"/>
        <w:gridCol w:w="1250"/>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340"/>
        <w:gridCol w:w="344"/>
        <w:gridCol w:w="483"/>
        <w:gridCol w:w="109"/>
        <w:gridCol w:w="109"/>
        <w:gridCol w:w="109"/>
        <w:gridCol w:w="156"/>
      </w:tblGrid>
      <w:tr>
        <w:trPr/>
        <w:tc>
          <w:tcPr>
            <w:tcW w:w="149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Data</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Revenues (in thousands)</w:t>
            </w:r>
            <w:r>
              <w:rPr>
                <w:rFonts w:ascii="Times New Roman;serif" w:hAnsi="Times New Roman;serif"/>
                <w:b/>
                <w:color w:val="000000"/>
                <w:sz w:val="13"/>
              </w:rPr>
              <w:t>(1)</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natural gas revenues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Production Volumes</w:t>
            </w:r>
            <w:r>
              <w:rPr>
                <w:rFonts w:ascii="Times New Roman;serif" w:hAnsi="Times New Roman;serif"/>
                <w:b/>
                <w:color w:val="000000"/>
                <w:sz w:val="13"/>
              </w:rPr>
              <w:t>(1)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(MBbl)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(Bcf)</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erif" w:hAnsi="Times New Roman;serif"/>
                <w:b w:val="false"/>
                <w:color w:val="000000"/>
                <w:sz w:val="20"/>
              </w:rPr>
              <w:t>Total oil equivalent (MBOE)</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erif" w:hAnsi="Times New Roman;serif"/>
                <w:b w:val="false"/>
                <w:color w:val="000000"/>
                <w:sz w:val="20"/>
              </w:rPr>
              <w:t>Average daily production (BOE/d)</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Sales Prices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without realized derivatives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with realized derivatives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without realized derivatives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with realized derivatives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(2)Estimated using a conversion ratio of one Bbl of oil per six Mcf of natural gas.</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June 30, 2026 as Compared to Three Months Ended June 30, 2025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Oil and natural gas revenues. </w:t>
      </w:r>
      <w:r>
        <w:rPr>
          <w:rFonts w:ascii="Times New Roman;serif" w:hAnsi="Times New Roman;serif"/>
          <w:b w:val="false"/>
          <w:color w:val="000000"/>
          <w:sz w:val="20"/>
        </w:rPr>
        <w:t>The increase in oil revenues resulted from the 53% increase in the weighted average oil price realized and the 3% increase in oil production. The decrease in natural gas revenues primarily resulted from the 139% decrease in the weighted average natural gas price realized and the 4% increase in natural gas production. For further discussion of factors impacting commodity prices, see “—General Outlook and Trends.”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Third-party midstream services revenues. </w:t>
      </w:r>
      <w:r>
        <w:rPr>
          <w:rFonts w:ascii="Times New Roman;serif" w:hAnsi="Times New Roman;serif"/>
          <w:b w:val="false"/>
          <w:color w:val="000000"/>
          <w:sz w:val="20"/>
        </w:rPr>
        <w:t>Third-party midstream services revenues are those revenues from midstream operations related to third parties, including working interest owners in our operated wells. The increase in third-party midstream services revenues was primarily attributable to a $3.0 million increase in our third-party natural gas gathering and processing revenues, which was partially offset by a $0.7 million decrease in our third-party water disposal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Sales of purchased natural gas.</w:t>
      </w:r>
      <w:r>
        <w:rPr>
          <w:color w:val="000000"/>
        </w:rPr>
        <w:t xml:space="preserve"> </w:t>
      </w:r>
      <w:r>
        <w:rPr>
          <w:rFonts w:ascii="Times New Roman;serif" w:hAnsi="Times New Roman;serif"/>
          <w:b w:val="false"/>
          <w:color w:val="000000"/>
          <w:sz w:val="20"/>
        </w:rPr>
        <w:t>The decrease in sales of purchased natural gas was primarily the result of a 49% decrease in natural gas price realized, which was partially offset by a 20% increase in natural gas volumes sold.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interim unaudited condensed consolidated statements of operations.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Realized (loss) gain on derivatives.</w:t>
      </w:r>
      <w:r>
        <w:rPr>
          <w:color w:val="000000"/>
        </w:rPr>
        <w:t xml:space="preserve"> </w:t>
      </w:r>
      <w:r>
        <w:rPr>
          <w:rFonts w:ascii="Times New Roman;serif" w:hAnsi="Times New Roman;serif"/>
          <w:b w:val="false"/>
          <w:color w:val="000000"/>
          <w:sz w:val="20"/>
        </w:rPr>
        <w:t xml:space="preserve">Our realized loss on derivatives was $72.5 million for the three months ended June 30, 2026, as compared to a realized gain of $6.9 million for the three months ended June 30, 2025. For the three months ended June 30, 2026, we recorded a net loss of $171.8 million related to our oil costless collars, resulting primarily from oil prices that were above the ceiling of certain of our oil costless collar contracts and the deferred call premiums on certain of our purchased oil call contracts. This loss was partially offset by a net gain of $99.3 million related to our natural gas costless collar and swap contracts, resulting primarily from natural gas prices that were below the floor of our natural gas costless collar contracts, natural gas prices that were below the fixed prices of certain of our natural gas swap contracts and natural gas basis differentials that were below the fixed prices of certain of our natural gas basis differential swap contracts. For the three months ended June 30, 2025, we recorded a net gain of $6.9 million related to our natural gas basis differential swap contracts, resulting primarily from natural gas basis differentials that were below the fixed prices of certain of our natural gas basis differential swap contracts. We realized an average loss on our oil derivatives of approximately $14.97 per Bbl produced during the three months ended June 30, 2026, as compared to no realized gains or losses from oil derivatives during the three months ended June 30, 2025. We realized an average gain on our natural gas derivatives of approximately $2.03 per Mcf produced during the three months ended June 30, 2026, as compared to an average gain of approximately $0.15 per Mcf produced during the three months ended June 30, 2025. See Note 8,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for further details on our derivatives.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Unrealized gain (loss) on derivatives.</w:t>
      </w:r>
      <w:r>
        <w:rPr>
          <w:color w:val="000000"/>
        </w:rPr>
        <w:t xml:space="preserve"> </w:t>
      </w:r>
      <w:r>
        <w:rPr>
          <w:rFonts w:ascii="Times New Roman;serif" w:hAnsi="Times New Roman;serif"/>
          <w:b w:val="false"/>
          <w:color w:val="000000"/>
          <w:sz w:val="20"/>
        </w:rPr>
        <w:t xml:space="preserve">During the three months ended June 30, 2026, the aggregate net fair value of our open oil and natural gas costless collar, oil price call, natural gas swap and natural gas basis differential swap contracts changed to a net liability of $136.0 million from a net liability of $221.4 million at March 31, 2026, resulting in an unrealized gain on derivatives of $85.5 million for the three months ended June 30, 2026. During the three months ended June 30, 2025, the aggregate net fair value of our open oil and natural gas costless collar and natural gas basis differential swap contracts changed to a net liability of $16.3 million from a net asset of $21.0 million at March 31, 2025, resulting in an unrealized loss on derivatives of $37.3 million for the three months ended June 30, 2025. See Note 8,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for further details on our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operating expenses and other income (expense) for the periods indicated:</w:t>
      </w:r>
    </w:p>
    <w:tbl>
      <w:tblPr>
        <w:tblW w:w="10205" w:type="dxa"/>
        <w:jc w:val="left"/>
        <w:tblInd w:w="0" w:type="dxa"/>
        <w:tblLayout w:type="fixed"/>
        <w:tblCellMar>
          <w:top w:w="28" w:type="dxa"/>
          <w:left w:w="28" w:type="dxa"/>
          <w:bottom w:w="28" w:type="dxa"/>
          <w:right w:w="28" w:type="dxa"/>
        </w:tblCellMar>
      </w:tblPr>
      <w:tblGrid>
        <w:gridCol w:w="1671"/>
        <w:gridCol w:w="1313"/>
        <w:gridCol w:w="131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9"/>
        <w:gridCol w:w="260"/>
        <w:gridCol w:w="483"/>
        <w:gridCol w:w="109"/>
        <w:gridCol w:w="109"/>
        <w:gridCol w:w="109"/>
        <w:gridCol w:w="157"/>
      </w:tblGrid>
      <w:tr>
        <w:trPr/>
        <w:tc>
          <w:tcPr>
            <w:tcW w:w="167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expenses per BOE)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operating</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and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 per BOE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and processing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June 30, 2026 as Compared to Three Months Ended June 30, 2025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Lease operating.</w:t>
      </w:r>
      <w:r>
        <w:rPr>
          <w:color w:val="000000"/>
        </w:rPr>
        <w:t xml:space="preserve"> </w:t>
      </w:r>
      <w:r>
        <w:rPr>
          <w:rFonts w:ascii="Times New Roman;serif" w:hAnsi="Times New Roman;serif"/>
          <w:b w:val="false"/>
          <w:color w:val="000000"/>
          <w:sz w:val="20"/>
        </w:rPr>
        <w:t>The increase in lease operating expense was primarily attributable to the increased number of wells being operated by us and other operators (where we own a working interest).</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Transportation and processing.</w:t>
      </w:r>
      <w:r>
        <w:rPr>
          <w:color w:val="000000"/>
        </w:rPr>
        <w:t xml:space="preserve"> </w:t>
      </w:r>
      <w:r>
        <w:rPr>
          <w:rFonts w:ascii="Times New Roman;serif" w:hAnsi="Times New Roman;serif"/>
          <w:b w:val="false"/>
          <w:color w:val="000000"/>
          <w:sz w:val="20"/>
        </w:rPr>
        <w:t xml:space="preserve">The increase in transportation and processing expenses is primarily due to the 3% increase in our total oil equivalent production and a change in the mix of revenue contracts between the periods.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Midstream operating. </w:t>
      </w:r>
      <w:r>
        <w:rPr>
          <w:rFonts w:ascii="Times New Roman;serif" w:hAnsi="Times New Roman;serif"/>
          <w:b w:val="false"/>
          <w:color w:val="000000"/>
          <w:sz w:val="20"/>
        </w:rPr>
        <w:t>The increase in midstream operating expense was primarily attributable to a $9.3 million increase in pipeline operation expenses as a result of increased inlet connections and a $6.0 million increase in plant processing expenses as a result of increased gas gathering and processing volumes.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Purchased natural gas.</w:t>
      </w:r>
      <w:r>
        <w:rPr>
          <w:color w:val="000000"/>
        </w:rPr>
        <w:t xml:space="preserve"> </w:t>
      </w:r>
      <w:r>
        <w:rPr>
          <w:rFonts w:ascii="Times New Roman;serif" w:hAnsi="Times New Roman;serif"/>
          <w:b w:val="false"/>
          <w:color w:val="000000"/>
          <w:sz w:val="20"/>
        </w:rPr>
        <w:t>The decrease in purchased natural gas expense was primarily due to a decline of approximately 910% in average Waha pricing resulting in negative prices during the current period, which was partially offset by a 55% increase in volumes purchased due to the weaker market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Depletion, depreciation and amortization. </w:t>
      </w:r>
      <w:r>
        <w:rPr>
          <w:rFonts w:ascii="Times New Roman;serif" w:hAnsi="Times New Roman;serif"/>
          <w:b w:val="false"/>
          <w:color w:val="000000"/>
          <w:sz w:val="20"/>
        </w:rPr>
        <w:t>The increase in depletion, depreciation and amortization was primarily a result of the 3% increase in our total oil equivalent production and the addition of $282.2 million of proved reserves to the full cost pool as a result of the BLM Acquisition.</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Taxes other than income.</w:t>
      </w:r>
      <w:r>
        <w:rPr>
          <w:color w:val="000000"/>
        </w:rPr>
        <w:t xml:space="preserve"> </w:t>
      </w:r>
      <w:r>
        <w:rPr>
          <w:rFonts w:ascii="Times New Roman;serif" w:hAnsi="Times New Roman;serif"/>
          <w:b w:val="false"/>
          <w:color w:val="000000"/>
          <w:sz w:val="20"/>
        </w:rPr>
        <w:t>The increase in taxes other than income is primarily due to the increase in oil revenues, partially offset by the decrease in natural gas revenues.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The increase in general and administrative expense was largely attributable to a $4.2 million increase in employee compensation costs as a result of increased headcount and a $1.4 million increase in stock-based compensation expense primarily associated with our cash-settled stock awards, the values of which are remeasured at each reporting period. Additionally, general and administrative expense increased due to a $1.3 million increase in director and officer insurance and approximately $1.1 million in transaction costs associated with the Cardinal Acquisition.</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The increase in interest expense for the three months ended June 30, 2026 compared to the three months ended June 30, 2025 was primarily due to a $164.5 million increase in average debt outstanding under the Credit Agreement, a $198.0 million increase in average debt outstanding under the San Mateo Credit Facility, and a $250.0 million increase in the weighted average of senior notes outstanding between the periods, partially offset by lower interest rates.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Income tax provision. </w:t>
      </w:r>
      <w:r>
        <w:rPr>
          <w:rFonts w:ascii="Times New Roman;serif" w:hAnsi="Times New Roman;serif"/>
          <w:b w:val="false"/>
          <w:color w:val="000000"/>
          <w:sz w:val="20"/>
        </w:rPr>
        <w:t xml:space="preserve">The decrease in the current income tax provision and the increase in the deferred income tax provision were primarily due to the OBBBA. See Note 8, </w:t>
      </w:r>
      <w:r>
        <w:rPr>
          <w:rFonts w:ascii="Times New Roman;serif" w:hAnsi="Times New Roman;serif"/>
          <w:b w:val="false"/>
          <w:i/>
          <w:color w:val="000000"/>
          <w:sz w:val="20"/>
        </w:rPr>
        <w:t>Income Taxes</w:t>
      </w:r>
      <w:r>
        <w:rPr>
          <w:rFonts w:ascii="Times New Roman;serif" w:hAnsi="Times New Roman;serif"/>
          <w:b w:val="false"/>
          <w:color w:val="000000"/>
          <w:sz w:val="20"/>
        </w:rPr>
        <w:t>, of our Annual Report for further details of the provisions of the OBBBA that most significantly affect our income taxes. Additionally, the increase in the total income tax provision resulted from higher income before income taxes. Our effective income tax rate was 21% for the three months ended June 30, 2026. Our effective tax rate was 27% for the three months ended June 30, 2025, which differed from the U.S. federal statutory rate primarily due to state taxes in New Mexico.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revenues and production data for the periods indicated:</w:t>
      </w:r>
    </w:p>
    <w:tbl>
      <w:tblPr>
        <w:tblW w:w="10138" w:type="dxa"/>
        <w:jc w:val="left"/>
        <w:tblInd w:w="0" w:type="dxa"/>
        <w:tblLayout w:type="fixed"/>
        <w:tblCellMar>
          <w:top w:w="28" w:type="dxa"/>
          <w:left w:w="28" w:type="dxa"/>
          <w:bottom w:w="28" w:type="dxa"/>
          <w:right w:w="28" w:type="dxa"/>
        </w:tblCellMar>
      </w:tblPr>
      <w:tblGrid>
        <w:gridCol w:w="1518"/>
        <w:gridCol w:w="1331"/>
        <w:gridCol w:w="1336"/>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343"/>
        <w:gridCol w:w="347"/>
        <w:gridCol w:w="544"/>
      </w:tblGrid>
      <w:tr>
        <w:trP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Data</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Revenues (in thousands)</w:t>
            </w:r>
            <w:r>
              <w:rPr>
                <w:rFonts w:ascii="Times New Roman;serif" w:hAnsi="Times New Roman;serif"/>
                <w:b/>
                <w:color w:val="000000"/>
                <w:sz w:val="13"/>
              </w:rPr>
              <w:t>(1)</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natural gas revenues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1,906,315 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Production Volumes</w:t>
            </w:r>
            <w:r>
              <w:rPr>
                <w:rFonts w:ascii="Times New Roman;serif" w:hAnsi="Times New Roman;serif"/>
                <w:b/>
                <w:color w:val="000000"/>
                <w:sz w:val="13"/>
              </w:rPr>
              <w:t>(1)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(MBbl)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(Bcf)</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erif" w:hAnsi="Times New Roman;serif"/>
                <w:b w:val="false"/>
                <w:color w:val="000000"/>
                <w:sz w:val="20"/>
              </w:rPr>
              <w:t>Total oil equivalent (MBOE)</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erif" w:hAnsi="Times New Roman;serif"/>
                <w:b w:val="false"/>
                <w:color w:val="000000"/>
                <w:sz w:val="20"/>
              </w:rPr>
              <w:t>Average daily production (BOE/d)</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Sales Prices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without realized derivatives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with realized derivatives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without realized derivatives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with realized derivatives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(2)Estimated using a conversion ratio of one Bbl of oil per six Mcf of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Six Months Ended June 30, 2026 as Compared to Six Months Ended June 30, 2025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Oil and natural gas revenues. </w:t>
      </w:r>
      <w:r>
        <w:rPr>
          <w:rFonts w:ascii="Times New Roman;serif" w:hAnsi="Times New Roman;serif"/>
          <w:b w:val="false"/>
          <w:color w:val="000000"/>
          <w:sz w:val="20"/>
        </w:rPr>
        <w:t>The increase in oil revenues resulted from the 26% increase in the weighted average oil price realized and the 4% increase in our oil production. The decrease in natural gas revenues primarily resulted from the 103% decrease in the weighted average natural gas price realized and the 4% increase in our natural gas production. For further discussion of factors impacting commodity prices, see “—General Outlook and Trends.”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Third-party midstream services revenues. </w:t>
      </w:r>
      <w:r>
        <w:rPr>
          <w:rFonts w:ascii="Times New Roman;serif" w:hAnsi="Times New Roman;serif"/>
          <w:b w:val="false"/>
          <w:color w:val="000000"/>
          <w:sz w:val="20"/>
        </w:rPr>
        <w:t>Third-party midstream services revenues are those revenues from midstream operations related to third parties, including working interest owners in our operated wells. The increase in third-party midstream services revenues was primarily attributable to a $12.0 million increase in our third-party natural gas gathering and processing revenues, which was partially offset by a $1.3 million decrease in our third-party water disposal revenues.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Sales of purchased natural gas.</w:t>
      </w:r>
      <w:r>
        <w:rPr>
          <w:color w:val="000000"/>
        </w:rPr>
        <w:t xml:space="preserve"> </w:t>
      </w:r>
      <w:r>
        <w:rPr>
          <w:rFonts w:ascii="Times New Roman;serif" w:hAnsi="Times New Roman;serif"/>
          <w:b w:val="false"/>
          <w:color w:val="000000"/>
          <w:sz w:val="20"/>
        </w:rPr>
        <w:t>The decrease in sales of purchased natural gas was primarily the result of a 37% decrease in natural gas price realized, which was partially offset by a 48% increase in natural gas volumes sold.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interim unaudited condensed consolidated statements of operations.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Realized loss on derivatives.</w:t>
      </w:r>
      <w:r>
        <w:rPr>
          <w:color w:val="000000"/>
        </w:rPr>
        <w:t xml:space="preserve"> </w:t>
      </w:r>
      <w:r>
        <w:rPr>
          <w:rFonts w:ascii="Times New Roman;serif" w:hAnsi="Times New Roman;serif"/>
          <w:b w:val="false"/>
          <w:color w:val="000000"/>
          <w:sz w:val="20"/>
        </w:rPr>
        <w:t xml:space="preserve">Our realized loss on derivatives was $87.0 million for the six months ended June 30, 2026, as compared to a realized gain of $9.7 million for the six months ended June 30, 2025. For the six months ended June 30, 2026, we recorded a net loss of $223.6 million related to our oil costless collars, resulting primarily from oil prices that were above the ceiling of certain of our oil costless collar contracts and the deferred call premiums on certain of our purchased oil call contracts. This loss was partially offset by a net gain of $136.7 million related to our natural gas costless collar and swap contracts, resulting primarily from natural gas prices that were below the floor of our natural gas costless collar contracts, natural gas prices that were below the fixed prices of certain of our natural gas swap contracts and natural gas basis differentials that were below the fixed prices of certain of our natural gas basis differential swap contracts. For the six months ended June 30, 2025, we recorded a net gain of $9.7 million related to our natural gas basis differential swap contracts, resulting primarily from natural gas basis differentials that were below the fixed prices of certain of our natural gas basis differential swap contracts. We realized an average loss on our oil derivatives of approximately $10.03 per Bbl produced during the three months ended June 30, 2026, as compared to no realized gains or losses from oil derivatives during the six months ended June 30, 2025. We realized an average gain on our natural gas derivatives of approximately $1.42 per Mcf produced during the six months ended June 30, 2026, as compared to an average gain of approximately $0.10 per Mcf produced during the six months ended June 30, 2025. See Note 8,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for further details on our derivatives.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Unrealized loss on derivatives.</w:t>
      </w:r>
      <w:r>
        <w:rPr>
          <w:color w:val="000000"/>
        </w:rPr>
        <w:t xml:space="preserve"> </w:t>
      </w:r>
      <w:r>
        <w:rPr>
          <w:rFonts w:ascii="Times New Roman;serif" w:hAnsi="Times New Roman;serif"/>
          <w:b w:val="false"/>
          <w:color w:val="000000"/>
          <w:sz w:val="20"/>
        </w:rPr>
        <w:t xml:space="preserve">During the six months ended June 30, 2026, the aggregate net fair value of our open oil and natural gas costless collar, oil price call, natural gas swap and natural gas basis differential swap contracts changed to a net liability of $136.0 million from a net asset of $34.1 million at December 31, 2025, resulting in an unrealized loss on derivatives of $170.0 million for the six months ended June 30, 2026. During the six months ended June 30, 2025, the aggregate net fair value of our open oil and natural gas costless collar and natural gas basis differential swap contracts changed to a net liability of $16.3 million from a net asset of $16.0 million at December 31, 2024, resulting in an unrealized loss on derivatives of $32.2 million for the six months ended June 30, 2025. See Note 8,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for further details on our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operating expenses and other income (expense) for the periods indicated:</w:t>
      </w:r>
    </w:p>
    <w:tbl>
      <w:tblPr>
        <w:tblW w:w="10205" w:type="dxa"/>
        <w:jc w:val="left"/>
        <w:tblInd w:w="0" w:type="dxa"/>
        <w:tblLayout w:type="fixed"/>
        <w:tblCellMar>
          <w:top w:w="28" w:type="dxa"/>
          <w:left w:w="28" w:type="dxa"/>
          <w:bottom w:w="28" w:type="dxa"/>
          <w:right w:w="28" w:type="dxa"/>
        </w:tblCellMar>
      </w:tblPr>
      <w:tblGrid>
        <w:gridCol w:w="1801"/>
        <w:gridCol w:w="1477"/>
        <w:gridCol w:w="1480"/>
        <w:gridCol w:w="211"/>
        <w:gridCol w:w="826"/>
        <w:gridCol w:w="109"/>
        <w:gridCol w:w="109"/>
        <w:gridCol w:w="109"/>
        <w:gridCol w:w="109"/>
        <w:gridCol w:w="211"/>
        <w:gridCol w:w="826"/>
        <w:gridCol w:w="109"/>
        <w:gridCol w:w="109"/>
        <w:gridCol w:w="109"/>
        <w:gridCol w:w="109"/>
        <w:gridCol w:w="211"/>
        <w:gridCol w:w="782"/>
        <w:gridCol w:w="109"/>
        <w:gridCol w:w="109"/>
        <w:gridCol w:w="109"/>
        <w:gridCol w:w="109"/>
        <w:gridCol w:w="282"/>
        <w:gridCol w:w="243"/>
        <w:gridCol w:w="547"/>
      </w:tblGrid>
      <w:tr>
        <w:trPr/>
        <w:tc>
          <w:tcPr>
            <w:tcW w:w="180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expenses per BOE)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operating</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and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 per BOE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and processing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20" w:after="140"/>
        <w:jc w:val="left"/>
        <w:rPr/>
      </w:pPr>
      <w:r>
        <w:rPr>
          <w:rFonts w:ascii="Times New Roman;serif" w:hAnsi="Times New Roman;serif"/>
          <w:b w:val="false"/>
          <w:i/>
          <w:color w:val="000000"/>
          <w:sz w:val="20"/>
        </w:rPr>
        <w:t xml:space="preserve">Six Months Ended June 30, 2026 as Compared to </w:t>
      </w:r>
      <w:r>
        <w:rPr>
          <w:rFonts w:ascii="Times New Roman;serif" w:hAnsi="Times New Roman;serif"/>
          <w:b w:val="false"/>
          <w:color w:val="000000"/>
          <w:sz w:val="20"/>
        </w:rPr>
        <w:t>Six Months Ended June 30, 2025</w:t>
      </w:r>
      <w:r>
        <w:rPr>
          <w:color w:val="000000"/>
        </w:rPr>
        <w:t xml:space="preserve">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Lease operating.</w:t>
      </w:r>
      <w:r>
        <w:rPr>
          <w:color w:val="000000"/>
        </w:rPr>
        <w:t xml:space="preserve"> </w:t>
      </w:r>
      <w:r>
        <w:rPr>
          <w:rFonts w:ascii="Times New Roman;serif" w:hAnsi="Times New Roman;serif"/>
          <w:b w:val="false"/>
          <w:color w:val="000000"/>
          <w:sz w:val="20"/>
        </w:rPr>
        <w:t>The increase in lease operating expense was primarily attributable to the increased number of wells being operated by us and other operators (where we own a working interest).</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Transportation and processing.</w:t>
      </w:r>
      <w:r>
        <w:rPr>
          <w:color w:val="000000"/>
        </w:rPr>
        <w:t xml:space="preserve"> </w:t>
      </w:r>
      <w:r>
        <w:rPr>
          <w:rFonts w:ascii="Times New Roman;serif" w:hAnsi="Times New Roman;serif"/>
          <w:b w:val="false"/>
          <w:color w:val="000000"/>
          <w:sz w:val="20"/>
        </w:rPr>
        <w:t xml:space="preserve">The decrease in transportation and processing expenses is primarily due to additional allowable deductions identified in the state of New Mexico and a change in the mix of revenue contracts between the periods.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Midstream operating. </w:t>
      </w:r>
      <w:r>
        <w:rPr>
          <w:rFonts w:ascii="Times New Roman;serif" w:hAnsi="Times New Roman;serif"/>
          <w:b w:val="false"/>
          <w:color w:val="000000"/>
          <w:sz w:val="20"/>
        </w:rPr>
        <w:t>The increase in midstream operating expense was primarily attributable to an $11.2 million increase in plant processing expenses as a result of increased gas gathering and processing volumes and a $9.5 million increase in pipeline operation expenses as a result of increased inlet connections.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Purchased natural gas.</w:t>
      </w:r>
      <w:r>
        <w:rPr>
          <w:color w:val="000000"/>
        </w:rPr>
        <w:t xml:space="preserve"> </w:t>
      </w:r>
      <w:r>
        <w:rPr>
          <w:rFonts w:ascii="Times New Roman;serif" w:hAnsi="Times New Roman;serif"/>
          <w:b w:val="false"/>
          <w:color w:val="000000"/>
          <w:sz w:val="20"/>
        </w:rPr>
        <w:t>The decrease in purchased natural gas expense was primarily due to a decline of approximately 520% in average Waha pricing, partially offset by a 30% increase in volumes purchased due to the weaker market pricing.</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Depletion, depreciation and amortization. </w:t>
      </w:r>
      <w:r>
        <w:rPr>
          <w:rFonts w:ascii="Times New Roman;serif" w:hAnsi="Times New Roman;serif"/>
          <w:b w:val="false"/>
          <w:color w:val="000000"/>
          <w:sz w:val="20"/>
        </w:rPr>
        <w:t>The increase in depletion, depreciation and amortization was primarily a result of the 4% increase in our total oil equivalent production and the addition of $282.2 million of proved reserves to the full cost pool as a result of the BLM Acquisition.</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Taxes other than income.</w:t>
      </w:r>
      <w:r>
        <w:rPr>
          <w:color w:val="000000"/>
        </w:rPr>
        <w:t xml:space="preserve"> </w:t>
      </w:r>
      <w:r>
        <w:rPr>
          <w:rFonts w:ascii="Times New Roman;serif" w:hAnsi="Times New Roman;serif"/>
          <w:b w:val="false"/>
          <w:color w:val="000000"/>
          <w:sz w:val="20"/>
        </w:rPr>
        <w:t>The increase in taxes other than income was primarily due to the increase in oil revenues, partially offset by the decrease in natural gas revenues.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The increase in general and administrative expense was largely attributable to a $14.2 million increase in employee compensation costs, as a result of increased headcount and an $8.2 million increase in stock-based compensation expense primarily associated with our cash-settled stock awards, the values of which are remeasured at each reporting period. Additionally, the increase in general and administrative expense was due to a $1.3 million increase in director and officer insurance and approximately $1.1 million in transaction costs associated with the Cardinal Acquisition. These increases were partially offset by a $4.5 million increase in capitalized general and administrative expenses.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The increase in interest expense for the six months ended June 30, 2026 compared to the six months ended June 30, 2025 was primarily due to a $175.8 million increase in average debt outstanding under the Credit Agreement, a $200.5 million increase in average debt outstanding under the San Mateo Credit Facility, and a $158.9 million increase in the weighted average of senior notes outstanding between the periods, partially offset by lower interest rates.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Loss on debt extinguishment. </w:t>
      </w:r>
      <w:r>
        <w:rPr>
          <w:rFonts w:ascii="Times New Roman;serif" w:hAnsi="Times New Roman;serif"/>
          <w:b w:val="false"/>
          <w:color w:val="000000"/>
          <w:sz w:val="20"/>
        </w:rPr>
        <w:t>In connection with the 2028 Notes Tender Offer and 2028 Notes Redemption, both of which as defined in “—Liquidity and Capital Resources” below, we incurred a loss on debt extinguishment of $15.6 million, including a $9.7 million cash prepayment premium and a $5.9 million write-off of remaining unamortized deferred issuance costs and discounts.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Income tax provision. </w:t>
      </w:r>
      <w:r>
        <w:rPr>
          <w:rFonts w:ascii="Times New Roman;serif" w:hAnsi="Times New Roman;serif"/>
          <w:b w:val="false"/>
          <w:color w:val="000000"/>
          <w:sz w:val="20"/>
        </w:rPr>
        <w:t xml:space="preserve">The decrease in the current income tax provision and the increase in the deferred income tax provisions were primarily due to the OBBBA. See Note 8, </w:t>
      </w:r>
      <w:r>
        <w:rPr>
          <w:rFonts w:ascii="Times New Roman;serif" w:hAnsi="Times New Roman;serif"/>
          <w:b w:val="false"/>
          <w:i/>
          <w:color w:val="000000"/>
          <w:sz w:val="20"/>
        </w:rPr>
        <w:t>Income Taxes</w:t>
      </w:r>
      <w:r>
        <w:rPr>
          <w:rFonts w:ascii="Times New Roman;serif" w:hAnsi="Times New Roman;serif"/>
          <w:b w:val="false"/>
          <w:color w:val="000000"/>
          <w:sz w:val="20"/>
        </w:rPr>
        <w:t>, of our Annual Report for further details of the provisions of the OBBBA that most significantly affect our income taxes. Additionally, the decrease in the total income tax provision resulted from lower income before income taxes. Our effective income tax rate of 23% for the six months ended June 30, 2026 differed from the U.S. federal statutory rate primarily due to state taxes in New Mexico, partially offset by the impact of permanent differences between book and tax income recognized discretely in the current period. Our effective tax rate of 26% for the six months ended June 30, 2025 differed from the U.S. federal statutory rate primarily due to state taxes in New Mexico.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primary use of capital has been, and we expect will continue to be during the remainder of 2026 and for the foreseeable future, for the acquisition, exploration and development of oil and natural gas properties and for midstream investments. We expect to fund our 2026 capital expenditures through a combination of cash on hand, operating cash flows and performance incentives paid to us by Five Point or its affiliates. If capital expenditures were to exceed these sources of cash during the remainder of 2026, we expect to fund any such excess capital expenditures, including for significant acquisitions, through borrowings under our secured revolving credit facility (the “Credit Agreement”) or San Mateo’s secured revolving credit facility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The table below reflects our sources and availability of liquidity at June 30, 2026. See Note 5, </w:t>
      </w:r>
      <w:r>
        <w:rPr>
          <w:rFonts w:ascii="Times New Roman;serif" w:hAnsi="Times New Roman;serif"/>
          <w:b w:val="false"/>
          <w:i/>
          <w:color w:val="000000"/>
          <w:sz w:val="20"/>
        </w:rPr>
        <w:t>Debt</w:t>
      </w:r>
      <w:r>
        <w:rPr>
          <w:rFonts w:ascii="Times New Roman;serif" w:hAnsi="Times New Roman;serif"/>
          <w:b w:val="false"/>
          <w:color w:val="000000"/>
          <w:sz w:val="20"/>
        </w:rPr>
        <w:t>, for further details.</w:t>
      </w:r>
    </w:p>
    <w:tbl>
      <w:tblPr>
        <w:tblW w:w="7623" w:type="dxa"/>
        <w:jc w:val="left"/>
        <w:tblInd w:w="0" w:type="dxa"/>
        <w:tblLayout w:type="fixed"/>
        <w:tblCellMar>
          <w:top w:w="28" w:type="dxa"/>
          <w:left w:w="28" w:type="dxa"/>
          <w:bottom w:w="28" w:type="dxa"/>
          <w:right w:w="28" w:type="dxa"/>
        </w:tblCellMar>
      </w:tblPr>
      <w:tblGrid>
        <w:gridCol w:w="1502"/>
        <w:gridCol w:w="1324"/>
        <w:gridCol w:w="1329"/>
        <w:gridCol w:w="109"/>
        <w:gridCol w:w="109"/>
        <w:gridCol w:w="109"/>
        <w:gridCol w:w="211"/>
        <w:gridCol w:w="826"/>
        <w:gridCol w:w="109"/>
        <w:gridCol w:w="109"/>
        <w:gridCol w:w="109"/>
        <w:gridCol w:w="109"/>
        <w:gridCol w:w="211"/>
        <w:gridCol w:w="976"/>
        <w:gridCol w:w="109"/>
        <w:gridCol w:w="109"/>
        <w:gridCol w:w="109"/>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Availability</w:t>
            </w:r>
          </w:p>
        </w:tc>
      </w:tr>
      <w:tr>
        <w:trPr/>
        <w:tc>
          <w:tcPr>
            <w:tcW w:w="4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Mateo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6.500% senior notes due 2032 (the “2032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2033 (the “2033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6.000% senior notes due 2034 (the “2034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(1)Reduced by approximately $53.8 million in outstanding letters of credit issued pursuant to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(2)Reduced by approximately $15.4 million in outstanding letters of credit issued pursuant to the San Mateo Credit Facility.</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(3)We believe we have access to additional financing and refinancing, if needed, although we can make no assurances as to the form or terms of such financing.</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March 2026, we completed the repurchase of an aggregate principal amount of $419.8 million of the $500.0 million of outstanding senior notes due 2028 (the “2028 Notes”) as part of our cash tender offer announced on February 26, 2026 (the “2028 Notes Tender Offer”). Additionally, in March 2026, we irrevocably deposited funds with the trustee to redeem the remaining aggregate principal amount of $80.2 million of 2028 Notes outstanding on April 15, 2026 (the “2028 Notes Redemption”), and as a result of such deposit, to satisfy and discharge our obligations under the indenture governing the 2028 Notes.</w:t>
      </w:r>
    </w:p>
    <w:p>
      <w:pPr>
        <w:pStyle w:val="TextBody"/>
        <w:bidi w:val="0"/>
        <w:spacing w:lineRule="auto" w:line="285"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Additionally, in March 2026, we completed the sale of $750.0 million in aggregate principal amount of our 6.00% senior notes due 2034 (the “2034 Notes”). We used the net proceeds from the sale of the 2034 Notes (the “2034 Notes Offering”) of $737.9 million, after deducting initial purchasers’ discounts and estimated offering expenses, to fund the 2028 Notes Tender Offer and 2028 Notes Redemption and for general corporate purposes.</w:t>
      </w:r>
    </w:p>
    <w:p>
      <w:pPr>
        <w:pStyle w:val="TextBody"/>
        <w:bidi w:val="0"/>
        <w:spacing w:lineRule="auto" w:line="285"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2026, in connection with the regularly scheduled May 1 redetermination, the borrowing base of the Credit Agreement was reaffirmed at $3.25 billion. Additionally, we elected to, and the lenders agreed to, increase the borrowing commitments from $2.25 billion to $2.75 billion.</w:t>
      </w:r>
    </w:p>
    <w:p>
      <w:pPr>
        <w:pStyle w:val="TextBody"/>
        <w:bidi w:val="0"/>
        <w:spacing w:lineRule="auto" w:line="285" w:before="120" w:after="100"/>
        <w:ind w:left="0" w:right="0" w:firstLine="495"/>
        <w:jc w:val="left"/>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Debt</w:t>
      </w:r>
      <w:r>
        <w:rPr>
          <w:rFonts w:ascii="Times New Roman;serif" w:hAnsi="Times New Roman;serif"/>
          <w:b w:val="false"/>
          <w:color w:val="000000"/>
          <w:sz w:val="20"/>
        </w:rPr>
        <w:t>, for further details of these debt transactions.</w:t>
      </w:r>
    </w:p>
    <w:p>
      <w:pPr>
        <w:pStyle w:val="TextBody"/>
        <w:bidi w:val="0"/>
        <w:spacing w:lineRule="auto" w:line="285"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further described in the Annual Report, we maintain a share repurchase program (the “Share Repurchase Program”) authorizing the repurchase of up to $400.0 million of common stock. During the three and six months ended June 30, 2026, we repurchased 225,000 and 242,702 shares of common stock, respectively, under the Share Repurchase Program at a weighted average price of $49.59 and $48.88 per common share, respectively, for a total cost of $11.2 million and $11.9 million, respectively.</w:t>
      </w:r>
    </w:p>
    <w:p>
      <w:pPr>
        <w:pStyle w:val="TextBody"/>
        <w:bidi w:val="0"/>
        <w:spacing w:lineRule="auto" w:line="285"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Matador’s Board of Directors (the “Board”) declared and paid quarterly cash dividends of $0.375 per share of common stock in each of the first and second quarters of 2026. On July 22, 2026, the Board declared a quarterly cash dividend of $0.375 per share of common stock payable on September 8, 2026 to shareholders of record as of August 10, 2026.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BLM Acquisition was funded through cash on hand and borrowings under our existing reserves-based Credit Agreement. The Paloma Acquisition and the Ridge Runner Acquisition are expected to be funded through cash on hand and borrowings under our existing reserves-based Credit Agreement, for which the elected commitment level was increased to $2.75 billion as discussed above.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Cardinal Acquisition, on July 31, 2026, San Mateo entered into a $650.0 million term loan due July 30, 2027 under the San Mateo Credit Facility. The purchase price was additionally funded through capital contributions by Matador and Five Point to San Mateo of $51.0 million and $49.0 million, respectively, and cash on hand.</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June 30, 2026, our borrowings increased $243.0 million under the Credit Agreement, and at August 5, 2026, we had $1.18 billion in borrowings outstanding. Since June 30, 2026, San Mateo’s borrowings increased $25.0 million under the San Mateo Credit Facility, and at August 5, 2026, San Mateo had $936.0 million in borrowings outstanding.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expect that development of our Delaware Basin assets will be the primary focus of our operations and capital expenditures for the remainder of 2026. We have built significant optionality into our drilling program, which should generally allow us to decrease or increase the number of rigs we operate as necessary based on changing commodity prices and other factors. On August 5, 2026, we increased our estimated drilling, completing and equipping (“D/C/E”) capital expenditures for 2026 to a range of $1.48 to $1.56 billion from a range of $1.35 to $1.44 billion, which includes our expected D/C/E capital expenditures on acreage acquired in the BLM Acquisition and expected to be acquired in the Paloma Acquisition and the Ridge Runner Acquisition. On August 5, 2026, we also adjusted our estimated midstream capital expenditures for 2026 to a range of $145.0 to $165.0 million from a range of $100.0 to $110.0 million, which includes our proportionate share of San Mateo’s estimated 2026 capital expenditures as well as the estimated 2026 capital expenditures for other wholly-owned midstream projects. Substantially all of these 2026 estimated capital expenditures are expected to be allocated to (i) the further delineation and development of our leasehold position, (ii) the construction, installation and maintenance of midstream assets and (iii) our participation in certain non-operated well opportunities. Our Delaware Basin operated drilling program for the remainder of 2026 is expected to focus on the continued development of our various asset areas throughout the Delaware Basin, with a continued emphasis on drilling and completing a high percentage of longer horizontal wells.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intend to continue evaluating the opportunistic acquisition of producing properties, acreage and mineral interests and midstream assets, principally in the Delaware Basin. Purchase price multiples and per-acre prices can vary significantly based on the asset or prospect. As a result, it is difficult to estimate these capital expenditures with any degree of certainty; therefore, we have not provided estimated capital expenditures related to acquiring producing properties, acreage and mineral interests and midstream assets for 2026.</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have done in recent years, we may divest portions of our non-core assets as well as consider monetizing other assets, such as certain midstream assets and mineral and royalty interests, as value-creating opportunities arise. Divestitures and other types of monetizations are difficult to estimate with any degree of certainty. Therefore, we have not provided estimated proceeds related to divestitures or monetizations for 2026.</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2026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Exploration and development activities are subject to a number of risks and uncertainties, which could cause these activities to be less successful than we anticipate. A significant portion of our anticipated cash flows from operations for the remainder of 2026 is expected to come from producing wells and development activities on currently proved properties in the Delaware Basin.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2026 and the hedges we currently have in place. For further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8,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in this Quarterly Report for a summary of our open derivative financial instruments.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unaudited cash flows for the six months ended June 30, 2026 and 2025 are presented below:</w:t>
      </w:r>
    </w:p>
    <w:tbl>
      <w:tblPr>
        <w:tblW w:w="10205" w:type="dxa"/>
        <w:jc w:val="left"/>
        <w:tblInd w:w="0" w:type="dxa"/>
        <w:tblLayout w:type="fixed"/>
        <w:tblCellMar>
          <w:top w:w="28" w:type="dxa"/>
          <w:left w:w="28" w:type="dxa"/>
          <w:bottom w:w="28" w:type="dxa"/>
          <w:right w:w="28" w:type="dxa"/>
        </w:tblCellMar>
      </w:tblPr>
      <w:tblGrid>
        <w:gridCol w:w="1683"/>
        <w:gridCol w:w="1364"/>
        <w:gridCol w:w="1369"/>
        <w:gridCol w:w="211"/>
        <w:gridCol w:w="976"/>
        <w:gridCol w:w="109"/>
        <w:gridCol w:w="109"/>
        <w:gridCol w:w="109"/>
        <w:gridCol w:w="109"/>
        <w:gridCol w:w="211"/>
        <w:gridCol w:w="976"/>
        <w:gridCol w:w="109"/>
        <w:gridCol w:w="109"/>
        <w:gridCol w:w="109"/>
        <w:gridCol w:w="109"/>
        <w:gridCol w:w="212"/>
        <w:gridCol w:w="832"/>
        <w:gridCol w:w="109"/>
        <w:gridCol w:w="109"/>
        <w:gridCol w:w="109"/>
        <w:gridCol w:w="109"/>
        <w:gridCol w:w="257"/>
        <w:gridCol w:w="259"/>
        <w:gridCol w:w="547"/>
      </w:tblGrid>
      <w:tr>
        <w:trPr/>
        <w:tc>
          <w:tcPr>
            <w:tcW w:w="168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(2,057,908)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(1,051,234)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restricted cash</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color w:val="000000"/>
              </w:rPr>
              <w:t xml:space="preserve"> </w:t>
            </w:r>
            <w:r>
              <w:rPr>
                <w:rFonts w:ascii="Times New Roman;serif" w:hAnsi="Times New Roman;serif"/>
                <w:b w:val="false"/>
                <w:color w:val="000000"/>
                <w:sz w:val="20"/>
              </w:rPr>
              <w:t>attributable to Matador Resources Company shareholders</w:t>
            </w:r>
            <w:r>
              <w:rPr>
                <w:rFonts w:ascii="Times New Roman;serif" w:hAnsi="Times New Roman;serif"/>
                <w:b w:val="false"/>
                <w:color w:val="000000"/>
                <w:sz w:val="13"/>
              </w:rPr>
              <w:t xml:space="preserve">(1)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1,358,179 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1,238,468 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(1)Adjusted EBITDA is a non-GAAP financial measure. For a definition of Adjusted EBITDA and a reconciliation of Adjusted EBITDA to our net income and net cash provided by operating activities, see “—Non-GAAP Financial Measures” below.</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Excluding changes in operating assets and liabilities, net cash provided by operating activities increased $151.8 million to $1.33 billion for the six months ended June 30, 2026 from $1.18 billion for the six months ended June 30, 2025. This increase was primarily attributable to higher realized oil prices and increased oil production for the six months ended June 30, 2026, as compared to the six months ended June 30, 2025, partially offset by lower realized natural gas prices and higher natural gas production. Changes in our operating assets and liabilities between the periods resulted in a $27.0 million increase in net cash provided by operating activities for the six months ended June 30, 2026, as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increase in net cash used in investing activities between the periods was primarily due to (i) a $1.10 billion increase in expenditures related to the acquisition of oil and natural gas properties, primarily the BLM Acquisition, (ii) a $37.6 million cash deposit related to the Cardinal Acquisition and (iii) a $21.4 million decrease in cash provided by proceeds from the sale of assets, partially offset by a $121.1 million decrease in midstream capital expenditures.</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Financing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decrease in net cash used in financing activities between the periods was primarily due to (i) a $746.5 million increase in net borrowings under the Credit Agreement, (ii) $737.1 million of net proceeds received from the 2034 Notes Offering during the period, (iii) a $32.1 million decrease in repurchases of common stock, (iv) $23.7 million of net proceeds from a sale-leaseback financing obligation and (v) a $5.9 million increase in performance incentives received from Five Point, partially offset by (i) $509.7 million used to repurchase the principal amount of the 2028 Notes, (ii) a $135.0 million decrease in net borrowings under the San Mateo Credit Agreement and (iii) a $15.1 million increase in dividends paid.</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Debt</w:t>
      </w:r>
      <w:r>
        <w:rPr>
          <w:rFonts w:ascii="Times New Roman;serif" w:hAnsi="Times New Roman;serif"/>
          <w:b w:val="false"/>
          <w:color w:val="000000"/>
          <w:sz w:val="20"/>
        </w:rPr>
        <w:t>, in this Quarterly Report for a summary of our debt, including the Credit Agreement, the San Mateo Credit Facility, the 2032 Notes, the 2033 Notes and the 2034 Notes.</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Non-GAAP Financial Measures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earnings before interest expense, income taxes, depletion, depreciation and amortization, accretion of asset retirement obligations, unrealized derivative gains and losses, non-recurring transaction costs for certain acquisitions, non-cash stock-based compensation expense, loss on debt extinguishment, net gain or loss on asset sales and impairments and certain other non-cash items.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should not be considered an alternative to, or more meaningful than, net income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calculation of Adjusted EBITDA and the reconciliation of Adjusted EBITDA to the GAAP financial measures of net income and net cash provided by operating activities, respectively. </w:t>
      </w:r>
    </w:p>
    <w:tbl>
      <w:tblPr>
        <w:tblW w:w="10205" w:type="dxa"/>
        <w:jc w:val="left"/>
        <w:tblInd w:w="0" w:type="dxa"/>
        <w:tblLayout w:type="fixed"/>
        <w:tblCellMar>
          <w:top w:w="28" w:type="dxa"/>
          <w:left w:w="28" w:type="dxa"/>
          <w:bottom w:w="28" w:type="dxa"/>
          <w:right w:w="28" w:type="dxa"/>
        </w:tblCellMar>
      </w:tblPr>
      <w:tblGrid>
        <w:gridCol w:w="1567"/>
        <w:gridCol w:w="1358"/>
        <w:gridCol w:w="136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Adjusted EBITDA Reconciliation to Net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444,606 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1,429,823 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1,309,926 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1,238,468 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72"/>
        <w:gridCol w:w="1356"/>
        <w:gridCol w:w="136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7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Adjusted EBITDA Reconciliation to Net Cash Provided by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non-cash portion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and non-recurring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1,238,468 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shareholders increased $240.4 million for the three months ended June 30, 2026, as compared to the three months ended June 30, 2025. The increase in net income attributable to Matador shareholders primarily resulted from (i) higher realized oil prices, (ii) increased oil production, (iii) a $48.2 million increase in net sales of purchased natural gas and (iv) a $43.3 million decrease in net loss on realized and unrealized derivatives. These increases were partially offset by (i) a $50.4 million increase in the income tax provision, (ii) a $34.8 million increase in taxes other than income, (iii) a $16.1 million increase in midstream operating expenses, (iv) a $12.5 million increase in depletion, depreciation and amortization and (v) a $9.1 million increase in general and administrative expenses. See “—Results of Operations” for the three months ended June 30, 2026 as compared to the three months ended June 30, 2025 above for further discussion and analysis of these individual changes within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shareholders decreased $35.5 million for the six months ended June 30, 2026, as compared to the six months ended June 30, 2025. The decrease in net income attributable to Matador shareholders primarily resulted from (i) a $234.4 million increase in net loss on realized and unrealized derivatives, (ii) a $28.6 million increase in taxes other than income, (iii) a $23.4 million increase in depletion, depreciation and amortization, (iv) a $19.5 million increase in midstream operating expenses, (v) a $15.6 million loss on debt extinguishment and (vi) a $9.5 million increase in interest expense. These decreases were partially offset by (i) higher realized oil prices, (ii) increased oil production, (iii) a $78.0 million increase in net sales of purchased natural gas and (iv) a $33.2 million decrease in the income tax provision. See “—Results of Operations” for the six months ended June 30, 2026, as compared to the six months ended June 30, 2025, above for further discussion and analysis of these individual changes within net income.</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increased $186.8 million for the three months ended June 30, 2026 compared to the three months ended June 30, 2025. This increase was primarily attributable to (i) higher realized oil prices, (ii) increased oil production and (iii) a $48.2 million increase in net sales of purchased natural gas. These increases were partially offset by (i) lower realized natural gas prices and increased natural gas production, (ii) a $79.4 million decrease in realized gain on derivatives, (iii) a $34.8 million increase in taxes other than income, (iv) a $16.1 million increase in midstream operating expenses and (v) a $9.1 million increase in general and administrative expenses.</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increased $119.7 million for the six months ended June 30, 2026 compared to the six months ended June 30, 2025. This increase is primarily attributable to (i) higher realized oil prices, (ii) increased oil production and (iii) a $78.0 million increase in net sales of purchased natural gas. These increases were partially offset by (i) lower realized natural gas prices and increased natural gas production, (ii) a $96.6 million decrease in realized gain on derivatives, (iii) a $28.6 million increase in taxes other than income, (iv) a $19.5 million increase in midstream operating expenses and (v) a $14.4 million increase in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From time to time, we enter into off-balance sheet arrangements and transactions that can give rise to material off-balance sheet obligations. As of June 30, 2026,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10,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 this Quarterly Report for more information regarding our off-balance sheet arrangements.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Obligations and Commitments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had the following material contractual obligations and commitments at June 30, 2026: </w:t>
      </w:r>
    </w:p>
    <w:tbl>
      <w:tblPr>
        <w:tblW w:w="10205" w:type="dxa"/>
        <w:jc w:val="left"/>
        <w:tblInd w:w="0" w:type="dxa"/>
        <w:tblLayout w:type="fixed"/>
        <w:tblCellMar>
          <w:top w:w="28" w:type="dxa"/>
          <w:left w:w="28" w:type="dxa"/>
          <w:bottom w:w="28" w:type="dxa"/>
          <w:right w:w="28" w:type="dxa"/>
        </w:tblCellMar>
      </w:tblPr>
      <w:tblGrid>
        <w:gridCol w:w="1028"/>
        <w:gridCol w:w="750"/>
        <w:gridCol w:w="742"/>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02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w:t>
              <w:br/>
              <w:t>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w:t>
              <w:br/>
              <w:t>Than</w:t>
              <w:br/>
              <w:t>5 Years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Borrowings, including letters of credit</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unsecured notes</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Non-operated drilling commitments</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Drilling rig contracts</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retirement obligations</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Transportation, gathering, processing and disposal agreements with non-affiliates</w:t>
            </w:r>
            <w:r>
              <w:rPr>
                <w:rFonts w:ascii="Times New Roman;serif" w:hAnsi="Times New Roman;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Transportation, gathering, processing and disposal agreements with San Mateo</w:t>
            </w:r>
            <w:r>
              <w:rPr>
                <w:rFonts w:ascii="Times New Roman;serif" w:hAnsi="Times New Roman;serif"/>
                <w:b w:val="false"/>
                <w:color w:val="000000"/>
                <w:sz w:val="13"/>
              </w:rPr>
              <w:t xml:space="preserve">(7)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Midstream contracts</w:t>
            </w:r>
            <w:r>
              <w:rPr>
                <w:rFonts w:ascii="Times New Roman;serif" w:hAnsi="Times New Roman;serif"/>
                <w:b w:val="false"/>
                <w:color w:val="000000"/>
                <w:sz w:val="13"/>
              </w:rPr>
              <w:t xml:space="preserve">(8)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Seismic data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cash obligations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7,771,068 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1,823,319 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3,918,861 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amounts included in the table above represent principal maturities only. At June 30, 2026, we had $939.0 million in borrowings outstanding under the Credit Agreement and approximately $53.8 million in outstanding letters of credit issued pursuant to the Credit Agreement. The outstanding borrowings under the Credit Agreement mature on March 22, 2029. At June 30, 2026, San Mateo had $911.0 million of borrowings outstanding under the San Mateo Credit Facility and approximately $15.4 million in outstanding letters of credit issued pursuant to the San Mateo Credit Facility. The outstanding borrowings under the San Mateo Credit Facility mature on November 26, 2029. Assuming the amounts outstanding and interest rates of 5.65% and 5.88%, respectively, for the Credit Agreement and the San Mateo Credit Facility at June 30, 2026, the interest expense for such facilities is expected to be approximately $53.7 million and $54.3 million, respectively, each year until maturity.</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amounts included in the table above represent principal maturities only. Interest expense on the $900.0 million of outstanding 2032 Notes as of June 30, 2026 is expected to be approximately $58.5 million each year until maturity. Interest expense on the $750.0 million of outstanding 2033 Notes as of June 30, 2026 is expected to be approximately $46.9 million each year until maturity. Interest expense on the $750.0 million of outstanding 2034 Notes as of June 30, 2026 is expected to be approximately $45.0 million each year until maturity.</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(3)At June 30, 2026, we had outstanding commitments to participate in the drilling and completion of various non-operated wells. </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(4)We do not own or operate our own drilling rigs, but instead we enter into contracts with third parties for such drilling rigs.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(5)The amounts included in the table above represent discounted cash flow estimates for future asset retirement obligations at June 30, 2026.</w:t>
      </w:r>
    </w:p>
    <w:p>
      <w:pPr>
        <w:pStyle w:val="TextBody"/>
        <w:bidi w:val="0"/>
        <w:spacing w:lineRule="auto" w:line="288" w:before="120" w:after="283"/>
        <w:ind w:left="0" w:right="0" w:hanging="360"/>
        <w:jc w:val="left"/>
        <w:rPr/>
      </w:pPr>
      <w:r>
        <w:rPr>
          <w:rFonts w:ascii="Times New Roman;serif" w:hAnsi="Times New Roman;serif"/>
          <w:b w:val="false"/>
          <w:color w:val="000000"/>
          <w:sz w:val="16"/>
        </w:rPr>
        <w:t xml:space="preserve">(6)From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including contracts related to firm transportation on Energy Transfer’s Hugh Brinson Pipeline. If we do not meet the minimum volume commitments under these agreements, we would be required to pay certain deficiency fees. See Note 10, </w:t>
      </w:r>
      <w:r>
        <w:rPr>
          <w:rFonts w:ascii="Times New Roman;serif" w:hAnsi="Times New Roman;serif"/>
          <w:b w:val="false"/>
          <w:i/>
          <w:color w:val="000000"/>
          <w:sz w:val="16"/>
        </w:rPr>
        <w:t>Commitments and Contingencies</w:t>
      </w:r>
      <w:r>
        <w:rPr>
          <w:rFonts w:ascii="Times New Roman;serif" w:hAnsi="Times New Roman;serif"/>
          <w:b w:val="false"/>
          <w:color w:val="000000"/>
          <w:sz w:val="16"/>
        </w:rPr>
        <w:t xml:space="preserve">, in this Quarterly Report for more information about these contractual commitments. </w:t>
      </w:r>
    </w:p>
    <w:p>
      <w:pPr>
        <w:pStyle w:val="TextBody"/>
        <w:bidi w:val="0"/>
        <w:spacing w:lineRule="auto" w:line="288" w:before="120" w:after="283"/>
        <w:ind w:left="0" w:right="0" w:hanging="360"/>
        <w:jc w:val="left"/>
        <w:rPr/>
      </w:pPr>
      <w:r>
        <w:rPr>
          <w:rFonts w:ascii="Times New Roman;serif" w:hAnsi="Times New Roman;serif"/>
          <w:b w:val="false"/>
          <w:color w:val="000000"/>
          <w:sz w:val="16"/>
        </w:rPr>
        <w:t>(7)We dedicated to San Mateo our current and certain future leasehold interests in the Rustler Breaks asset area and the Wolf portion of the West Texas asset area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w:t>
        <w:noBreakHyphen/>
        <w:t xml:space="preserve">year, fixed-fee natural gas processing agreements. We also dedicated to San Mateo certain of our current and future leasehold interests in the Ranger and Antelope Ridge asset areas pursuant to 15-year, fixed-fee natural gas gathering, compression, treating and processing agreements with San Mateo, whereby San Mateo will gather, compress, treat and process natural gas produced from our operated wells in northern Lea County, New Mexico. See Note 10, </w:t>
      </w:r>
      <w:r>
        <w:rPr>
          <w:rFonts w:ascii="Times New Roman;serif" w:hAnsi="Times New Roman;serif"/>
          <w:b w:val="false"/>
          <w:i/>
          <w:color w:val="000000"/>
          <w:sz w:val="16"/>
        </w:rPr>
        <w:t>Commitments and Contingencies</w:t>
      </w:r>
      <w:r>
        <w:rPr>
          <w:rFonts w:ascii="Times New Roman;serif" w:hAnsi="Times New Roman;serif"/>
          <w:b w:val="false"/>
          <w:color w:val="000000"/>
          <w:sz w:val="16"/>
        </w:rPr>
        <w:t>, in this Quarterly Report for more information about these contractual commitments.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(8)At June 30, 2026, we had outstanding commitments for capital expenditures to be utilized in San Mateo’s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General Outlook and Trends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success and financial results are dependent on many factors beyond our control, such as economic, political and regulatory developments, as well as competition from other sources of energy. For example, the current administration and Congress have altered, and may continue to alter, our current regulatory framework and may impact our business and the oil and gas industry generally. Commodity price volatility, in particular, is a significant risk to our business, cash flows and results of operations. Commodity prices are affected by changes in market supply and demand, which are impacted by overall economic activity, ongoing military conflicts, including ongoing military conflicts between Russia and Ukraine and in the Middle East, political instability, particularly in China and in the Middle East, geopolitical tensions involving Iran (including the potential for stricter U.S. sanctions on Iranian oil exports, regional conflicts and potential disruptions to shipping routes in the Strait of Hormuz), the actions of Organization of Petroleum Exporting Countries, Russia and certain other oil-exporting countries, weather, pipeline capacity constraints, inventory storage levels, oil and natural gas price differentials and other factors.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prices we receive for oil, natural gas and NGLs heavily influence our revenues, profitability, cash flow available for capital expenditures, the repayment of debt, the payment of cash dividends, if any, and the repurchase of common stock,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Oil prices were higher in the second quarter of 2026, as compared to the second quarter of 2025. For the three months ended June 30, 2026, oil prices averaged $92.70 per Bbl, ranging from a high of $112.95 per Bbl in early April to a low of $69.23 per Bbl in late June, based upon the West Texas Intermediate (“WTI”) oil futures contract price for the earliest delivery date. Oil prices averaged $63.68 per Bbl for the three months ended June 30, 2025. We realized a weighted average oil price of $98.16 per Bbl ($83.19 with realized losses from oil derivatives) for our oil production for the three months ended June 30, 2026, as compared to $64.34 per Bbl (with no realized gains or losses from oil derivatives) for our oil production for the three months ended June 30, 2025. Oil prices have remained volatile since June 30, 2026. At August 5, 2026, the WTI oil futures contract for the earliest delivery date had decreased from the average price for the second quarter of 2026 of $92.70 per Bbl, settling at $75.22 per Bbl.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Natural gas prices were lower in the second quarter of 2026, as compared to the second quarter of 2025. For the three months ended June 30, 2026, natural gas prices averaged $2.94 per MMBtu, ranging from a low of $2.52 per MMBtu in late April to a high of $3.34 per MMBtu in late June, based upon the NYMEX Henry Hub natural gas futures contract price for the earliest delivery date. Natural gas prices averaged $3.51 per MMBtu for the three months ended June 30, 2025. We report production volumes in two streams, oil and natural gas (which includes both dry gas and NGLs). We realized a weighted average natural gas price of $(0.79) per Mcf ($1.24 per Mcf including realized gains from natural gas derivatives) for our natural gas production (including revenues attributable to NGLs) for the three months ended June 30, 2026, as compared to $2.05 per Mcf ($2.20 per Mcf including realized gains from natural gas derivatives) for our natural gas production (including revenues attributable to NGLs) for the three months ended June 30, 2025. Certain volumes of our natural gas production are sold at prices established at the beginning of each month by the various markets where we sell our natural gas production, and certain volumes of our natural gas production are sold at daily market prices. At August 5, 2026, the NYMEX Henry Hub natural gas futures contract price for the earliest delivery date had decreased from the average price for the second quarter of 2026 of $2.94 per MMBtu, to $2.69 per MMBtu.</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prices we receive for oil and natural gas production often reflect a discount to the relevant benchmark prices, such as the WTI oil price or the NYMEX Henry Hub natural gas price. The difference between the benchmark price and the price we receive is called a differential. At June 30, 2026,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Midland-Cushing (Oklahoma) oil price differential has been highly volatile in recent years. At August 5, 2026, this oil price differential was positive at approximately +$0.35 per Bbl. At August 5, 2026, we had no derivative contracts in place to mitigate our exposure to this Midland-Cushing (Oklahoma) oil price differential for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Certain volumes of our Delaware Basin natural gas production are exposed to the Waha-Henry Hub basis differential, which has also been highly volatile in recent years. In recent years, concerns about natural gas pipeline takeaway capacity out of the Delaware Basin began to increase and as a result, the Waha-Henry Hub basis differential began to widen. The Waha-Henry Hub basis differential averaged ($6.03) per MMBtu for the six months ended June 30, 2026. Between June 30, 2026 and August 5, 2026, this natural gas price differential narrowed to approximately ($0.82) per MMBtu. A significant portion of our Delaware Basin natural gas production, however, is sold at Houston Ship Channel pricing and is not exposed to Waha pricing. During 2023 and 2024, we typically realized a narrower differential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3% of our reported natural gas production for the six months ended June 30, 2026 was attributable to the Haynesville shale play, which is not exposed to Waha pricing. In addition, most of our natural gas volumes in the Delaware Basin are processed for NGLs, resulting in a further reduction in the reported natural gas volumes exposed to Waha pricing.</w:t>
      </w:r>
    </w:p>
    <w:p>
      <w:pPr>
        <w:pStyle w:val="TextBody"/>
        <w:bidi w:val="0"/>
        <w:spacing w:lineRule="auto" w:line="264"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secured 500,000 MMBtu per day of firm natural gas transportation on Energy Transfer’s new Hugh Brinson pipeline, which began flowing natural gas during the second quarter of 2026 and which Energy Transfer expects to be fully in-service by the end of the third quarter of 2026. The Hugh Brinson pipeline will provide Matador access to Henry Hub markets along the Louisiana Gulf Coast and to other opportunities such as liquefied natural gas (LNG) plants and export terminals along this pipeline route that have historically experienced more favorable pricing to the Waha hub.</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six months of 2026, we recorded a net loss of $223.6 million related to our oil costless collars, resulting primarily from oil prices that were above the ceiling of certain of our oil costless collar contracts and the deferred call premiums on certain of our purchased oil call contracts. This loss was partially offset by a net gain of $136.7 million related to our natural gas costless collar and swap contracts, resulting primarily from natural gas prices that were below the floor of our natural gas costless collar contracts, natural gas prices that were below the fixed prices of certain of our natural gas swap contracts and natural gas basis differentials that were below the fixed prices of certain of our natural gas basis differential swap contracts.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at times, including in 2025 and 2026,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including in 2025 and 2026, we may again temporarily shut in certain high gas-oil ratio wells and take other actions to mitigate the impact on our realized natural gas prices and results.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at times experienced inflation in the costs of certain oilfield services, including diesel, steel, labor, trucking, sand, personnel and completion costs, among others. Should oil prices increase, we may be subject to additional service cost inflation in future periods, which may increase our costs to drill, complete, equip and operate wells. In addition, supply chain disruptions, tariffs and trade restrictions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the sources and effects of our market risk since December 31, 2025, which are disclosed in Part II, Item 7A of the Annual Report and incorporated herein by reference.</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Commodity price exposure.</w:t>
      </w:r>
      <w:r>
        <w:rPr>
          <w:color w:val="000000"/>
        </w:rPr>
        <w:t xml:space="preserve"> </w:t>
      </w:r>
      <w:r>
        <w:rPr>
          <w:rFonts w:ascii="Times New Roman;serif" w:hAnsi="Times New Roman;serif"/>
          <w:b w:val="false"/>
          <w:color w:val="000000"/>
          <w:sz w:val="20"/>
        </w:rPr>
        <w:t>We are exposed to market risk as the prices of oil, natural gas and NGLs fluctuate 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 At times we have also purchased calls to mitigate potential losses associated with our costless collar contracts in a rising oil price environment.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record all derivative financial instruments at fair value, which is determined using purchase and sale information available for similarly traded securities. Additionally, we have considered the credit standing of the counterparties in determining the fair value of our derivative financial instruments.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we had various costless collar contracts open and in place to mitigate our exposure to oil and natural gas price volatility, each with an established price floor and ceiling. At June 30, 2026, we had oil price call contracts open and in place to mitigate our exposure to oil price volatility with an established strike price. At June 30, 2026, we had natural gas swap and natural gas basis differential swap contracts open and in place to mitigate our exposure to natural gas price volatility, with a specific term (calculation period), notional quantity (volume hedged) and fixed price. We had no open contracts associated with NGL prices at June 30, 2026.</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See Note 8,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xml:space="preserve">, in this Quarterly Report for a summary of our open derivative financial instruments. Such information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of Disclosure Controls and Procedures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June 30, 2026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pStyle w:val="TextBody"/>
        <w:bidi w:val="0"/>
        <w:spacing w:lineRule="auto" w:line="240"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Changes in Internal Control over Financial Reporting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changes in our internal controls that have materially affected or are reasonably likely to have a material effect on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22, 2025, the New Mexico Environment Department (“NMED”) issued a Notice of Violation to San Mateo alleging possible violations related to excess air emissions from San Mateo’s Black River cryogenic natural gas processing plant in Eddy County, New Mexico. San Mateo and the NMED are in settlement discussions with respect to this matter, and San Mateo expects that the settlement amount will be greater than $300,000 and less than $1,000,000. Accordingly, the Company does not have an expectation of material loss.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Except as set forth above, during the three months ended June 30, 2026, there were no material changes regarding the legal proceedings we have disclosed in “Item 3. Legal Proceedings”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various risks and uncertainties in the course of our business. For a discussion of such risks and uncertainties, please see “Item 1A. Risk Factors” in the Annual Report. Except as set forth below, there have been no material changes to the risk factors we have disclosed in the Annual Report.</w:t>
      </w:r>
    </w:p>
    <w:p>
      <w:pPr>
        <w:pStyle w:val="TextBody"/>
        <w:bidi w:val="0"/>
        <w:spacing w:lineRule="auto" w:line="288" w:before="0" w:after="120"/>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The consummation of the Paloma Acquisition and the Ridge Runner Acquisition is subject to a number of conditions that may not be satisfied or completed on a timely basis or at all. Accordingly, there can be no assurance as to when or if either or both of the Paloma Acquisition and the Ridge Runner Acquisition will be completed, and the failure to complete either the Paloma Acquisition or the Ridge Runner Acquisition could have a material and adverse effect on our business, financial condition, results of operations and cash flows. </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expect to complete the Paloma Acquisition and the Ridge Runner Acquisition in the fourth quarter of 2026, there can be no assurances as to the exact timing of the closings or that either or both of these acquisitions will be completed at all. The consummation of these acquisitions is subject to the satisfaction or waiver of a number of conditions contained in the related purchase agreements. Such conditions, some of which are beyond our control, may not be satisfied or waived in a timely manner or at all and therefore make the completion and timing of the Paloma Acquisition and the Ridge Runner Acquisition uncertain. In addition, the purchase agreements contain certain termination rights for the parties, which if exercised will also result in the applicable acquisition not being consummated. Any such termination or any failure to otherwise complete the Paloma Acquisition or the Ridge Runner Acquisition could result in various consequences, including, among others: our business being adversely impacted by the failure to pursue other beneficial opportunities due to the time and resources committed by our management to the Paloma Acquisition and the Ridge Runner Acquisition, without realizing any of the benefits of completing such acquisitions; being required to pay our legal, accounting and other expenses relating to the Paloma Acquisition and the Ridge Runner Acquisition; the market price of our common stock being adversely impacted to the extent that the current market price reflects a market assumption that the Paloma Acquisition and the Ridge Runner Acquisition will be completed; and negative reactions from the financial markets and customers that may occur if the anticipated benefits of the Paloma Acquisition or the Ridge Runner Acquisition are not realized. Such consequences could materially and adversely affect our business, financial condition, results of operations and cash flows. </w:t>
      </w:r>
    </w:p>
    <w:p>
      <w:pPr>
        <w:pStyle w:val="TextBody"/>
        <w:bidi w:val="0"/>
        <w:spacing w:lineRule="auto" w:line="288" w:before="0" w:after="120"/>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Even if the Paloma Acquisition and the Ridge Runner Acquisition are completed, we may be unable to successfully integrate the acquisitions into our business or achieve the anticipated benefits of the acquisitions. </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success of the Paloma Acquisition and the Ridge Runner Acquisition will depend, in part, on our ability to realize the anticipated benefits and cost savings from integrating the assets and operations of these acquisitions into our business, and there can be no assurance that we will be able to successfully integrate or otherwise realize the anticipated benefits of the Paloma Acquisition or the Ridge Runner Acquisition. Difficulties in integrating these acquisitions into our company and our ability to manage the combined company may result in us performing differently than expected, in operational challenges or in the delay or failure to realize anticipated expense-related efficiencies and could have a material adverse effect on our business, financial condition, results of operations and cash flows. Potential difficulties that may be encountered in the integration process include, among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to successfully integrate the acquisitions operationally, in a manner that permits us to achieve the full revenue, expected cash flows and cost savings anticipated from the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not realizing anticipated operating synergies;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unknown liabilities and unforeseen expenses, delays or regulatory conditions associated with the acquisitions.</w:t>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Repurchase of Equity by the Company or Affiliates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information about our acquisition of equity securities during the quarter ended June 30, 2026: </w:t>
      </w:r>
    </w:p>
    <w:tbl>
      <w:tblPr>
        <w:tblW w:w="10205" w:type="dxa"/>
        <w:jc w:val="left"/>
        <w:tblInd w:w="0" w:type="dxa"/>
        <w:tblLayout w:type="fixed"/>
        <w:tblCellMar>
          <w:top w:w="28" w:type="dxa"/>
          <w:left w:w="28" w:type="dxa"/>
          <w:bottom w:w="28" w:type="dxa"/>
          <w:right w:w="28" w:type="dxa"/>
        </w:tblCellMar>
      </w:tblPr>
      <w:tblGrid>
        <w:gridCol w:w="365"/>
        <w:gridCol w:w="321"/>
        <w:gridCol w:w="323"/>
        <w:gridCol w:w="109"/>
        <w:gridCol w:w="109"/>
        <w:gridCol w:w="109"/>
        <w:gridCol w:w="587"/>
        <w:gridCol w:w="473"/>
        <w:gridCol w:w="474"/>
        <w:gridCol w:w="109"/>
        <w:gridCol w:w="109"/>
        <w:gridCol w:w="109"/>
        <w:gridCol w:w="273"/>
        <w:gridCol w:w="799"/>
        <w:gridCol w:w="141"/>
        <w:gridCol w:w="109"/>
        <w:gridCol w:w="109"/>
        <w:gridCol w:w="109"/>
        <w:gridCol w:w="805"/>
        <w:gridCol w:w="700"/>
        <w:gridCol w:w="702"/>
        <w:gridCol w:w="109"/>
        <w:gridCol w:w="109"/>
        <w:gridCol w:w="109"/>
        <w:gridCol w:w="518"/>
        <w:gridCol w:w="2028"/>
        <w:gridCol w:w="388"/>
      </w:tblGrid>
      <w:tr>
        <w:trPr/>
        <w:tc>
          <w:tcPr>
            <w:tcW w:w="3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Number (or Approximate Dollar Value in thousands) of Shares that May Yet Be Purchased under the Plans or Programs</w:t>
            </w:r>
            <w:r>
              <w:rPr>
                <w:rFonts w:ascii="Times New Roman;serif" w:hAnsi="Times New Roman;serif"/>
                <w:b/>
                <w:color w:val="000000"/>
                <w:sz w:val="13"/>
              </w:rPr>
              <w:t>(2)</w:t>
            </w:r>
          </w:p>
        </w:tc>
      </w:tr>
      <w:tr>
        <w:trPr/>
        <w:tc>
          <w:tcPr>
            <w:tcW w:w="1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343,443 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19,050 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343,443 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225,666 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332,282 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244,826 </w:t>
            </w:r>
          </w:p>
        </w:tc>
        <w:tc>
          <w:tcPr>
            <w:tcW w:w="4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7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(1)During the second quarter of 2026, the Company re-acquired 19,826 shares of common stock from certain employees in order to satisfy the employees’ tax liability in connection with the vesting of restricted stock.</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 April 2025, the Board authorized the Share Repurchase Program covering up to $400.0 million of common stock. During the second quarter of 2026, we repurchased 225,000 shares of our common stock under the Share Repurchase Program at a weighted average price of $49.59 per common share for a total cost of $11.2 million, excluding accrued excise tax of $0.1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Insider Trading Plans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defined in Rule 16a-1(f) under the Exchange Act) of the Company adopted, modified or terminated a “Rule 10b5-1 trading arrangement” or “non-Rule 10b5-1 trading arrangement,” as each term is defined in Item 408(a) of Regulation 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Disclosure Pursuant to Item 5.02 of Form 8-K – Departure of Directors or Certain Officers; Election of Directors; Appointment of Certain Officers; Compensatory Arrangements of Certain Officers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3, 2026, Brian J. Willey, Executive Vice President – Midstream, informed the Company of his decision to resign from his roles at the Company and San Mateo, effective as of September 2, 2026. Aspects of Mr. Willey’s role, including Mr. Willey’s leadership role at San Mateo, will be assumed primarily by Glenn W. Stetson, Executive Vice President and Chief Operating Officer of the Company, and Sean T. O’Grady, Senior Vice President and Chief Operating Officer of San Mateo. Mr. Willey’s resignation is not related to any disagreement with the Company on any matter relating to the Company, including its strategic priorities for San Mateo.</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dd06624872f4b93b5d710265f47fb9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3097"/>
        <w:gridCol w:w="2945"/>
        <w:gridCol w:w="2975"/>
        <w:gridCol w:w="15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Securities Purchase Agreement, dated July 22, 2026, by and among MRC Ranger, LLC, MRC Energy Company (solely for the limited purposes stated therein), Paloma Permian Holdings, LLC, Paloma Permian Intermediate, LLC and Paloma Permian, LLC (incorporated by reference to Exhibit 2.1 to the Current Report on Form 8-K filed on July 24, 2026).</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Formation of Matador Resources Company (incorporated by reference to Exhibit 3.2 to the Quarterly Report on Form 10-Q for the quarter ended June 30, 2017).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the Amended and Restated Certificate of Formation of Matador Resources Company dated April 2, 2015 (incorporated by reference to Exhibit 3.3 to the Quarterly Report on Form 10-Q for the quarter ended June 30, 2017).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the Amended and Restated Certificate of Formation of Matador Resources Company effective June 2, 2017 (incorporated by reference to Exhibit 3.4 to the Quarterly Report on Form 10-Q for the quarter ended June 30, 2017).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Matador Resources Company, as amended (incorporated by reference to Exhibit 3.1 to the Current Report on Form 8-K filed on February 22, 2018).</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 xml:space="preserve">Eighth Amendment to Fourth Amended and Restated Credit Agreement, dated as of June 10, 2026, by and among MRC Energy Company, as Borrower, the Lenders party thereto and PNC Bank, National Association, as Administrative Agent for the Lenders (incorporated by reference to Exhibit 10.1 to the Current Report on Form 8-K filed on June 16, 2026). </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mtdr10qex311.htm">
              <w:r>
                <w:rPr>
                  <w:rStyle w:val="InternetLink"/>
                  <w:rFonts w:ascii="Times New Roman;serif" w:hAnsi="Times New Roman;serif"/>
                  <w:b w:val="false"/>
                  <w:color w:val="0000FF"/>
                  <w:sz w:val="20"/>
                  <w:u w:val="single"/>
                </w:rPr>
                <w:t>Certification of Principal Executive Officer pursuant to Section 302 of the Sarbanes-Oxley Act of 2002 (filed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mtdr10qex312.htm">
              <w:r>
                <w:rPr>
                  <w:rStyle w:val="InternetLink"/>
                  <w:rFonts w:ascii="Times New Roman;serif" w:hAnsi="Times New Roman;serif"/>
                  <w:b w:val="false"/>
                  <w:color w:val="0000FF"/>
                  <w:sz w:val="20"/>
                  <w:u w:val="single"/>
                </w:rPr>
                <w:t>Certification of Principal Financial Officer pursuant to Section 302 of the Sarbanes-Oxley Act of 2002 (filed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mtdr10q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 (furnished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mtdr10q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 (furnished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Matador Resources Company’s Quarterly Report on Form 10-Q for the quarter ended June 30, 2026,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filing excludes certain schedules and exhibits pursuant to Item 601(a)(5) of Regulation S-K, which the Company agrees to furnish supplementally to the SEC upon request; provided, however, that the Company may request confidential treatment pursuant to Rule 24b-2 of the Securities Exchange Act of 1934, as amended, for any schedules or exhibits so furnished.</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874" w:type="dxa"/>
        <w:jc w:val="righ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964"/>
        <w:gridCol w:w="964"/>
        <w:gridCol w:w="137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MATADOR RESOURCES COMPANY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Wm. Foran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Wm. Foran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tbl>
      <w:tblPr>
        <w:tblW w:w="7015" w:type="dxa"/>
        <w:jc w:val="righ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1300"/>
        <w:gridCol w:w="1300"/>
        <w:gridCol w:w="184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P. Calvert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P. Calvert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Joseph Wm. Foran, certify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946" w:type="dxa"/>
        <w:jc w:val="left"/>
        <w:tblInd w:w="0" w:type="dxa"/>
        <w:tblLayout w:type="fixed"/>
        <w:tblCellMar>
          <w:top w:w="28" w:type="dxa"/>
          <w:left w:w="28" w:type="dxa"/>
          <w:bottom w:w="28" w:type="dxa"/>
          <w:right w:w="28" w:type="dxa"/>
        </w:tblCellMar>
      </w:tblPr>
      <w:tblGrid>
        <w:gridCol w:w="493"/>
        <w:gridCol w:w="435"/>
        <w:gridCol w:w="437"/>
        <w:gridCol w:w="1068"/>
        <w:gridCol w:w="1068"/>
        <w:gridCol w:w="1073"/>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Christopher P. Calvert, certify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805" w:type="dxa"/>
        <w:jc w:val="left"/>
        <w:tblInd w:w="0" w:type="dxa"/>
        <w:tblLayout w:type="fixed"/>
        <w:tblCellMar>
          <w:top w:w="28" w:type="dxa"/>
          <w:left w:w="28" w:type="dxa"/>
          <w:bottom w:w="28" w:type="dxa"/>
          <w:right w:w="28" w:type="dxa"/>
        </w:tblCellMar>
      </w:tblPr>
      <w:tblGrid>
        <w:gridCol w:w="493"/>
        <w:gridCol w:w="435"/>
        <w:gridCol w:w="437"/>
        <w:gridCol w:w="917"/>
        <w:gridCol w:w="917"/>
        <w:gridCol w:w="920"/>
        <w:gridCol w:w="493"/>
        <w:gridCol w:w="493"/>
        <w:gridCol w:w="70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44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P. Calvert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P. Calvert</w:t>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 xml:space="preserve">(Principal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Matador Resources Company (the “Company”) on Form 10-Q for the period ended June 30, 2026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946" w:type="dxa"/>
        <w:jc w:val="left"/>
        <w:tblInd w:w="0" w:type="dxa"/>
        <w:tblLayout w:type="fixed"/>
        <w:tblCellMar>
          <w:top w:w="28" w:type="dxa"/>
          <w:left w:w="28" w:type="dxa"/>
          <w:bottom w:w="28" w:type="dxa"/>
          <w:right w:w="28" w:type="dxa"/>
        </w:tblCellMar>
      </w:tblPr>
      <w:tblGrid>
        <w:gridCol w:w="493"/>
        <w:gridCol w:w="435"/>
        <w:gridCol w:w="437"/>
        <w:gridCol w:w="1068"/>
        <w:gridCol w:w="1068"/>
        <w:gridCol w:w="1073"/>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Matador Resources Company (the “Company”) on Form 10-Q for the period ended June 30, 2026 as filed with the Securities and Exchange Commission on the date hereof (the “Form 10-Q”), I, Christopher P. Calvert, hereby certify in my capacity as Executive Vice President and Chief Financial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803" w:type="dxa"/>
        <w:jc w:val="left"/>
        <w:tblInd w:w="0" w:type="dxa"/>
        <w:tblLayout w:type="fixed"/>
        <w:tblCellMar>
          <w:top w:w="28" w:type="dxa"/>
          <w:left w:w="28" w:type="dxa"/>
          <w:bottom w:w="28" w:type="dxa"/>
          <w:right w:w="28" w:type="dxa"/>
        </w:tblCellMar>
      </w:tblPr>
      <w:tblGrid>
        <w:gridCol w:w="493"/>
        <w:gridCol w:w="435"/>
        <w:gridCol w:w="437"/>
        <w:gridCol w:w="1259"/>
        <w:gridCol w:w="1259"/>
        <w:gridCol w:w="1265"/>
        <w:gridCol w:w="192"/>
        <w:gridCol w:w="192"/>
        <w:gridCol w:w="27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P. Calvert</w:t>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P. Calvert</w:t>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0006/000110465926086469/tm2621144d1_ex2-1.htm" TargetMode="External"/><Relationship Id="rId3" Type="http://schemas.openxmlformats.org/officeDocument/2006/relationships/hyperlink" Target="https://www.sec.gov/Archives/edgar/data/1520006/000152000617000188/a20170630mtdr10q-exhibit32.htm" TargetMode="External"/><Relationship Id="rId4" Type="http://schemas.openxmlformats.org/officeDocument/2006/relationships/hyperlink" Target="https://www.sec.gov/Archives/edgar/data/1520006/000152000617000188/a20170630mtdr10q-exhibit33.htm" TargetMode="External"/><Relationship Id="rId5" Type="http://schemas.openxmlformats.org/officeDocument/2006/relationships/hyperlink" Target="https://www.sec.gov/Archives/edgar/data/1520006/000152000617000188/a20170630mtdr10q-exhibit34.htm" TargetMode="External"/><Relationship Id="rId6" Type="http://schemas.openxmlformats.org/officeDocument/2006/relationships/hyperlink" Target="https://www.sec.gov/Archives/edgar/data/1520006/000152000618000051/a20171231mtdr8k-amendedbyl.htm" TargetMode="External"/><Relationship Id="rId7" Type="http://schemas.openxmlformats.org/officeDocument/2006/relationships/hyperlink" Target="https://www.sec.gov/Archives/edgar/data/1520006/000152000626000029/exhibit101-creditagreement.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27045</Words>
  <Characters>151426</Characters>
  <CharactersWithSpaces>176798</CharactersWithSpaces>
  <Paragraphs>3523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