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60" w:after="283"/>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 </w:t>
      </w:r>
    </w:p>
    <w:p>
      <w:pPr>
        <w:pStyle w:val="TextBody"/>
        <w:bidi w:val="0"/>
        <w:spacing w:lineRule="auto" w:line="240" w:before="120" w:after="283"/>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ans-serif" w:hAnsi="Times New Roman;sans-serif"/>
          <w:b w:val="false"/>
          <w:color w:val="000000"/>
          <w:sz w:val="12"/>
        </w:rPr>
        <w:t>_________________________________________________________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20" w:after="283"/>
        <w:jc w:val="center"/>
        <w:rPr>
          <w:rFonts w:ascii="Times New Roman;sans-serif" w:hAnsi="Times New Roman;sans-serif"/>
          <w:b/>
          <w:color w:val="000000"/>
          <w:sz w:val="18"/>
        </w:rPr>
      </w:pPr>
      <w:r>
        <w:rPr>
          <w:rFonts w:ascii="Times New Roman;sans-serif" w:hAnsi="Times New Roman;sans-serif"/>
          <w:b/>
          <w:color w:val="000000"/>
          <w:sz w:val="18"/>
        </w:rPr>
        <w:t xml:space="preserve">For the quarterly period ended September 30, 2023 </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100" w:after="283"/>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to            </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 xml:space="preserve">Commission File Number 001-35410 </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  </w:t>
      </w:r>
    </w:p>
    <w:p>
      <w:pPr>
        <w:pStyle w:val="TextBody"/>
        <w:bidi w:val="0"/>
        <w:spacing w:lineRule="auto" w:line="216" w:before="120" w:after="283"/>
        <w:jc w:val="center"/>
        <w:rPr>
          <w:rFonts w:ascii="Times New Roman;sans-serif" w:hAnsi="Times New Roman;sans-serif"/>
          <w:b/>
          <w:color w:val="000000"/>
          <w:sz w:val="48"/>
        </w:rPr>
      </w:pPr>
      <w:r>
        <w:rPr>
          <w:rFonts w:ascii="Times New Roman;sans-serif" w:hAnsi="Times New Roman;sans-serif"/>
          <w:b/>
          <w:color w:val="000000"/>
          <w:sz w:val="48"/>
        </w:rPr>
        <w:t xml:space="preserve">Matador Resources Company </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2"/>
        </w:rPr>
        <w:t>_________________________________________________________</w:t>
      </w:r>
      <w:r>
        <w:rPr>
          <w:color w:val="000000"/>
        </w:rPr>
        <w:t> </w:t>
      </w:r>
    </w:p>
    <w:tbl>
      <w:tblPr>
        <w:tblW w:w="4409" w:type="dxa"/>
        <w:jc w:val="center"/>
        <w:tblInd w:w="0" w:type="dxa"/>
        <w:tblLayout w:type="fixed"/>
        <w:tblCellMar>
          <w:top w:w="28" w:type="dxa"/>
          <w:left w:w="28" w:type="dxa"/>
          <w:bottom w:w="28" w:type="dxa"/>
          <w:right w:w="28" w:type="dxa"/>
        </w:tblCellMar>
      </w:tblPr>
      <w:tblGrid>
        <w:gridCol w:w="1055"/>
        <w:gridCol w:w="930"/>
        <w:gridCol w:w="940"/>
        <w:gridCol w:w="433"/>
        <w:gridCol w:w="433"/>
        <w:gridCol w:w="618"/>
      </w:tblGrid>
      <w:tr>
        <w:trPr/>
        <w:tc>
          <w:tcPr>
            <w:tcW w:w="1055"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27-4662601</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5400 LBJ Freeway, Suite 1500</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Dallas,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75240</w:t>
            </w:r>
          </w:p>
        </w:tc>
      </w:tr>
      <w:tr>
        <w:trPr/>
        <w:tc>
          <w:tcPr>
            <w:tcW w:w="29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(972) 371-5200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p>
      <w:pPr>
        <w:pStyle w:val="TextBody"/>
        <w:bidi w:val="0"/>
        <w:spacing w:lineRule="auto" w:line="288" w:before="0" w:after="0"/>
        <w:jc w:val="center"/>
        <w:rPr/>
      </w:pPr>
      <w:r>
        <w:rPr>
          <w:color w:val="000000"/>
        </w:rPr>
        <w:t> </w:t>
      </w:r>
      <w:r>
        <w:rPr>
          <w:rFonts w:ascii="Times New Roman;sans-serif" w:hAnsi="Times New Roman;sans-serif"/>
          <w:b w:val="false"/>
          <w:color w:val="000000"/>
          <w:sz w:val="18"/>
        </w:rPr>
        <w:t>_________________________________________________________</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886" w:type="dxa"/>
        <w:jc w:val="center"/>
        <w:tblInd w:w="0" w:type="dxa"/>
        <w:tblLayout w:type="fixed"/>
        <w:tblCellMar>
          <w:top w:w="28" w:type="dxa"/>
          <w:left w:w="28" w:type="dxa"/>
          <w:bottom w:w="28" w:type="dxa"/>
          <w:right w:w="28" w:type="dxa"/>
        </w:tblCellMar>
      </w:tblPr>
      <w:tblGrid>
        <w:gridCol w:w="1263"/>
        <w:gridCol w:w="1108"/>
        <w:gridCol w:w="1123"/>
        <w:gridCol w:w="109"/>
        <w:gridCol w:w="109"/>
        <w:gridCol w:w="109"/>
        <w:gridCol w:w="474"/>
        <w:gridCol w:w="474"/>
        <w:gridCol w:w="476"/>
        <w:gridCol w:w="109"/>
        <w:gridCol w:w="109"/>
        <w:gridCol w:w="109"/>
        <w:gridCol w:w="970"/>
        <w:gridCol w:w="970"/>
        <w:gridCol w:w="1374"/>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MTDR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bl>
    <w:p>
      <w:pPr>
        <w:pStyle w:val="TextBody"/>
        <w:bidi w:val="0"/>
        <w:spacing w:lineRule="auto" w:line="288" w:before="80" w:after="283"/>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384"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109"/>
        <w:gridCol w:w="109"/>
        <w:gridCol w:w="109"/>
        <w:gridCol w:w="678"/>
        <w:gridCol w:w="678"/>
        <w:gridCol w:w="683"/>
        <w:gridCol w:w="109"/>
        <w:gridCol w:w="109"/>
        <w:gridCol w:w="109"/>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jc w:val="left"/>
        <w:rPr/>
      </w:pPr>
      <w:r>
        <w:rPr>
          <w:rFonts w:ascii="Times New Roman;sans-serif" w:hAnsi="Times New Roman;sans-serif"/>
          <w:b w:val="false"/>
          <w:color w:val="000000"/>
          <w:sz w:val="18"/>
        </w:rPr>
        <w:t>Indicate by check mark whether the registrant is a shell company (as defined in Rule 12b-2 of the Exchange Act).    </w:t>
      </w:r>
      <w:r>
        <w:rPr>
          <w:color w:val="000000"/>
        </w:rPr>
        <w:t>☐  </w:t>
      </w:r>
      <w:r>
        <w:rPr>
          <w:rFonts w:ascii="Times New Roman;sans-serif" w:hAnsi="Times New Roman;sans-serif"/>
          <w:b w:val="false"/>
          <w:color w:val="000000"/>
          <w:sz w:val="18"/>
        </w:rPr>
        <w:t>Yes    </w:t>
      </w:r>
      <w:r>
        <w:rPr>
          <w:color w:val="000000"/>
        </w:rPr>
        <w:t>☒  </w:t>
      </w:r>
      <w:r>
        <w:rPr>
          <w:rFonts w:ascii="Times New Roman;sans-serif" w:hAnsi="Times New Roman;sans-serif"/>
          <w:b w:val="false"/>
          <w:color w:val="000000"/>
          <w:sz w:val="18"/>
        </w:rPr>
        <w:t>No</w:t>
      </w:r>
    </w:p>
    <w:p>
      <w:pPr>
        <w:pStyle w:val="TextBody"/>
        <w:bidi w:val="0"/>
        <w:spacing w:lineRule="auto" w:line="288" w:before="180" w:after="283"/>
        <w:jc w:val="left"/>
        <w:rPr/>
      </w:pPr>
      <w:r>
        <w:rPr>
          <w:rFonts w:ascii="Times New Roman;sans-serif" w:hAnsi="Times New Roman;sans-serif"/>
          <w:b w:val="false"/>
          <w:color w:val="000000"/>
          <w:sz w:val="18"/>
        </w:rPr>
        <w:t xml:space="preserve">As of October 24, 2023, there were 119,134,916 shares of the registrant’s common </w:t>
      </w:r>
      <w:r>
        <w:rPr>
          <w:rFonts w:ascii="Times New Roman;sans-serif" w:hAnsi="Times New Roman;sans-serif"/>
          <w:b w:val="false"/>
          <w:color w:val="000000"/>
          <w:sz w:val="18"/>
          <w:shd w:fill="FFFFFF" w:val="clear"/>
        </w:rPr>
        <w:t>s</w:t>
      </w:r>
      <w:r>
        <w:rPr>
          <w:rFonts w:ascii="Times New Roman;sans-serif" w:hAnsi="Times New Roman;sans-serif"/>
          <w:b w:val="false"/>
          <w:color w:val="000000"/>
          <w:sz w:val="18"/>
        </w:rPr>
        <w:t>tock, par value $0.01 per share,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 ENDED SEPTEMBER 30, 2023</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499"/>
        <w:gridCol w:w="3079"/>
        <w:gridCol w:w="3084"/>
        <w:gridCol w:w="158"/>
        <w:gridCol w:w="158"/>
        <w:gridCol w:w="227"/>
      </w:tblGrid>
      <w:tr>
        <w:trPr/>
        <w:tc>
          <w:tcPr>
            <w:tcW w:w="349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c>
          <w:tcPr>
            <w:tcW w:w="308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0">
              <w:r>
                <w:rPr>
                  <w:rStyle w:val="InternetLink"/>
                  <w:rFonts w:ascii="Times New Roman;sans-serif" w:hAnsi="Times New Roman;sans-serif"/>
                  <w:b w:val="false"/>
                  <w:color w:val="0000FF"/>
                  <w:sz w:val="20"/>
                  <w:u w:val="single"/>
                </w:rPr>
                <w:t>PART I — FINANCIAL INFORMATION</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651d5a1275754f5a8817d0e5a36b4b96_10">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3">
              <w:r>
                <w:rPr>
                  <w:rStyle w:val="InternetLink"/>
                  <w:rFonts w:ascii="Times New Roman;sans-serif" w:hAnsi="Times New Roman;sans-serif"/>
                  <w:b w:val="false"/>
                  <w:color w:val="0000FF"/>
                  <w:sz w:val="20"/>
                  <w:u w:val="single"/>
                </w:rPr>
                <w:t>Item 1. Financial Statements —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3">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6">
              <w:r>
                <w:rPr>
                  <w:rStyle w:val="InternetLink"/>
                  <w:rFonts w:ascii="Times New Roman;sans-serif" w:hAnsi="Times New Roman;sans-serif"/>
                  <w:b w:val="false"/>
                  <w:color w:val="0000FF"/>
                  <w:sz w:val="20"/>
                  <w:u w:val="single"/>
                </w:rPr>
                <w:t>Condensed Consolidated Balance Sheets at September 30, 2023 and December 31,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6">
              <w:r>
                <w:rPr>
                  <w:rStyle w:val="InternetLink"/>
                  <w:rFonts w:ascii="Times New Roman;sans-serif" w:hAnsi="Times New Roman;sans-serif"/>
                  <w:b w:val="false"/>
                  <w:color w:val="0000FF"/>
                  <w:sz w:val="20"/>
                  <w:u w:val="single"/>
                </w:rPr>
                <w:t>3</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22">
              <w:r>
                <w:rPr>
                  <w:rStyle w:val="InternetLink"/>
                  <w:rFonts w:ascii="Times New Roman;sans-serif" w:hAnsi="Times New Roman;sans-serif"/>
                  <w:b w:val="false"/>
                  <w:color w:val="0000FF"/>
                  <w:sz w:val="20"/>
                  <w:u w:val="single"/>
                </w:rPr>
                <w:t>Condensed Consolidated Statements of Operations for the Three and Nine Months Ended September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22">
              <w:r>
                <w:rPr>
                  <w:rStyle w:val="InternetLink"/>
                  <w:rFonts w:ascii="Times New Roman;sans-serif" w:hAnsi="Times New Roman;sans-serif"/>
                  <w:b w:val="false"/>
                  <w:color w:val="0000FF"/>
                  <w:sz w:val="20"/>
                  <w:u w:val="single"/>
                </w:rPr>
                <w:t>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25">
              <w:r>
                <w:rPr>
                  <w:rStyle w:val="InternetLink"/>
                  <w:rFonts w:ascii="Times New Roman;sans-serif" w:hAnsi="Times New Roman;sans-serif"/>
                  <w:b w:val="false"/>
                  <w:color w:val="0000FF"/>
                  <w:sz w:val="20"/>
                  <w:u w:val="single"/>
                </w:rPr>
                <w:t>Condensed Consolidated Statements of Changes in Shareholders’ Equity for the Three and Nine Months Ended September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25">
              <w:r>
                <w:rPr>
                  <w:rStyle w:val="InternetLink"/>
                  <w:rFonts w:ascii="Times New Roman;sans-serif" w:hAnsi="Times New Roman;sans-serif"/>
                  <w:b w:val="false"/>
                  <w:color w:val="0000FF"/>
                  <w:sz w:val="20"/>
                  <w:u w:val="single"/>
                </w:rPr>
                <w:t>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31">
              <w:r>
                <w:rPr>
                  <w:rStyle w:val="InternetLink"/>
                  <w:rFonts w:ascii="Times New Roman;sans-serif" w:hAnsi="Times New Roman;sans-serif"/>
                  <w:b w:val="false"/>
                  <w:color w:val="0000FF"/>
                  <w:sz w:val="20"/>
                  <w:u w:val="single"/>
                </w:rPr>
                <w:t>Condensed Consolidated Statements of Cash Flows for the Nine Months Ended September 30, 2023 and 2022</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31">
              <w:r>
                <w:rPr>
                  <w:rStyle w:val="InternetLink"/>
                  <w:rFonts w:ascii="Times New Roman;sans-serif" w:hAnsi="Times New Roman;sans-serif"/>
                  <w:b w:val="false"/>
                  <w:color w:val="0000FF"/>
                  <w:sz w:val="20"/>
                  <w:u w:val="single"/>
                </w:rPr>
                <w:t>9</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34">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37">
              <w:r>
                <w:rPr>
                  <w:rStyle w:val="InternetLink"/>
                  <w:rFonts w:ascii="Times New Roman;sans-serif" w:hAnsi="Times New Roman;sans-serif"/>
                  <w:b w:val="false"/>
                  <w:color w:val="0000FF"/>
                  <w:sz w:val="20"/>
                  <w:u w:val="single"/>
                </w:rPr>
                <w:t>10</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97">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97">
              <w:r>
                <w:rPr>
                  <w:rStyle w:val="InternetLink"/>
                  <w:rFonts w:ascii="Times New Roman;sans-serif" w:hAnsi="Times New Roman;sans-serif"/>
                  <w:b w:val="false"/>
                  <w:color w:val="0000FF"/>
                  <w:sz w:val="20"/>
                  <w:u w:val="single"/>
                </w:rPr>
                <w:t>24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42">
              <w:r>
                <w:rPr>
                  <w:rStyle w:val="InternetLink"/>
                  <w:rFonts w:ascii="Times New Roman;sans-serif" w:hAnsi="Times New Roman;sans-serif"/>
                  <w:b w:val="false"/>
                  <w:color w:val="0000FF"/>
                  <w:sz w:val="20"/>
                  <w:u w:val="single"/>
                </w:rPr>
                <w:t>Item 3. 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42">
              <w:r>
                <w:rPr>
                  <w:rStyle w:val="InternetLink"/>
                  <w:rFonts w:ascii="Times New Roman;sans-serif" w:hAnsi="Times New Roman;sans-serif"/>
                  <w:b w:val="false"/>
                  <w:color w:val="0000FF"/>
                  <w:sz w:val="20"/>
                  <w:u w:val="single"/>
                </w:rPr>
                <w:t>44</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45">
              <w:r>
                <w:rPr>
                  <w:rStyle w:val="InternetLink"/>
                  <w:rFonts w:ascii="Times New Roman;sans-serif" w:hAnsi="Times New Roman;sans-serif"/>
                  <w:b w:val="false"/>
                  <w:color w:val="0000FF"/>
                  <w:sz w:val="20"/>
                  <w:u w:val="single"/>
                </w:rPr>
                <w:t>Item 4. 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45">
              <w:r>
                <w:rPr>
                  <w:rStyle w:val="InternetLink"/>
                  <w:rFonts w:ascii="Times New Roman;sans-serif" w:hAnsi="Times New Roman;sans-serif"/>
                  <w:b w:val="false"/>
                  <w:color w:val="0000FF"/>
                  <w:sz w:val="20"/>
                  <w:u w:val="single"/>
                </w:rPr>
                <w:t>45</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48">
              <w:r>
                <w:rPr>
                  <w:rStyle w:val="InternetLink"/>
                  <w:rFonts w:ascii="Times New Roman;sans-serif" w:hAnsi="Times New Roman;sans-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48">
              <w:r>
                <w:rPr>
                  <w:rStyle w:val="InternetLink"/>
                  <w:rFonts w:ascii="Times New Roman;sans-serif" w:hAnsi="Times New Roman;sans-serif"/>
                  <w:b w:val="false"/>
                  <w:color w:val="0000FF"/>
                  <w:sz w:val="20"/>
                  <w:u w:val="single"/>
                </w:rPr>
                <w:t>46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51">
              <w:r>
                <w:rPr>
                  <w:rStyle w:val="InternetLink"/>
                  <w:rFonts w:ascii="Times New Roman;sans-serif" w:hAnsi="Times New Roman;sans-serif"/>
                  <w:b w:val="false"/>
                  <w:color w:val="0000FF"/>
                  <w:sz w:val="20"/>
                  <w:u w:val="single"/>
                </w:rPr>
                <w:t>Item 1. 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51">
              <w:r>
                <w:rPr>
                  <w:rStyle w:val="InternetLink"/>
                  <w:rFonts w:ascii="Times New Roman;sans-serif" w:hAnsi="Times New Roman;sans-serif"/>
                  <w:b w:val="false"/>
                  <w:color w:val="0000FF"/>
                  <w:sz w:val="20"/>
                  <w:u w:val="single"/>
                </w:rPr>
                <w:t>46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54">
              <w:r>
                <w:rPr>
                  <w:rStyle w:val="InternetLink"/>
                  <w:rFonts w:ascii="Times New Roman;sans-serif" w:hAnsi="Times New Roman;sans-serif"/>
                  <w:b w:val="false"/>
                  <w:color w:val="0000FF"/>
                  <w:sz w:val="20"/>
                  <w:u w:val="single"/>
                </w:rPr>
                <w:t>Item 1A. Risk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54">
              <w:r>
                <w:rPr>
                  <w:rStyle w:val="InternetLink"/>
                  <w:rFonts w:ascii="Times New Roman;sans-serif" w:hAnsi="Times New Roman;sans-serif"/>
                  <w:b w:val="false"/>
                  <w:color w:val="0000FF"/>
                  <w:sz w:val="20"/>
                  <w:u w:val="single"/>
                </w:rPr>
                <w:t>46</w:t>
              </w:r>
            </w:hyperlink>
          </w:p>
        </w:tc>
      </w:tr>
      <w:tr>
        <w:trPr/>
        <w:tc>
          <w:tcPr>
            <w:tcW w:w="9662" w:type="dxa"/>
            <w:gridSpan w:val="3"/>
            <w:tcBorders/>
            <w:vAlign w:val="center"/>
          </w:tcPr>
          <w:p>
            <w:pPr>
              <w:pStyle w:val="TableContents"/>
              <w:bidi w:val="0"/>
              <w:spacing w:before="0" w:after="283"/>
              <w:jc w:val="left"/>
              <w:rPr>
                <w:sz w:val="4"/>
                <w:szCs w:val="4"/>
              </w:rPr>
            </w:pPr>
            <w:r>
              <w:rPr>
                <w:sz w:val="4"/>
                <w:szCs w:val="4"/>
              </w:rPr>
            </w:r>
          </w:p>
        </w:tc>
        <w:tc>
          <w:tcPr>
            <w:tcW w:w="543" w:type="dxa"/>
            <w:gridSpan w:val="3"/>
            <w:tcBorders/>
            <w:vAlign w:val="center"/>
          </w:tcPr>
          <w:p>
            <w:pPr>
              <w:pStyle w:val="TableContents"/>
              <w:bidi w:val="0"/>
              <w:spacing w:before="0" w:after="283"/>
              <w:jc w:val="left"/>
              <w:rPr>
                <w:sz w:val="4"/>
                <w:szCs w:val="4"/>
              </w:rPr>
            </w:pPr>
            <w:r>
              <w:rPr>
                <w:sz w:val="4"/>
                <w:szCs w:val="4"/>
              </w:rPr>
            </w:r>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60">
              <w:r>
                <w:rPr>
                  <w:rStyle w:val="InternetLink"/>
                  <w:rFonts w:ascii="Times New Roman;sans-serif" w:hAnsi="Times New Roman;sans-serif"/>
                  <w:b w:val="false"/>
                  <w:color w:val="0000FF"/>
                  <w:sz w:val="20"/>
                  <w:u w:val="single"/>
                </w:rPr>
                <w:t>Item 5. 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54">
              <w:r>
                <w:rPr>
                  <w:rStyle w:val="InternetLink"/>
                  <w:rFonts w:ascii="Times New Roman;sans-serif" w:hAnsi="Times New Roman;sans-serif"/>
                  <w:b w:val="false"/>
                  <w:color w:val="0000FF"/>
                  <w:sz w:val="20"/>
                  <w:u w:val="single"/>
                </w:rPr>
                <w:t>46</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63">
              <w:r>
                <w:rPr>
                  <w:rStyle w:val="InternetLink"/>
                  <w:rFonts w:ascii="Times New Roman;sans-serif" w:hAnsi="Times New Roman;sans-serif"/>
                  <w:b w:val="false"/>
                  <w:color w:val="0000FF"/>
                  <w:sz w:val="20"/>
                  <w:u w:val="single"/>
                </w:rPr>
                <w:t>Item 6. 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63">
              <w:r>
                <w:rPr>
                  <w:rStyle w:val="InternetLink"/>
                  <w:rFonts w:ascii="Times New Roman;sans-serif" w:hAnsi="Times New Roman;sans-serif"/>
                  <w:b w:val="false"/>
                  <w:color w:val="0000FF"/>
                  <w:sz w:val="20"/>
                  <w:u w:val="single"/>
                </w:rPr>
                <w:t>47</w:t>
              </w:r>
            </w:hyperlink>
          </w:p>
        </w:tc>
      </w:tr>
      <w:tr>
        <w:trPr/>
        <w:tc>
          <w:tcPr>
            <w:tcW w:w="96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651d5a1275754f5a8817d0e5a36b4b96_166">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651d5a1275754f5a8817d0e5a36b4b96_166">
              <w:r>
                <w:rPr>
                  <w:rStyle w:val="InternetLink"/>
                  <w:rFonts w:ascii="Times New Roman;sans-serif" w:hAnsi="Times New Roman;sans-serif"/>
                  <w:b w:val="false"/>
                  <w:color w:val="0000FF"/>
                  <w:sz w:val="20"/>
                  <w:u w:val="single"/>
                </w:rPr>
                <w:t>48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left"/>
        <w:rPr>
          <w:rFonts w:ascii="Times New Roman;sans-serif" w:hAnsi="Times New Roman;sans-serif"/>
          <w:b/>
          <w:color w:val="000000"/>
          <w:sz w:val="20"/>
        </w:rPr>
      </w:pPr>
      <w:r>
        <w:rPr>
          <w:rFonts w:ascii="Times New Roman;sans-serif" w:hAnsi="Times New Roman;sans-serif"/>
          <w:b/>
          <w:color w:val="000000"/>
          <w:sz w:val="20"/>
        </w:rPr>
        <w:t>Item 1. Financial Statements —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par value and share data)</w:t>
      </w:r>
    </w:p>
    <w:tbl>
      <w:tblPr>
        <w:tblW w:w="10205" w:type="dxa"/>
        <w:jc w:val="left"/>
        <w:tblInd w:w="0" w:type="dxa"/>
        <w:tblLayout w:type="fixed"/>
        <w:tblCellMar>
          <w:top w:w="28" w:type="dxa"/>
          <w:left w:w="28" w:type="dxa"/>
          <w:bottom w:w="28" w:type="dxa"/>
          <w:right w:w="28" w:type="dxa"/>
        </w:tblCellMar>
      </w:tblPr>
      <w:tblGrid>
        <w:gridCol w:w="2775"/>
        <w:gridCol w:w="2342"/>
        <w:gridCol w:w="2363"/>
        <w:gridCol w:w="196"/>
        <w:gridCol w:w="871"/>
        <w:gridCol w:w="109"/>
        <w:gridCol w:w="109"/>
        <w:gridCol w:w="109"/>
        <w:gridCol w:w="109"/>
        <w:gridCol w:w="196"/>
        <w:gridCol w:w="871"/>
        <w:gridCol w:w="155"/>
      </w:tblGrid>
      <w:tr>
        <w:trPr/>
        <w:tc>
          <w:tcPr>
            <w:tcW w:w="277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assets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505,179 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42,151 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revenues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224,860 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Joint interest billings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48,011 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15,184 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51,570 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assets</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711,375 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1,071,832 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Property and equipment, at cost</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Oil and natural gas properties, full-cost method</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Evaluated</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9,291,696 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6,862,455 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Unproved and unevaluated</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1,143,769 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977,502 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properties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1,057,668 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property and equipment</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32,847 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Less accumulated depletion, depreciation and amortization</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(5,008,909)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(4,512,275)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property and equipment</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6,675,938 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4,418,197 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Other long-term assets </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51,850 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64,476 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7,439,163 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5,554,505 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LIABILITIES AND SHAREHOLDERS’ EQUITY</w:t>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liabilities</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58,848 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367,200 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261,310 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117,698 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Amounts due to affiliates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32,803 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Derivative instruments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52,357 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current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52,857 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current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722,327 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575,873 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liabilities</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Senior unsecured notes payable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1,183,673 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695,245 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Asset retirement obligations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52,985 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428,351 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19,960 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long-term liabilities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2,841,538 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1,661,541 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Commitments and contingencies (Note 10)</w:t>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Shareholders’ equity</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 xml:space="preserve">Common stock - $0.01 par value, 160,000,000 shares authorized; 119,277,669 and 118,953,381 shares issued; </w:t>
            </w:r>
          </w:p>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6"/>
              </w:rPr>
              <w:t>and 119,145,818 and 118,948,624 shares outstanding, respectively</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Additional paid-in capital</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Retained earnings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Treasury stock, at cost, 131,851 and 4,757 shares, respectively</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Matador Resources Company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3,662,724 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Non-controlling interest in subsidiaries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shareholders’ equity</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3,875,298 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liabilities and shareholders’ equity</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7,439,163 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5,554,505 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531745"/>
                <wp:effectExtent l="0" t="0" r="0" b="0"/>
                <wp:wrapNone/>
                <wp:docPr id="3" name="Frame3"/>
                <a:graphic xmlns:a="http://schemas.openxmlformats.org/drawingml/2006/main">
                  <a:graphicData uri="http://schemas.microsoft.com/office/word/2010/wordprocessingShape">
                    <wps:wsp>
                      <wps:cNvSpPr txBox="1"/>
                      <wps:spPr>
                        <a:xfrm>
                          <a:off x="0" y="0"/>
                          <a:ext cx="6480175" cy="2531745"/>
                        </a:xfrm>
                        <a:prstGeom prst="rect"/>
                        <a:solidFill>
                          <a:srgbClr val="FFFFFF"/>
                        </a:solidFill>
                      </wps:spPr>
                      <wps:txb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9.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before="180" w:after="283"/>
                        <w:jc w:val="center"/>
                        <w:rPr/>
                      </w:pPr>
                      <w:r>
                        <w:rPr/>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663"/>
        <w:gridCol w:w="1311"/>
        <w:gridCol w:w="132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663"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2,350,550 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Production taxes, transportation and processing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962,980 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1,387,570 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1,332,837 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960,414 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common share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119,867 </w:t>
            </w:r>
          </w:p>
        </w:tc>
        <w:tc>
          <w:tcPr>
            <w:tcW w:w="1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4685"/>
                <wp:effectExtent l="0" t="0" r="0" b="0"/>
                <wp:wrapNone/>
                <wp:docPr id="4" name="Frame4"/>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lineRule="auto" w:line="288" w:before="180" w:after="283"/>
        <w:jc w:val="center"/>
        <w:rPr/>
      </w:pPr>
      <w:r>
        <w:rPr>
          <w:rFonts w:ascii="Times New Roman;sans-serif" w:hAnsi="Times New Roman;sans-serif"/>
          <w:b/>
          <w:color w:val="000000"/>
          <w:sz w:val="20"/>
        </w:rPr>
        <w:t>For the Three and Nine Months Ended September 30, 2023</w:t>
      </w:r>
      <w:r>
        <w:rPr>
          <w:color w:val="000000"/>
        </w:rPr>
        <w:t xml:space="preserve"> </w:t>
      </w:r>
    </w:p>
    <w:tbl>
      <w:tblPr>
        <w:tblW w:w="14896" w:type="dxa"/>
        <w:jc w:val="left"/>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118,953 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2,101,999 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3,110,797 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3,317,091 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(17,590)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$3.1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(19,110)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15,794 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178,924 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2023</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119,232 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2,099,926 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1,153,004 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3,252,852 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202,978 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3,455,830 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(17,917)</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Issuance of common stock pursuant to directors’ and advisors’ </w:t>
              <w:br/>
              <w:t>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(25,333)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12,429 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177,095 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1,299,753 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3,402,856 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4685"/>
                <wp:effectExtent l="0" t="0" r="0" b="0"/>
                <wp:wrapNone/>
                <wp:docPr id="5" name="Frame5"/>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2023</w:t>
      </w:r>
    </w:p>
    <w:tbl>
      <w:tblPr>
        <w:tblW w:w="14896" w:type="dxa"/>
        <w:jc w:val="center"/>
        <w:tblInd w:w="0" w:type="dxa"/>
        <w:tblLayout w:type="fixed"/>
        <w:tblCellMar>
          <w:top w:w="28" w:type="dxa"/>
          <w:left w:w="28" w:type="dxa"/>
          <w:bottom w:w="28" w:type="dxa"/>
          <w:right w:w="28" w:type="dxa"/>
        </w:tblCellMar>
      </w:tblPr>
      <w:tblGrid>
        <w:gridCol w:w="1345"/>
        <w:gridCol w:w="220"/>
        <w:gridCol w:w="221"/>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871"/>
        <w:gridCol w:w="109"/>
        <w:gridCol w:w="109"/>
        <w:gridCol w:w="109"/>
        <w:gridCol w:w="109"/>
        <w:gridCol w:w="210"/>
        <w:gridCol w:w="211"/>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July 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2,106,987 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1,299,753 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3,402,856 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214,574 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3,617,430 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(17,780)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 and employee stock purchases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$1.9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263,739 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14,660 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278,399 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119,277 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2,120,896 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1,545,712 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3,662,724 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212,574 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3,875,298 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4685"/>
                <wp:effectExtent l="0" t="0" r="0" b="0"/>
                <wp:wrapNone/>
                <wp:docPr id="6" name="Frame6"/>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2022</w:t>
      </w:r>
    </w:p>
    <w:tbl>
      <w:tblPr>
        <w:tblW w:w="14761" w:type="dxa"/>
        <w:jc w:val="center"/>
        <w:tblInd w:w="0" w:type="dxa"/>
        <w:tblLayout w:type="fixed"/>
        <w:tblCellMar>
          <w:top w:w="28" w:type="dxa"/>
          <w:left w:w="28" w:type="dxa"/>
          <w:bottom w:w="28" w:type="dxa"/>
          <w:right w:w="28" w:type="dxa"/>
        </w:tblCellMar>
      </w:tblPr>
      <w:tblGrid>
        <w:gridCol w:w="1202"/>
        <w:gridCol w:w="291"/>
        <w:gridCol w:w="293"/>
        <w:gridCol w:w="368"/>
        <w:gridCol w:w="368"/>
        <w:gridCol w:w="196"/>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751"/>
        <w:gridCol w:w="109"/>
        <w:gridCol w:w="109"/>
        <w:gridCol w:w="109"/>
        <w:gridCol w:w="109"/>
        <w:gridCol w:w="203"/>
        <w:gridCol w:w="203"/>
        <w:gridCol w:w="196"/>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54"/>
      </w:tblGrid>
      <w:tr>
        <w:trPr/>
        <w:tc>
          <w:tcPr>
            <w:tcW w:w="120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shareholders’ equity attributable to Matador Resources Company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 (accumulated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January 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117,862 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2,077,592 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(171,318)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1,907,210 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220,178 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2,127,388 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($0.05 per share)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 related to formation of San Mateo, net of tax of $4.8 million (see Note 7)</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17,973 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17,061 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224,185 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March 31, 2022</w:t>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118,091 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2,087,788 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2,118,600 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218,864 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2,337,464 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($0.05 per share)</w:t>
            </w:r>
          </w:p>
        </w:tc>
        <w:tc>
          <w:tcPr>
            <w:tcW w:w="73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director' and advisors' compensation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(26,460)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20,477 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436,195 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June 30, 2022</w:t>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118,201 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2,090,564 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2,529,170 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212,881 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2,742,051 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4685"/>
                <wp:effectExtent l="0" t="0" r="0" b="0"/>
                <wp:wrapNone/>
                <wp:docPr id="7" name="Frame7"/>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SHAREHOLDERS’ EQUITY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and Nine Months Ended September 30, 2022</w:t>
      </w:r>
    </w:p>
    <w:tbl>
      <w:tblPr>
        <w:tblW w:w="14998" w:type="dxa"/>
        <w:jc w:val="center"/>
        <w:tblInd w:w="0" w:type="dxa"/>
        <w:tblLayout w:type="fixed"/>
        <w:tblCellMar>
          <w:top w:w="28" w:type="dxa"/>
          <w:left w:w="28" w:type="dxa"/>
          <w:bottom w:w="28" w:type="dxa"/>
          <w:right w:w="28" w:type="dxa"/>
        </w:tblCellMar>
      </w:tblPr>
      <w:tblGrid>
        <w:gridCol w:w="1345"/>
        <w:gridCol w:w="220"/>
        <w:gridCol w:w="221"/>
        <w:gridCol w:w="196"/>
        <w:gridCol w:w="736"/>
        <w:gridCol w:w="109"/>
        <w:gridCol w:w="109"/>
        <w:gridCol w:w="109"/>
        <w:gridCol w:w="109"/>
        <w:gridCol w:w="196"/>
        <w:gridCol w:w="556"/>
        <w:gridCol w:w="109"/>
        <w:gridCol w:w="109"/>
        <w:gridCol w:w="109"/>
        <w:gridCol w:w="109"/>
        <w:gridCol w:w="109"/>
        <w:gridCol w:w="109"/>
        <w:gridCol w:w="871"/>
        <w:gridCol w:w="109"/>
        <w:gridCol w:w="196"/>
        <w:gridCol w:w="871"/>
        <w:gridCol w:w="109"/>
        <w:gridCol w:w="109"/>
        <w:gridCol w:w="109"/>
        <w:gridCol w:w="109"/>
        <w:gridCol w:w="196"/>
        <w:gridCol w:w="736"/>
        <w:gridCol w:w="109"/>
        <w:gridCol w:w="109"/>
        <w:gridCol w:w="109"/>
        <w:gridCol w:w="109"/>
        <w:gridCol w:w="196"/>
        <w:gridCol w:w="331"/>
        <w:gridCol w:w="109"/>
        <w:gridCol w:w="109"/>
        <w:gridCol w:w="109"/>
        <w:gridCol w:w="109"/>
        <w:gridCol w:w="196"/>
        <w:gridCol w:w="571"/>
        <w:gridCol w:w="109"/>
        <w:gridCol w:w="109"/>
        <w:gridCol w:w="109"/>
        <w:gridCol w:w="109"/>
        <w:gridCol w:w="196"/>
        <w:gridCol w:w="871"/>
        <w:gridCol w:w="109"/>
        <w:gridCol w:w="109"/>
        <w:gridCol w:w="109"/>
        <w:gridCol w:w="109"/>
        <w:gridCol w:w="237"/>
        <w:gridCol w:w="891"/>
        <w:gridCol w:w="133"/>
        <w:gridCol w:w="109"/>
        <w:gridCol w:w="109"/>
        <w:gridCol w:w="109"/>
        <w:gridCol w:w="196"/>
        <w:gridCol w:w="871"/>
        <w:gridCol w:w="109"/>
        <w:gridCol w:w="154"/>
      </w:tblGrid>
      <w:tr>
        <w:trPr/>
        <w:tc>
          <w:tcPr>
            <w:tcW w:w="134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 attributable to Matador Resources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 in subsidiaries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shareholders’ equity</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 capital</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July 1, 2022</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2,090,564 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439,780 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2,529,170 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212,881 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2,742,051 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Dividends declared ($0.10 per share)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pursuant to employee stock compensation plan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 related to equity-based awards including amounts capitalized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 options exercised, net of options forfeited in net share settlements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forfeited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Current period net income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Balance at September 30, 2022</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118,248 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2,094,611 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765,602 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2,858,811 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206,797 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3,065,608 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6"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654685"/>
                <wp:effectExtent l="0" t="0" r="0" b="0"/>
                <wp:wrapNone/>
                <wp:docPr id="8" name="Frame8"/>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6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 — UNAUDITED</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w:t>
      </w:r>
    </w:p>
    <w:tbl>
      <w:tblPr>
        <w:tblW w:w="9239" w:type="dxa"/>
        <w:jc w:val="left"/>
        <w:tblInd w:w="0" w:type="dxa"/>
        <w:tblLayout w:type="fixed"/>
        <w:tblCellMar>
          <w:top w:w="28" w:type="dxa"/>
          <w:left w:w="28" w:type="dxa"/>
          <w:bottom w:w="28" w:type="dxa"/>
          <w:right w:w="28" w:type="dxa"/>
        </w:tblCellMar>
      </w:tblPr>
      <w:tblGrid>
        <w:gridCol w:w="2327"/>
        <w:gridCol w:w="2044"/>
        <w:gridCol w:w="2048"/>
        <w:gridCol w:w="198"/>
        <w:gridCol w:w="747"/>
        <w:gridCol w:w="109"/>
        <w:gridCol w:w="109"/>
        <w:gridCol w:w="109"/>
        <w:gridCol w:w="109"/>
        <w:gridCol w:w="196"/>
        <w:gridCol w:w="871"/>
        <w:gridCol w:w="109"/>
        <w:gridCol w:w="109"/>
        <w:gridCol w:w="154"/>
      </w:tblGrid>
      <w:tr>
        <w:trPr/>
        <w:tc>
          <w:tcPr>
            <w:tcW w:w="2327" w:type="dxa"/>
            <w:tcBorders/>
            <w:vAlign w:val="center"/>
          </w:tcPr>
          <w:p>
            <w:pPr>
              <w:pStyle w:val="TableContents"/>
              <w:bidi w:val="0"/>
              <w:spacing w:before="0" w:after="283"/>
              <w:jc w:val="left"/>
              <w:rPr>
                <w:sz w:val="4"/>
                <w:szCs w:val="4"/>
              </w:rPr>
            </w:pPr>
            <w:r>
              <w:rPr>
                <w:sz w:val="4"/>
                <w:szCs w:val="4"/>
              </w:rPr>
            </w:r>
          </w:p>
        </w:tc>
        <w:tc>
          <w:tcPr>
            <w:tcW w:w="2044"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activities</w:t>
            </w:r>
          </w:p>
        </w:tc>
        <w:tc>
          <w:tcPr>
            <w:tcW w:w="10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634,418 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income to net cash provided by operating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loss on derivatives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Depletion, depreciation and amortization</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334,747 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asset retirement obligations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expense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income tax provision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 and other debt-related costs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non-cash changes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(170,101)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Lease and well equipment inventory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(41,817)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 accrued liabilities and other current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Royalties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Advances from joint interest owners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taxes payable</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1,532,216 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Investing activities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Drilling, completion and equipping capital expenditures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(855,468)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(545,453)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Advance</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(1,608,427)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oil and natural gas properties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Midstream capital expenditures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(75,609)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(51,413)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Acquisition of midstream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(75,816)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Expenditures for other property and equipment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assets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investing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(2,662,324)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(761,120)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Financing activities</w:t>
            </w:r>
          </w:p>
        </w:tc>
        <w:tc>
          <w:tcPr>
            <w:tcW w:w="1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Credit Agreement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(2,622,000)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Credit Agreement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Repayments of borrowings under San Mateo Credit Facility</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under San Mateo Credit Facility</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amend credit facilities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issuance of senior unsecured notes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494,800 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to issue senior unsecured notes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Dividends paid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(53,465)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(23,494)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related to formation of San Mateo</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Contributions from non-controlling interest owners of less-than-wholly-owned subsidiaries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to non-controlling interest owners of less-than-wholly-owned subsidiaries</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Taxes paid related to net share settlement of stock-based compensation</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927,687 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(416,296)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cash and restricted cash</w:t>
            </w:r>
          </w:p>
        </w:tc>
        <w:tc>
          <w:tcPr>
            <w:tcW w:w="9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354,800 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beginning of period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restricted cash at end of period</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62,174 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441,720 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disclosures of cash flow information (Note 11)</w:t>
            </w:r>
          </w:p>
        </w:tc>
        <w:tc>
          <w:tcPr>
            <w:tcW w:w="1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654685"/>
                <wp:effectExtent l="0" t="0" r="0" b="0"/>
                <wp:wrapNone/>
                <wp:docPr id="9" name="Frame9"/>
                <a:graphic xmlns:a="http://schemas.openxmlformats.org/drawingml/2006/main">
                  <a:graphicData uri="http://schemas.microsoft.com/office/word/2010/wordprocessingShape">
                    <wps:wsp>
                      <wps:cNvSpPr txBox="1"/>
                      <wps:spPr>
                        <a:xfrm>
                          <a:off x="0" y="0"/>
                          <a:ext cx="6480175" cy="654685"/>
                        </a:xfrm>
                        <a:prstGeom prst="rect"/>
                        <a:solidFill>
                          <a:srgbClr val="FFFFFF"/>
                        </a:solidFill>
                      </wps:spPr>
                      <wps:txb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financial statements.</w:t>
                      </w:r>
                    </w:p>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 — NATURE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 Resources Company, a Texas corporation (“Matador” and, collectively with its subsidiaries, the “Company”), is an independent energy company engaged in the exploration, development, production and acquisition of oil and natural gas resources in the United States, with an emphasis on oil and natural gas shale and other unconventional plays. The Company’s current operations are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Additionally, the Company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Interim Financial Statements, Basis of Presentation, Consolidation and Significant Estimates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The interim unaudited condensed consolidated financial statements of the Company have been prepared in accordance with the rules and regulations of the Securities and Exchange Commission (“SEC”) but do not include all of the information and footnotes required by generally accepted accounting principles in the United States of America (“U.S. GAAP”) for complete financial statements and should be read in conjunction with the Company’s audited consolidated financial statements and notes thereto included in the Company’s Annual Report on Form 10-K for the year ended December 31, 2022 filed with the SEC on March 1, 2023 (the “Annual Report”). The Company consolidates certain subsidiaries and joint ventures that are less than wholly-owned and are not involved in oil and natural gas exploration, including its midstream joint venture, San Mateo Midstream, LLC (collectively with its subsidiaries, “San Mateo”), and the net income and equity attributable to the non-controlling interest in these subsidiaries have been reported separately as required by Accounting Standards Codification, </w:t>
      </w:r>
      <w:r>
        <w:rPr>
          <w:rFonts w:ascii="Times New Roman;sans-serif" w:hAnsi="Times New Roman;sans-serif"/>
          <w:b w:val="false"/>
          <w:i/>
          <w:color w:val="000000"/>
          <w:sz w:val="20"/>
        </w:rPr>
        <w:t>Consolidation (Topic 810)</w:t>
      </w:r>
      <w:r>
        <w:rPr>
          <w:rFonts w:ascii="Times New Roman;sans-serif" w:hAnsi="Times New Roman;sans-serif"/>
          <w:b w:val="false"/>
          <w:color w:val="000000"/>
          <w:sz w:val="20"/>
        </w:rPr>
        <w:t xml:space="preserve">. The Company proportionately consolidates certain joint ventures that are less than wholly-owned and are involved in oil and natural gas exploration. All intercompany accounts and transactions have been eliminated in consolidation. In management’s opinion, these interim unaudited condensed consolidated financial statements include all normal, recurring adjustments that are necessary for a fair presentation of the Company’s interim unaudited condensed consolidated financial statements as of September 30, 2023. Amounts as of December 31, 2022 are derived from the Company’s audited consolidated financial statements included in the Annual Report.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U.S. GAAP requires management to make estimates and assumptions that affect the amounts reported in the financial statements and accompanying notes. These estimates and assumptions may also affect disclosure of contingent assets and liabilities at the date of the financial statements and the reported amounts of revenues and expenses during the reporting period. The Company’s interim unaudited condensed consolidated financial statements are based on a number of significant estimates, including oil and natural gas revenues, accrued assets and liabilities, stock-based compensation, valuation of derivative instruments, deferred tax assets and liabilities, purchase price allocations and oil and natural gas reserves. The estimates of oil and natural gas reserves quantities and future net cash flows are the basis for the calculations of depletion and impairment of oil and natural gas properties, as well as estimates of asset retirement obligations and certain tax accruals. While the Company believes its estimates are reasonable, changes in facts and assumptions or the discovery of new information may result in revised estimates. Actual results could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revenues and revenues from contracts with customers on a disaggregated basis for the three and nine months ended September 30, 2023 and 2022 (in thousands).</w:t>
      </w:r>
    </w:p>
    <w:tbl>
      <w:tblPr>
        <w:tblW w:w="9285" w:type="dxa"/>
        <w:jc w:val="left"/>
        <w:tblInd w:w="0" w:type="dxa"/>
        <w:tblLayout w:type="fixed"/>
        <w:tblCellMar>
          <w:top w:w="28" w:type="dxa"/>
          <w:left w:w="28" w:type="dxa"/>
          <w:bottom w:w="28" w:type="dxa"/>
          <w:right w:w="28" w:type="dxa"/>
        </w:tblCellMar>
      </w:tblPr>
      <w:tblGrid>
        <w:gridCol w:w="1222"/>
        <w:gridCol w:w="1073"/>
        <w:gridCol w:w="1080"/>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222"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2,491,917 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9689" w:type="dxa"/>
        <w:jc w:val="left"/>
        <w:tblInd w:w="0" w:type="dxa"/>
        <w:tblLayout w:type="fixed"/>
        <w:tblCellMar>
          <w:top w:w="28" w:type="dxa"/>
          <w:left w:w="28" w:type="dxa"/>
          <w:bottom w:w="28" w:type="dxa"/>
          <w:right w:w="28" w:type="dxa"/>
        </w:tblCellMar>
      </w:tblPr>
      <w:tblGrid>
        <w:gridCol w:w="1368"/>
        <w:gridCol w:w="1204"/>
        <w:gridCol w:w="1207"/>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6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37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1,500,511 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 from contracts with customers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771,787 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854,094 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2,491,917 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Property and Equipment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the full-cost method of accounting for its investments in oil and natural gas properties. Under this method, the Company is required to perform a ceiling test each quarter that determines a limit, or ceiling, on the capitalized costs of oil and natural gas properties based primarily on the after-tax estimated future net cash flows from oil and natural gas properties using a 10% discount rate and the arithmetic average of first-day-of-the-month oil and natural gas prices for the prior 12-month period. For each of the three and nine months ended September 30, 2023 and 2022, the cost center ceiling was higher than the capitalized costs of oil and natural gas properties, and, as a result, no impairment charge was necessary.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capitalized approximately $14.4 million and $11.4 million of its general and administrative costs for the three months ended September 30, 2023 and 2022, respectively, and $41.4 million and $35.0 million of its general and administrative costs for the nine months ended September 30, 2023 and 2022, respectively. The Company capitalized approximately $7.4 million and $3.0 million of its interest expense for the three months ended September 30, 2023 and 2022, respectively, and $16.1 million and $7.4 million of its interest expense for the nine months ended September 30, 2023 and 2022, respectively.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Earnings Per Common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reports basic earnings attributable to Matador shareholders per common share, which excludes the effect of potentially dilutive securities, and diluted earnings attributable to Matador shareholders per common share, which includes the effect of all potentially dilutive securities unless their impact is anti-dilutive.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2 — SUMMARY OF SIGNIFICANT ACCOUNTING POLICIES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diluted weighted average common shares outstanding for the three and nine months ended September 30, 2023 and 2022 (in thousands).</w:t>
      </w:r>
    </w:p>
    <w:tbl>
      <w:tblPr>
        <w:tblW w:w="10205" w:type="dxa"/>
        <w:jc w:val="left"/>
        <w:tblInd w:w="0" w:type="dxa"/>
        <w:tblLayout w:type="fixed"/>
        <w:tblCellMar>
          <w:top w:w="28" w:type="dxa"/>
          <w:left w:w="28" w:type="dxa"/>
          <w:bottom w:w="28" w:type="dxa"/>
          <w:right w:w="28" w:type="dxa"/>
        </w:tblCellMar>
      </w:tblPr>
      <w:tblGrid>
        <w:gridCol w:w="1618"/>
        <w:gridCol w:w="1422"/>
        <w:gridCol w:w="1425"/>
        <w:gridCol w:w="419"/>
        <w:gridCol w:w="407"/>
        <w:gridCol w:w="208"/>
        <w:gridCol w:w="208"/>
        <w:gridCol w:w="208"/>
        <w:gridCol w:w="208"/>
        <w:gridCol w:w="427"/>
        <w:gridCol w:w="399"/>
        <w:gridCol w:w="222"/>
        <w:gridCol w:w="109"/>
        <w:gridCol w:w="109"/>
        <w:gridCol w:w="109"/>
        <w:gridCol w:w="413"/>
        <w:gridCol w:w="413"/>
        <w:gridCol w:w="192"/>
        <w:gridCol w:w="191"/>
        <w:gridCol w:w="191"/>
        <w:gridCol w:w="191"/>
        <w:gridCol w:w="413"/>
        <w:gridCol w:w="413"/>
        <w:gridCol w:w="290"/>
      </w:tblGrid>
      <w:tr>
        <w:trPr/>
        <w:tc>
          <w:tcPr>
            <w:tcW w:w="1618"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44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465" w:type="dxa"/>
            <w:gridSpan w:val="3"/>
            <w:vMerge w:val="continue"/>
            <w:tcBorders/>
            <w:tcMar>
              <w:top w:w="0" w:type="dxa"/>
              <w:left w:w="0" w:type="dxa"/>
              <w:bottom w:w="0" w:type="dxa"/>
              <w:right w:w="0" w:type="dxa"/>
            </w:tcMar>
            <w:vAlign w:val="center"/>
          </w:tcPr>
          <w:p>
            <w:pPr>
              <w:pStyle w:val="Normal"/>
              <w:bidi w:val="0"/>
              <w:jc w:val="left"/>
              <w:rPr/>
            </w:pPr>
            <w:r>
              <w:rPr/>
            </w:r>
          </w:p>
        </w:tc>
        <w:tc>
          <w:tcPr>
            <w:tcW w:w="10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6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w:t>
            </w:r>
          </w:p>
        </w:tc>
        <w:tc>
          <w:tcPr>
            <w:tcW w:w="1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119,147 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118,136 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119,121 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118,063 </w:t>
            </w:r>
          </w:p>
        </w:tc>
        <w:tc>
          <w:tcPr>
            <w:tcW w:w="2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options and restricted stock units</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2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weighted average common shares outstanding </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120,081 </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119,850 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120,045 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119,867 </w:t>
            </w:r>
          </w:p>
        </w:tc>
        <w:tc>
          <w:tcPr>
            <w:tcW w:w="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w:t>
      </w:r>
    </w:p>
    <w:p>
      <w:pPr>
        <w:pStyle w:val="TextBody"/>
        <w:bidi w:val="0"/>
        <w:spacing w:before="0" w:after="0"/>
        <w:ind w:left="0" w:right="0" w:firstLine="450"/>
        <w:jc w:val="left"/>
        <w:rPr/>
      </w:pPr>
      <w:r>
        <w:rPr/>
      </w:r>
    </w:p>
    <w:p>
      <w:pPr>
        <w:pStyle w:val="TextBody"/>
        <w:bidi w:val="0"/>
        <w:spacing w:lineRule="auto" w:line="288" w:before="0" w:after="0"/>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12, 2023, a wholly-owned subsidiary of the Company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“Advance Acquisition”). The Advance Acquisition had an effective date of January 1, 2023 and an aggregate purchase price consisting of (i) an amount in cash equal to approximately $1.60 billion (which amount is subject to certain customary post-closing adjustments) (the “Cash Consideration”) and (ii) potential additional cash consideration of $7.5 million for each month of 2023 in which the average oil price (as defined in the securities purchase agreement) exceeds $85 per barrel (all such payments for the 12 months in 2023, the “Contingent Consideration”). The Cash Consideration was paid upon the closing of the Advance Acquisition and was funded by a combination of cash on hand and borrowings under the Company’s reserves-based revolving credit facility (the “Credit Agreement”). In October 2023, the Company paid $7.5 million of the Contingent Consideration, as the average oil price for the month of September 2023 exceeded $85 per barrel.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Advance Acquisition was accounted for under the acquisition method of accounting as a business combination in accordance with Accounting Standards Codification Topic 805, Business Combinations (“ASC Topic 805”). Under ASC Topic 805, the purchase price is allocated to the underlying tangible and intangible assets acquired and liabilities assumed based upon their estimated fair values as of the respective acquisition date, with any excess purchase price allocated to goodwill. As the Company acquired 100% of the membership interests of Advance, the acquisition was treated as an asset acquisition for tax purposes. </w:t>
      </w:r>
    </w:p>
    <w:p>
      <w:pPr>
        <w:pStyle w:val="TextBody"/>
        <w:bidi w:val="0"/>
        <w:spacing w:lineRule="auto" w:line="288" w:before="2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recorded the Contingent Consideration at fair value on the date of the business combination and will record the change in the fair value in future periods as “Other (expense) income” in its unaudited condensed consolidated statements of operations. The fair value of the Contingent Consideration was $21.2 million at April 12, 2023. The change in fair value of the Contingent Consideration included in “Other (expense) income” during the three and nine months ended September 30, 2023 was an expense of $15.7 million and income of $0.2 million, respectively. The Company made no cash payments related to the Contingent Consideration during the three and nine months ended September 30, 2023. The estimated fair value of the remaining payments of the Contingent Consideration for the fourth quarter was $13.5 million as of September 30, 2023. The Company used the Monte Carlo simulation method to measure the fair value of the Contingent Consideration, which has unobservable inputs and is thus classified at Level 3 in the fair value hierarchy (see Note 9 for discussion of the fair value hierarchy).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preliminary allocation of the total purchase price for the Advance Acquisition is set forth below (in thousands). The Company anticipates that the allocation of the purchase price should be finalized during 2023 upon determination of the final purchase price adjustments. </w:t>
      </w:r>
    </w:p>
    <w:tbl>
      <w:tblPr>
        <w:tblW w:w="6080" w:type="dxa"/>
        <w:jc w:val="left"/>
        <w:tblInd w:w="0" w:type="dxa"/>
        <w:tblLayout w:type="fixed"/>
        <w:tblCellMar>
          <w:top w:w="28" w:type="dxa"/>
          <w:left w:w="28" w:type="dxa"/>
          <w:bottom w:w="28" w:type="dxa"/>
          <w:right w:w="28" w:type="dxa"/>
        </w:tblCellMar>
      </w:tblPr>
      <w:tblGrid>
        <w:gridCol w:w="1715"/>
        <w:gridCol w:w="1510"/>
        <w:gridCol w:w="1514"/>
        <w:gridCol w:w="211"/>
        <w:gridCol w:w="976"/>
        <w:gridCol w:w="154"/>
      </w:tblGrid>
      <w:tr>
        <w:trPr/>
        <w:tc>
          <w:tcPr>
            <w:tcW w:w="1715"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15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 xml:space="preserve">Consideration </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Allocation</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1,595,387 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Working capital adjustments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Contingent Consideration at April 12, 2023</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21,151</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consideration given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Allocation of purchase price</w:t>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properties</w:t>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1,363,470</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Unproved and unevaluated</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189,087</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assets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63,644</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(72,889)</w:t>
            </w:r>
          </w:p>
        </w:tc>
      </w:tr>
      <w:tr>
        <w:trPr/>
        <w:tc>
          <w:tcPr>
            <w:tcW w:w="4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13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w:t>
            </w:r>
          </w:p>
        </w:tc>
      </w:tr>
      <w:tr>
        <w:trPr/>
        <w:tc>
          <w:tcPr>
            <w:tcW w:w="4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assets acquired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1,611,692 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measurements of assets acquired and liabilities assumed are based on inputs that are not observable in the market and therefore represent Level 3 inputs. The fair value of oil and gas properties and asset retirement obligations were measured using the discounted cash flow technique of valuation.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Significant inputs to the valuation of oil and gas properties include estimates of: (i) reserves, (ii) future operating and development costs, (iii) future commodity prices, (iv) future plugging and abandonment costs, (v) estimated future cash flows, (vi) recent market comparable transactions for unproved acreage and (vii) a market-based weighted average cost of capital rate. These inputs require significant judgments and estimates and are the most sensitive and subject to change.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for the Advance Acquisition since the closing date have been included in the Company’s condensed consolidated financial statements for the three and nine months ended September 30, 2023. The oil and natural gas production from Advance increased the Company’s revenues and net income for the period from April 12, 2023 through September 30, 2023 by $222.4 million and $120.3 million, respectively. </w:t>
      </w:r>
    </w:p>
    <w:p>
      <w:pPr>
        <w:pStyle w:val="TextBody"/>
        <w:bidi w:val="0"/>
        <w:spacing w:lineRule="auto" w:line="276"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Pro Forma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unaudited pro forma financial information represents a summary of the condensed consolidated results of operations for the three and nine months ended September 30, 2023 and 2022, assuming the Advance Acquisition had been completed as of January 1, 2022. The pro forma financial information is provided for illustrative purposes only and does not purport to represent what the actual consolidated results of operations or the consolidated financial position of the Company would have been had the Advance Acquisition occurred on the dates noted above, nor is it necessarily indicative of the future results of operations or consolidated financial position of the Company. Future results may vary significantly from the results reflected because of various factors.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3 — BUSINESS COMBINATIONS — Continued</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below reflects certain nonrecurring pro forma adjustments that were directly related to the business combination based on currently available information and certain estimates and assumptions that the Company believes provide a reasonable basis for presenting the significant effects of the Advance Acquisition, including (i) the increase in depletion reflecting the relative fair values and production volumes attributable to Advance’s properties and the revision to the depletion rate reflecting the reserve volumes acquired, (ii) adjustments to interest expense as a result of the incremental borrowings necessary to finance the Advance Acquisition and (iii) the estimated tax impacts of the pro-forma adjustments. The pro forma financial information does not reflect the benefits of projected synergies, potential cost savings or the costs that may be necessary to achieve such savings, opportunities to increase revenue generation or other factors that may result from the Advance Acquisition and, accordingly, does not attempt to predict or suggest future results. Management cannot identify the timing, nature and amount of such savings, costs or other factors, any of which could affect the future consolidated results of operations or consolidated financial position of the Company.</w:t>
      </w:r>
    </w:p>
    <w:tbl>
      <w:tblPr>
        <w:tblW w:w="10205" w:type="dxa"/>
        <w:jc w:val="left"/>
        <w:tblInd w:w="0" w:type="dxa"/>
        <w:tblLayout w:type="fixed"/>
        <w:tblCellMar>
          <w:top w:w="28" w:type="dxa"/>
          <w:left w:w="28" w:type="dxa"/>
          <w:bottom w:w="28" w:type="dxa"/>
          <w:right w:w="28" w:type="dxa"/>
        </w:tblCellMar>
      </w:tblPr>
      <w:tblGrid>
        <w:gridCol w:w="1512"/>
        <w:gridCol w:w="1330"/>
        <w:gridCol w:w="1301"/>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512"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(In thousands, except per share data)</w:t>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2,126,934 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2,931,739 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1,177,630 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per share: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9.82 </w:t>
            </w:r>
          </w:p>
        </w:tc>
        <w:tc>
          <w:tcPr>
            <w:tcW w:w="1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4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4 — ASSET RETIREMENT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changes in the Company’s asset retirement obligations for the nine months ended September 30, 2023 (in thousands). </w:t>
      </w:r>
    </w:p>
    <w:tbl>
      <w:tblPr>
        <w:tblW w:w="4686" w:type="dxa"/>
        <w:jc w:val="left"/>
        <w:tblInd w:w="0" w:type="dxa"/>
        <w:tblLayout w:type="fixed"/>
        <w:tblCellMar>
          <w:top w:w="28" w:type="dxa"/>
          <w:left w:w="28" w:type="dxa"/>
          <w:bottom w:w="28" w:type="dxa"/>
          <w:right w:w="28" w:type="dxa"/>
        </w:tblCellMar>
      </w:tblPr>
      <w:tblGrid>
        <w:gridCol w:w="1305"/>
        <w:gridCol w:w="1144"/>
        <w:gridCol w:w="1151"/>
        <w:gridCol w:w="211"/>
        <w:gridCol w:w="721"/>
        <w:gridCol w:w="154"/>
      </w:tblGrid>
      <w:tr>
        <w:trPr/>
        <w:tc>
          <w:tcPr>
            <w:tcW w:w="1305"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asset retirement obligations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incurred during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settled during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Revisions in estimated cash flows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during period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Divestitures during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Ending asset retirement obligations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Less: current asset retirement obligations</w:t>
            </w:r>
            <w:r>
              <w:rPr>
                <w:rFonts w:ascii="Times New Roman;sans-serif" w:hAnsi="Times New Roman;sans-serif"/>
                <w:b w:val="false"/>
                <w:color w:val="000000"/>
                <w:sz w:val="13"/>
              </w:rPr>
              <w:t>(1)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asset retirement obligations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87,216 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left"/>
        <w:rPr>
          <w:color w:val="000000"/>
        </w:rPr>
      </w:pPr>
      <w:r>
        <w:rPr>
          <w:color w:val="000000"/>
        </w:rPr>
        <w:t> </w:t>
      </w:r>
      <w:r>
        <w:rPr>
          <w:rFonts w:ascii="Times New Roman;sans-serif" w:hAnsi="Times New Roman;sans-serif"/>
          <w:b/>
          <w:color w:val="000000"/>
          <w:sz w:val="18"/>
        </w:rPr>
        <w:t>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(1)Included in accrued liabilities in the Company’s interim unaudited condensed consolidated balance sheet at 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5 — DEBT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(i) $699.2 million of outstanding senior notes due 2026 (the “2026 Notes”), (ii) $500.0 million of outstanding senior notes due 2028 (the “2028 Notes”), (iii) $530.0 million in borrowings outstanding under the Credit Agreement and (iv) approximately $45.4 million in outstanding letters of credit issued pursuant to the Credit Agreement. Between September 30, 2023 and October 24, 2023, the Company repaid $30.0 million of borrowings under the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San Mateo had $475.0 million in borrowings outstanding under its revolving credit facility (the “San Mateo Credit Facility”) and approximately $9.0 million in outstanding letters of credit issued pursuant to the San Mateo Credit Facility. Between September 30, 2023 and October 24, 2023, San Mateo repaid $23.0 million of borrowings under the San Mateo Credit Facility.</w:t>
      </w:r>
    </w:p>
    <w:p>
      <w:pPr>
        <w:pStyle w:val="TextBody"/>
        <w:bidi w:val="0"/>
        <w:spacing w:lineRule="auto" w:line="288" w:before="120" w:after="10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Credit Agreements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MRC Energy Company</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 base under the Credit Agreement is determined semi-annually as of May 1 and November 1 by the lenders based primarily on the estimated value of the Company’s proved oil and natural gas reserves at December 31 and June 30 of each year, respectively. The Company and the lenders may each request an unscheduled redetermination of the borrowing base once between scheduled redetermination dates. On March 31, 2023, the lenders completed their review of the Company’s proved oil and natural gas reserves, and, as a result, the Company and its lenders entered into an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March 2023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19, 2023, the lenders completed their review of the Company’s proved oil and natural gas reserves, and, as a result, the Company and its lenders entered into an amendment to the Fourth Amended and Restated Credit Agreement, which amended the Credit Agreement to, among other things: (i) increase the borrowing base from $2.25 billion to $2.50 billion, (ii) increase the elected commitment from $1.25 billion to $1.325 billion and (iii) increase the maximum facility amount from $1.50 billion to $2.00 billion. This October 2023 redetermination constituted the regularly scheduled November 1 redetermination. Borrowings under the Credit Agreement are limited to the lowest of the borrowing base, the maximum facility amount and the elected commitment (subject to compliance with the covenants noted below). The Credit Agreement matures October 31, 2026.</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the Company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The Company believes that it was in compliance with the terms of the Credit Agreement at September 30, 2023.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Midstream, LLC</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is non-recourse with respect to Matador and its wholly-owned subsidiaries but is guaranteed by San Mateo’s subsidiaries and secured by substantially all of San Mateo’s assets, including real property. The San Mateo Credit Facility matures December 9, 2026, and the lender commitments under that facility were $485.0 million at September 30, 2023. The San Mateo Credit Facility includes an accordion feature, which provides for potential increases in lender commitments of up to $735.0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San Mateo Credit Facility requires San Mateo to maintain a debt to EBITDA ratio, which is defined as total consolidated funded indebtedness outstanding (as defined in the San Mateo Credit Facility) divided by a rolling four quarter EBITDA calculation, of 5.0 or less, subject to certain exceptions. The San Mateo Credit Facility also requires San Mateo to maintain an interest coverage ratio, which is defined as a rolling four quarter EBITDA calculation divided by San Mateo’s consolidated interest expense for such period, of 2.5 or more. The San Mateo Credit Facility also restricts the ability of San Mateo to distribute cash to its members if San Mateo’s liquidity is less than 10% of the lender commitments under the San Mateo Credit Facility. The Company believes that San Mateo was in compliance with the terms of the San Mateo Credit Facility at September 30, 2023.</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Senior Unsecured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$699.2 million of outstanding 2026 Notes, which have a 5.875% coupon rate. The 2026 Notes mature September 15, 2026, and interest is payable on the 2026 Notes semi-annually in arrears on each March 15 and September 15. The 2026 Notes are jointly and severally guaranteed on a senior unsecured basis by certain subsidiaries of the Company (the “Guarantor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5 — DEBT — Continued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April 11, 2023, the Company completed the sale of $500.0 million in aggregate principal amount of the 2028 Notes, which have a 6.875% coupon rate and mature April 15, 2028. Interest is payable on the 2028 Notes semi-annually in arrears on each April 15 and October 15, and the first interest payment date for the 2028 Notes was October 15, 2023. The 2028 Notes are jointly and severally guaranteed on a senior unsecured basis by the Guarantor Subsidiaries.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April 15, 2025, the Company may redeem up to 35% in aggregate principal amount of 2028 Notes at a redemption price of 106.875% of the principal amount thereof, plus accrued and unpaid interest to the redemption date, in an amount not greater than the net proceeds of certain equity offerings so long as the redemption occurs within 180 days of completing such equity offering and at least 65% of the aggregate principal amount of the 2028 Notes remains outstanding after such redemption. In addition, at any time prior to April 15, 2025, the Company may redeem all or part of the 2028 Notes for cash at a redemption price equal to 100% of their principal amount plus an applicable make-whole premium and accrued and unpaid interest.</w:t>
      </w:r>
    </w:p>
    <w:p>
      <w:pPr>
        <w:pStyle w:val="TextBody"/>
        <w:bidi w:val="0"/>
        <w:spacing w:lineRule="auto" w:line="288" w:before="120" w:after="1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or after April 15, 2025, the Company may redeem all or a part of the 2028 Notes at any time or from time to time at the following redemption prices (expressed as percentages of principal amount) plus accrued and unpaid interest, if any, to the applicable redemption date, if redeemed during the twelve-month period beginning on April 15 of the years indicated below:</w:t>
      </w:r>
    </w:p>
    <w:tbl>
      <w:tblPr>
        <w:tblW w:w="2532" w:type="dxa"/>
        <w:jc w:val="center"/>
        <w:tblInd w:w="0" w:type="dxa"/>
        <w:tblLayout w:type="fixed"/>
        <w:tblCellMar>
          <w:top w:w="28" w:type="dxa"/>
          <w:left w:w="28" w:type="dxa"/>
          <w:bottom w:w="28" w:type="dxa"/>
          <w:right w:w="28" w:type="dxa"/>
        </w:tblCellMar>
      </w:tblPr>
      <w:tblGrid>
        <w:gridCol w:w="196"/>
        <w:gridCol w:w="172"/>
        <w:gridCol w:w="173"/>
        <w:gridCol w:w="109"/>
        <w:gridCol w:w="109"/>
        <w:gridCol w:w="109"/>
        <w:gridCol w:w="487"/>
        <w:gridCol w:w="487"/>
        <w:gridCol w:w="690"/>
      </w:tblGrid>
      <w:tr>
        <w:trPr/>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5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64" w:type="dxa"/>
            <w:gridSpan w:val="3"/>
            <w:tcBorders/>
            <w:vAlign w:val="center"/>
          </w:tcPr>
          <w:p>
            <w:pPr>
              <w:pStyle w:val="TableContents"/>
              <w:bidi w:val="0"/>
              <w:spacing w:before="0" w:after="283"/>
              <w:jc w:val="left"/>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103.438%</w:t>
            </w:r>
          </w:p>
        </w:tc>
      </w:tr>
      <w:tr>
        <w:trPr/>
        <w:tc>
          <w:tcPr>
            <w:tcW w:w="5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101.719%</w:t>
            </w:r>
          </w:p>
        </w:tc>
      </w:tr>
      <w:tr>
        <w:trPr/>
        <w:tc>
          <w:tcPr>
            <w:tcW w:w="5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100.000%</w:t>
            </w:r>
          </w:p>
        </w:tc>
      </w:tr>
    </w:tbl>
    <w:p>
      <w:pPr>
        <w:pStyle w:val="TextBody"/>
        <w:bidi w:val="0"/>
        <w:spacing w:lineRule="auto" w:line="288" w:before="120" w:after="283"/>
        <w:ind w:left="0" w:right="0" w:firstLine="495"/>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Debt Maturities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outstanding borrowings of $530.0 million at September 30, 2023 under the Credit Agreement mature on October 31, 2026. The outstanding borrowings of $475.0 million at September 30, 2023 under the San Mateo Credit Facility mature on December 9, 2026. The $699.2 million of outstanding 2026 Notes at September 30, 2023 mature on September 15, 2026. The $500.0 million of outstanding 2028 Notes at September 30, 2023 mature on April 15,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6 — INCOME TAXES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 current income tax provision of $9.0 million for each of the three and nine months ended September 30, 2023 and a deferred income tax provision of $5.6 million and $119.6 million for the three and nine months ended September 30, 2023, respectively. For the three and nine months ended September 30, 2022, the Company recorded a current income tax provision of $0.3 million and $51.9 million, respectively, and a deferred income tax provision of $113.7 million and $266.5 million, respectively.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income tax rates of 5% and 18% for the three and nine months ended September 30, 2023, respectively,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 The Company’s effective income tax rate of 25% for both the three and nine months ended September 30, 2022 differed from the U.S. federal statutory rate due primarily to permanent differences between book and taxable income and state taxes, primarily in New Mexico.</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tax benefits from an uncertain tax position on the basis of a two-step process in which (i) the Company determines whether it is more likely than not that the tax position will be sustained upon examination by the taxing authorities based upon the technical merits of the position and (ii) for those tax positions that meet the more-likely-than-not recognition threshold, the Company recognizes the largest amount of tax benefit that is more than 50% likely to be realized upon ultimate settlement with the related tax authority.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had unrecognized tax benefits (“UTB”) of $28.0 million as a result of research and experimental expenditures related to horizontal drilling and completion innovations. There were no UTBs as of December 31, 2022. Although the Company believes it has adequately reserved for its uncertain tax positions in respect of such research and experimental expenditures, no assurance can be given that the final tax outcome of these matters will not be different. The timing as to when the Company will substantially resolve the uncertainties associated with the UTBs is unknown as of October 24,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7 — EQUITY</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Stock-based Compensation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2023, the Company granted awards to certain of its employees of 228,550 service-based restricted stock units to be settled in cash, which are liability instruments, and 143,500 performance-based stock units and 272,010 service-based shares of restricted stock, which are equity instruments. The performance-based stock units vest in an amount between zero and 200% of the target units granted based on the Company’s relative total shareholder return over the three-year period ending December 31, 2025, as compared to a designated peer group. The service-based restricted stock and restricted stock units vest over a three-year period. The fair value of these awards was approximately $38.9 million on the grant date.</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Common Stock Dividend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of Directors (the “Board”) declared a quarterly cash dividend of $0.15 per share of common stock in each of the first, second and third quarters of 2023. The first quarter dividend, which totaled $17.8 million, was paid on March 9, 2023 to shareholders of record as of February 27, 2023. The second quarter dividend, which totaled $17.9 million, was paid on June 1, 2023 to shareholders of record as of May 11, 2023. The third quarter dividend, which totaled $17.8 million, was paid on September 1, 2023 to shareholders of record as of August 11, 2023. On October 19, 2023, the Board amended the Company’s dividend policy to increase the quarterly dividend to $0.20 per share of common stock for future dividend payments and also declared a quarterly cash dividend of $0.20 per share of common stock payable on December 1, 2023 to shareholders of record as of November 10, 2023.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San Mateo Distributions and Contributions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and 2022, San Mateo distributed $17.3 million and $23.5 million, respectively, to the Company and $16.7 million and $22.5 million, respectively, to a subsidiary of Five Point Energy LLC (“Five Point”), the Company’s joint venture partner in San Mateo. During the nine months ended September 30, 2023 and 2022, San Mateo distributed $63.6 million and $70.1 million, respectively, to the Company and $61.1 million and $67.4 million, respectively, to Five Point. During the nine months ended September 30, 2023, the Company contributed $25.5 million and Five Point contributed $24.5 million of cash to San Mateo. During the three months ended September 30, 2023 and the three and nine months ended September 30, 2022, there were no contributions to San Mateo by either the Company or Five Point.</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Performance Incentives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Five Point paid to the Company $9.0 million of performance incentives during the three months ended September 30, 2023. No performance incentives were paid by Five Point to the Company during the three months ended September 30, 2022. Five Point paid to the Company $23.7 million and $22.8 million of performance incentives during the nine months ended September 30, 2023 and 2022, respectively. These performance incentives are recorded when received, net of the $1.9 million deferred tax impact to Matador for the three months ended September 30, 2023 and net of the $5.0 million and $4.8 million deferred tax impact to Matador for the nine months ended September 30, 2023 and 2022, respectively, in “Additional paid-in capital” in the Company’s interim unaudited condensed consolidated balance sheets. These performance incentives for the nine months ended September 30, 2023 and 2022 are also denoted as “Contributions related to formation of San Mateo” under “Financing activities” in the Company’s interim unaudited condensed consolidated statements of cash flows and changes in shareholders’ equity.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Company had one natural gas basis differential swap contract open and in place to mitigate its exposure to natural gas price volatility, with a specific term (calculation period), notional quantity (volume hedged) and fixed price. At September 30, 2023, the contract was set to expire during the fourth quarter of 2023. The Company had no open contracts associated with oil or natural gas liquids prices at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8 — DERIVATIVE FINANCIAL INSTRUMENTS — Continued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Company’s open basis differential swap contract at September 30, 2023.</w:t>
      </w:r>
    </w:p>
    <w:tbl>
      <w:tblPr>
        <w:tblW w:w="10205" w:type="dxa"/>
        <w:jc w:val="left"/>
        <w:tblInd w:w="0" w:type="dxa"/>
        <w:tblLayout w:type="fixed"/>
        <w:tblCellMar>
          <w:top w:w="28" w:type="dxa"/>
          <w:left w:w="28" w:type="dxa"/>
          <w:bottom w:w="28" w:type="dxa"/>
          <w:right w:w="28" w:type="dxa"/>
        </w:tblCellMar>
      </w:tblPr>
      <w:tblGrid>
        <w:gridCol w:w="811"/>
        <w:gridCol w:w="712"/>
        <w:gridCol w:w="716"/>
        <w:gridCol w:w="109"/>
        <w:gridCol w:w="109"/>
        <w:gridCol w:w="109"/>
        <w:gridCol w:w="651"/>
        <w:gridCol w:w="651"/>
        <w:gridCol w:w="654"/>
        <w:gridCol w:w="109"/>
        <w:gridCol w:w="109"/>
        <w:gridCol w:w="109"/>
        <w:gridCol w:w="793"/>
        <w:gridCol w:w="711"/>
        <w:gridCol w:w="714"/>
        <w:gridCol w:w="109"/>
        <w:gridCol w:w="109"/>
        <w:gridCol w:w="109"/>
        <w:gridCol w:w="273"/>
        <w:gridCol w:w="682"/>
        <w:gridCol w:w="141"/>
        <w:gridCol w:w="109"/>
        <w:gridCol w:w="109"/>
        <w:gridCol w:w="109"/>
        <w:gridCol w:w="211"/>
        <w:gridCol w:w="678"/>
        <w:gridCol w:w="499"/>
      </w:tblGrid>
      <w:tr>
        <w:trPr/>
        <w:tc>
          <w:tcPr>
            <w:tcW w:w="81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Commodity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Calculation 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Notional Quantity (MMBtu)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Fixed Price </w:t>
              <w:br/>
              <w:t>($/MMBtu)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 of</w:t>
              <w:br/>
              <w:t xml:space="preserve">Asset </w:t>
              <w:br/>
              <w:t xml:space="preserve">(Liability) </w:t>
              <w:br/>
              <w:t>(thousands)</w:t>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10/01/2023 - 12/31/2023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4,600,000 </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firstLine="360"/>
              <w:jc w:val="left"/>
              <w:rPr>
                <w:sz w:val="4"/>
                <w:szCs w:val="4"/>
              </w:rPr>
            </w:pPr>
            <w:r>
              <w:rPr>
                <w:sz w:val="4"/>
                <w:szCs w:val="4"/>
              </w:rPr>
            </w:r>
          </w:p>
        </w:tc>
      </w:tr>
      <w:tr>
        <w:trPr/>
        <w:tc>
          <w:tcPr>
            <w:tcW w:w="452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open basis differential swap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4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1715" w:type="dxa"/>
            <w:gridSpan w:val="6"/>
            <w:tcBorders/>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r>
        <w:trPr/>
        <w:tc>
          <w:tcPr>
            <w:tcW w:w="2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9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derivative financial instruments are subject to master netting arrangements, and the Company’s counterparties allow for cross-commodity master netting provided the settlement dates for the commodities are the same. The Company does not present different types of commodities with the same counterparty on a net basis in its interim unaudited condensed consolidated balance sheets.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asset and liability fair values of the Company’s commodity price derivative financial instruments and the location of these balances in the interim unaudited condensed consolidated balance sheets as of September 30, 2023 and December 31, 2022 (in thousands).</w:t>
      </w:r>
    </w:p>
    <w:tbl>
      <w:tblPr>
        <w:tblW w:w="9829" w:type="dxa"/>
        <w:jc w:val="left"/>
        <w:tblInd w:w="0" w:type="dxa"/>
        <w:tblLayout w:type="fixed"/>
        <w:tblCellMar>
          <w:top w:w="28" w:type="dxa"/>
          <w:left w:w="28" w:type="dxa"/>
          <w:bottom w:w="28" w:type="dxa"/>
          <w:right w:w="28" w:type="dxa"/>
        </w:tblCellMar>
      </w:tblPr>
      <w:tblGrid>
        <w:gridCol w:w="750"/>
        <w:gridCol w:w="658"/>
        <w:gridCol w:w="662"/>
        <w:gridCol w:w="109"/>
        <w:gridCol w:w="109"/>
        <w:gridCol w:w="109"/>
        <w:gridCol w:w="229"/>
        <w:gridCol w:w="691"/>
        <w:gridCol w:w="120"/>
        <w:gridCol w:w="109"/>
        <w:gridCol w:w="109"/>
        <w:gridCol w:w="109"/>
        <w:gridCol w:w="593"/>
        <w:gridCol w:w="1140"/>
        <w:gridCol w:w="307"/>
        <w:gridCol w:w="109"/>
        <w:gridCol w:w="109"/>
        <w:gridCol w:w="109"/>
        <w:gridCol w:w="761"/>
        <w:gridCol w:w="2279"/>
        <w:gridCol w:w="395"/>
        <w:gridCol w:w="109"/>
        <w:gridCol w:w="154"/>
      </w:tblGrid>
      <w:tr>
        <w:trPr/>
        <w:tc>
          <w:tcPr>
            <w:tcW w:w="75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w:t>
              <w:br/>
              <w:t>amounts</w:t>
              <w:br/>
              <w:t>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Gross amounts</w:t>
              <w:br/>
              <w:t>netted in the condensed</w:t>
              <w:br/>
              <w:t>consolidated</w:t>
              <w:br/>
              <w:t>balance sheets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Net amounts presented in the condensed</w:t>
              <w:br/>
              <w:t>consolidated</w:t>
              <w:br/>
              <w:t>balance sheets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3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3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3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4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3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location and aggregate gain (loss) of all derivative financial instruments recorded in the interim unaudited condensed consolidated statements of operations for the periods presented (in thousands). </w:t>
      </w:r>
    </w:p>
    <w:tbl>
      <w:tblPr>
        <w:tblW w:w="10205" w:type="dxa"/>
        <w:jc w:val="left"/>
        <w:tblInd w:w="0" w:type="dxa"/>
        <w:tblLayout w:type="fixed"/>
        <w:tblCellMar>
          <w:top w:w="28" w:type="dxa"/>
          <w:left w:w="28" w:type="dxa"/>
          <w:bottom w:w="28" w:type="dxa"/>
          <w:right w:w="28" w:type="dxa"/>
        </w:tblCellMar>
      </w:tblPr>
      <w:tblGrid>
        <w:gridCol w:w="490"/>
        <w:gridCol w:w="383"/>
        <w:gridCol w:w="386"/>
        <w:gridCol w:w="109"/>
        <w:gridCol w:w="109"/>
        <w:gridCol w:w="109"/>
        <w:gridCol w:w="1048"/>
        <w:gridCol w:w="1048"/>
        <w:gridCol w:w="1049"/>
        <w:gridCol w:w="109"/>
        <w:gridCol w:w="109"/>
        <w:gridCol w:w="109"/>
        <w:gridCol w:w="212"/>
        <w:gridCol w:w="468"/>
        <w:gridCol w:w="109"/>
        <w:gridCol w:w="109"/>
        <w:gridCol w:w="109"/>
        <w:gridCol w:w="109"/>
        <w:gridCol w:w="211"/>
        <w:gridCol w:w="754"/>
        <w:gridCol w:w="109"/>
        <w:gridCol w:w="109"/>
        <w:gridCol w:w="109"/>
        <w:gridCol w:w="109"/>
        <w:gridCol w:w="211"/>
        <w:gridCol w:w="754"/>
        <w:gridCol w:w="109"/>
        <w:gridCol w:w="109"/>
        <w:gridCol w:w="109"/>
        <w:gridCol w:w="109"/>
        <w:gridCol w:w="211"/>
        <w:gridCol w:w="859"/>
        <w:gridCol w:w="159"/>
      </w:tblGrid>
      <w:tr>
        <w:trPr/>
        <w:tc>
          <w:tcPr>
            <w:tcW w:w="49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8"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Type of 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 in Condensed Consolidated </w:t>
              <w:br/>
              <w:t>Statement of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2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Instrument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(67,182)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Realized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(72,683)</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(36,236)</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Unrealized gain (loss) on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r>
      <w:tr>
        <w:trPr/>
        <w:tc>
          <w:tcPr>
            <w:tcW w:w="473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(13,166)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(141,367)</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9 —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measures and reports certain financial and non-financial assets and liabilities on a fair value basis. Fair value is the price that would be received to sell an asset or paid to transfer a liability in an orderly transaction between market participants at the measurement date (exit price). Fair value measurements are classified and disclosed in one of the following categories.</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1    Unadjusted quoted prices for identical, unrestricted assets or liabilities in active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9 — FAIR VALUE MEASUREMENTS — Continued</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Level 2    Quoted prices in markets that are not active, or inputs that are observable, either directly or indirectly, for substantially the full term of the asset or liability. This category includes those derivative instruments that are valued with industry standard models that consider various inputs, including: (i) quoted forward prices for commodities, (ii) time value of money and (iii) current market and contractual prices for the underlying instruments, as well as other relevant economic measures. Substantially all of these inputs are observable in the marketplace throughout the full term of the derivative instrument and can be derived from observable data or supported by observable levels at which transactions are executed in the marketplace.</w:t>
      </w:r>
    </w:p>
    <w:p>
      <w:pPr>
        <w:pStyle w:val="TextBody"/>
        <w:bidi w:val="0"/>
        <w:spacing w:lineRule="auto" w:line="288" w:before="12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Unobservable inputs that are not corroborated by market data that reflect a company’s own market assumptions.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and non-financial assets and liabilities are classified based on the lowest level of input that is significant to the fair value measurement. The assessment of the significance of a particular input to the fair value measurement requires judgment, which may affect the valuation of the fair value of assets and liabilities and their placement within the fair value hierarchy levels.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summarize the valuation of the Company’s financial assets and liabilities that were accounted for at fair value on a recurring basis in accordance with the classifications provided above as of September 30, 2023 and December 31, 2022 (in thousands).</w:t>
      </w:r>
    </w:p>
    <w:tbl>
      <w:tblPr>
        <w:tblW w:w="10161" w:type="dxa"/>
        <w:jc w:val="left"/>
        <w:tblInd w:w="0" w:type="dxa"/>
        <w:tblLayout w:type="fixed"/>
        <w:tblCellMar>
          <w:top w:w="28" w:type="dxa"/>
          <w:left w:w="28" w:type="dxa"/>
          <w:bottom w:w="28" w:type="dxa"/>
          <w:right w:w="28" w:type="dxa"/>
        </w:tblCellMar>
      </w:tblPr>
      <w:tblGrid>
        <w:gridCol w:w="1749"/>
        <w:gridCol w:w="1537"/>
        <w:gridCol w:w="1543"/>
        <w:gridCol w:w="109"/>
        <w:gridCol w:w="109"/>
        <w:gridCol w:w="109"/>
        <w:gridCol w:w="213"/>
        <w:gridCol w:w="411"/>
        <w:gridCol w:w="112"/>
        <w:gridCol w:w="109"/>
        <w:gridCol w:w="109"/>
        <w:gridCol w:w="109"/>
        <w:gridCol w:w="211"/>
        <w:gridCol w:w="691"/>
        <w:gridCol w:w="109"/>
        <w:gridCol w:w="109"/>
        <w:gridCol w:w="109"/>
        <w:gridCol w:w="109"/>
        <w:gridCol w:w="211"/>
        <w:gridCol w:w="796"/>
        <w:gridCol w:w="109"/>
        <w:gridCol w:w="109"/>
        <w:gridCol w:w="109"/>
        <w:gridCol w:w="109"/>
        <w:gridCol w:w="211"/>
        <w:gridCol w:w="796"/>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7"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5"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color w:val="000000"/>
              </w:rPr>
            </w:pPr>
            <w:r>
              <w:rPr>
                <w:color w:val="000000"/>
              </w:rPr>
              <w:t> </w:t>
            </w:r>
            <w:r>
              <w:rPr>
                <w:rFonts w:ascii="Times New Roman;sans-serif" w:hAnsi="Times New Roman;sans-serif"/>
                <w:b/>
                <w:color w:val="000000"/>
                <w:sz w:val="20"/>
              </w:rPr>
              <w:t>September 30, 2023 using</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48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basis differential swaps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related to business combination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672" w:type="dxa"/>
        <w:jc w:val="left"/>
        <w:tblInd w:w="0" w:type="dxa"/>
        <w:tblLayout w:type="fixed"/>
        <w:tblCellMar>
          <w:top w:w="28" w:type="dxa"/>
          <w:left w:w="28" w:type="dxa"/>
          <w:bottom w:w="28" w:type="dxa"/>
          <w:right w:w="28" w:type="dxa"/>
        </w:tblCellMar>
      </w:tblPr>
      <w:tblGrid>
        <w:gridCol w:w="717"/>
        <w:gridCol w:w="630"/>
        <w:gridCol w:w="632"/>
        <w:gridCol w:w="109"/>
        <w:gridCol w:w="109"/>
        <w:gridCol w:w="109"/>
        <w:gridCol w:w="213"/>
        <w:gridCol w:w="411"/>
        <w:gridCol w:w="110"/>
        <w:gridCol w:w="109"/>
        <w:gridCol w:w="109"/>
        <w:gridCol w:w="109"/>
        <w:gridCol w:w="211"/>
        <w:gridCol w:w="616"/>
        <w:gridCol w:w="109"/>
        <w:gridCol w:w="109"/>
        <w:gridCol w:w="109"/>
        <w:gridCol w:w="109"/>
        <w:gridCol w:w="213"/>
        <w:gridCol w:w="411"/>
        <w:gridCol w:w="110"/>
        <w:gridCol w:w="109"/>
        <w:gridCol w:w="109"/>
        <w:gridCol w:w="109"/>
        <w:gridCol w:w="211"/>
        <w:gridCol w:w="616"/>
        <w:gridCol w:w="154"/>
      </w:tblGrid>
      <w:tr>
        <w:trPr/>
        <w:tc>
          <w:tcPr>
            <w:tcW w:w="71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6" w:type="dxa"/>
            <w:gridSpan w:val="21"/>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Fair Value Measurements at</w:t>
            </w:r>
          </w:p>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December 31, 2022 using</w:t>
            </w:r>
          </w:p>
        </w:tc>
      </w:tr>
      <w:tr>
        <w:trPr/>
        <w:tc>
          <w:tcPr>
            <w:tcW w:w="1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1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derivatives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9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 disclosures related to derivative financial instruments are provided in Note 8. </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Other 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carrying values reported on the interim unaudited condensed consolidated balance sheets for accounts receivable, prepaid expenses and other current assets, accounts payable, accrued liabilities, royalties payable, amounts due to affiliates, advances from joint interest owners and other current liabilities approximated their fair values due to their short-term maturities.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and December 31, 2022, the carrying value of borrowings under the Credit Agreement and the San Mateo Credit Facility approximated their fair value as both are subject to short-term floating interest rates that reflect market rates available to the Company at the time and are classified at Level 2 in the fair value hierarchy.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and December 31, 2022, the fair value of the 2026 Notes was $675.8 million and $675.7 million, respectively,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the fair value of the 2028 Notes was $491.5 million based on quoted market prices, which represent Level 1 inputs in the fair value hierarchy.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assets and liabilities are measured at fair value on a nonrecurring basis, including assets and liabilities acquired in a business combination, lease and well equipment inventory when the market value is determined to be lower than the cost of the inventory and other property and equipment that are reduced to fair value when they are impaired or held for sale. See Note 3 for discussion of the fair value measurement of assets acquired and liabilities assumed as part of the Advance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10 — COMMITMENTS AND CONTINGENCIES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Processing, Transportation and Produced Water Disposal Commitments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Firm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enters into agreements with third parties whereby the Company commits to deliver anticipated natural gas and oil production and produced water from certain portions of its acreage for transportation, gathering, processing, fractionation, sales and disposal. The Company paid approximately $16.0 million and $13.0 million for deliveries under these agreements during the three months ended September 30, 2023 and 2022, respectively, and $38.1 million and $36.8 million for deliveries under these agreements during the nine months ended September 30, 2023 and 2022, respectively. Certain of these agreements contain minimum volume commitments. If the Company does not meet the minimum volume commitments under these agreements, it will be required to pay certain deficiency fees. If the Company ceased operations in the areas subject to these agreements at September 30, 2023, the total deficiencies required to be paid by the Company under these agreements would be approximately $566.5 million.</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San Mateo Commitments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dedicated to San Mateo its current and certain future leasehold interests in the Rustler Breaks and Wolf asset areas and acreage in the southern portion of the Arrowhead asset area (the “Greater Stebbins Area”) and the Stateline asset area pursuant to 15-year, fixed-fee oil transportation, oil, natural gas and produced water gathering and produced water disposal agreements. In addition, the Company dedicated to San Mateo its current and certain future leasehold interests in the Rustler Breaks asset area and acreage in the Greater Stebbins Area and Stateline asset area pursuant to 15-year, fixed-fee natural gas processing agreements (collectively with the transportation, gathering and produced water disposal agreements, the “Operational Agreements”). San Mateo provides the Company with firm service under each of the Operational Agreements in exchange for certain minimum volume commitments. The remaining minimum contractual obligation under the Operational Agreements at September 30, 2023 was approximately $230.8 million.</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 party to several legal proceedings encountered in the ordinary course of its business. While the ultimate outcome and impact on the Company cannot be predicted with certainty, in the opinion of management, it is remote that these legal proceedings will have a material adverse impact on the Company’s financial condition, results of operations or cash flows.</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NOTE 11 — SUPPLEMENTAL DISCLOSURES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Accrued Liabilities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current accrued liabilities at September 30, 2023 and December 31, 2022 (in thousands).</w:t>
      </w:r>
    </w:p>
    <w:tbl>
      <w:tblPr>
        <w:tblW w:w="8320" w:type="dxa"/>
        <w:jc w:val="left"/>
        <w:tblInd w:w="0" w:type="dxa"/>
        <w:tblLayout w:type="fixed"/>
        <w:tblCellMar>
          <w:top w:w="28" w:type="dxa"/>
          <w:left w:w="28" w:type="dxa"/>
          <w:bottom w:w="28" w:type="dxa"/>
          <w:right w:w="28" w:type="dxa"/>
        </w:tblCellMar>
      </w:tblPr>
      <w:tblGrid>
        <w:gridCol w:w="1951"/>
        <w:gridCol w:w="1712"/>
        <w:gridCol w:w="1721"/>
        <w:gridCol w:w="240"/>
        <w:gridCol w:w="941"/>
        <w:gridCol w:w="124"/>
        <w:gridCol w:w="109"/>
        <w:gridCol w:w="109"/>
        <w:gridCol w:w="109"/>
        <w:gridCol w:w="231"/>
        <w:gridCol w:w="905"/>
        <w:gridCol w:w="168"/>
      </w:tblGrid>
      <w:tr>
        <w:trPr/>
        <w:tc>
          <w:tcPr>
            <w:tcW w:w="1951"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evaluated and unproved and unevaluated property costs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176,455 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112,766 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midstream properties costs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23,179 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11,623 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lease operating expenses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46,975 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 on debt</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asset retirement obligations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partners’ share of joint interest charges</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48,167 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payable related to purchased natural gas</w:t>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11,158 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25,372 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accrued liabilities</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367,200 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261,310 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0" w:after="283"/>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NOTE 11 — SUPPLEMENTAL DISCLOSURES — Continued</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Supplemental Cash Flow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supplemental disclosures of cash flow information for the nine months ended September 30, 2023 and 2022 (in thousands).</w:t>
      </w:r>
    </w:p>
    <w:tbl>
      <w:tblPr>
        <w:tblW w:w="9143" w:type="dxa"/>
        <w:jc w:val="left"/>
        <w:tblInd w:w="0" w:type="dxa"/>
        <w:tblLayout w:type="fixed"/>
        <w:tblCellMar>
          <w:top w:w="28" w:type="dxa"/>
          <w:left w:w="28" w:type="dxa"/>
          <w:bottom w:w="28" w:type="dxa"/>
          <w:right w:w="28" w:type="dxa"/>
        </w:tblCellMar>
      </w:tblPr>
      <w:tblGrid>
        <w:gridCol w:w="2422"/>
        <w:gridCol w:w="2125"/>
        <w:gridCol w:w="2142"/>
        <w:gridCol w:w="211"/>
        <w:gridCol w:w="721"/>
        <w:gridCol w:w="109"/>
        <w:gridCol w:w="109"/>
        <w:gridCol w:w="109"/>
        <w:gridCol w:w="109"/>
        <w:gridCol w:w="211"/>
        <w:gridCol w:w="721"/>
        <w:gridCol w:w="154"/>
      </w:tblGrid>
      <w:tr>
        <w:trPr/>
        <w:tc>
          <w:tcPr>
            <w:tcW w:w="2422" w:type="dxa"/>
            <w:tcBorders/>
            <w:vAlign w:val="center"/>
          </w:tcPr>
          <w:p>
            <w:pPr>
              <w:pStyle w:val="TableContents"/>
              <w:bidi w:val="0"/>
              <w:spacing w:before="0" w:after="283"/>
              <w:jc w:val="left"/>
              <w:rPr>
                <w:sz w:val="4"/>
                <w:szCs w:val="4"/>
              </w:rPr>
            </w:pPr>
            <w:r>
              <w:rPr>
                <w:sz w:val="4"/>
                <w:szCs w:val="4"/>
              </w:rPr>
            </w:r>
          </w:p>
        </w:tc>
        <w:tc>
          <w:tcPr>
            <w:tcW w:w="2125"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6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interest expense, net of amounts capitalized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mineral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asset retirement obligations related to midstream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drilling, completion and equipping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liabilities for acquisition of oil and natural gas properties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liabilities for midstream properties capital expenditures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 recognized as a liability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6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Transfer of inventory from oil and natural gas properties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8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20" w:after="283"/>
        <w:ind w:left="0" w:right="0" w:firstLine="495"/>
        <w:jc w:val="left"/>
        <w:rPr/>
      </w:pPr>
      <w:r>
        <w:rPr/>
      </w:r>
    </w:p>
    <w:p>
      <w:pPr>
        <w:pStyle w:val="TextBody"/>
        <w:bidi w:val="0"/>
        <w:spacing w:lineRule="auto" w:line="288" w:before="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a reconciliation of cash and restricted cash recorded in the interim unaudited condensed consolidated balance sheets to cash and restricted cash as presented on the interim unaudited condensed consolidated statements of cash flows (in thousands).</w:t>
      </w:r>
    </w:p>
    <w:tbl>
      <w:tblPr>
        <w:tblW w:w="5064" w:type="dxa"/>
        <w:jc w:val="left"/>
        <w:tblInd w:w="0" w:type="dxa"/>
        <w:tblLayout w:type="fixed"/>
        <w:tblCellMar>
          <w:top w:w="28" w:type="dxa"/>
          <w:left w:w="28" w:type="dxa"/>
          <w:bottom w:w="28" w:type="dxa"/>
          <w:right w:w="28" w:type="dxa"/>
        </w:tblCellMar>
      </w:tblPr>
      <w:tblGrid>
        <w:gridCol w:w="902"/>
        <w:gridCol w:w="795"/>
        <w:gridCol w:w="808"/>
        <w:gridCol w:w="211"/>
        <w:gridCol w:w="721"/>
        <w:gridCol w:w="109"/>
        <w:gridCol w:w="109"/>
        <w:gridCol w:w="109"/>
        <w:gridCol w:w="109"/>
        <w:gridCol w:w="211"/>
        <w:gridCol w:w="826"/>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Nine Months Ended </w:t>
              <w:br/>
              <w:t>September 30,</w:t>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441,720 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operates in two business segments: (i) exploration and production and (ii) midstream. The exploration and production segment is engaged in the exploration, development, production and acquisition of oil and natural gas resources in the United States and is currently focused primarily on the oil and liquids-rich portion of the Wolfcamp and Bone Spring plays in the Delaware Basin in Southeast New Mexico and West Texas. The Company also operates in the Eagle Ford shale play in South Texas and the Haynesville shale and Cotton Valley plays in Northwest Louisiana. The midstream segment conducts midstream operations in support of the Company’s exploration, development and production operations and provides natural gas processing, oil transportation services, oil, natural gas and produced water gathering services and produced water disposal services to third parties. The majority of the Company’s midstream operations in the Rustler Breaks, Wolf and Stateline asset areas and the Greater Stebbins Area in the Delaware Basin are conducted through San Mateo. In addition, at September 30, 2023, the Company operated a cryogenic gas processing plant, compressor stations and a natural gas gathering pipeline system in Lea and Eddy Counties, New Mexico through Pronto Midstream, LLC (“Pronto”), which is a wholly-owned subsidiary of the Company. Neither San Mateo nor Pronto is a guarantor of the 2026 Notes or the 2028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selected financial information for the periods presented regarding the Company’s business segments on a stand-alone basis, corporate expenses that are not allocated to a segment and the consolidation and elimination entries necessary to arrive at the financial information for the Company on a consolidated basis (in thousands). On a consolidated basis, midstream services revenues consist primarily of those revenues from midstream operations related to third parties, including working interest owners in the Company’s operated wells. All midstream services revenues associated with Company-owned production are eliminated in consolidation. In evaluating the operating results of the exploration and production and midstream segments, the Company does not allocate certain expenses to the individual segments, including general and administrative expenses. Such expenses are reflected in the column labeled “Corporate.”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center"/>
        <w:tblInd w:w="0" w:type="dxa"/>
        <w:tblLayout w:type="fixed"/>
        <w:tblCellMar>
          <w:top w:w="28" w:type="dxa"/>
          <w:left w:w="28" w:type="dxa"/>
          <w:bottom w:w="28" w:type="dxa"/>
          <w:right w:w="28" w:type="dxa"/>
        </w:tblCellMar>
      </w:tblPr>
      <w:tblGrid>
        <w:gridCol w:w="730"/>
        <w:gridCol w:w="508"/>
        <w:gridCol w:w="510"/>
        <w:gridCol w:w="254"/>
        <w:gridCol w:w="1177"/>
        <w:gridCol w:w="131"/>
        <w:gridCol w:w="109"/>
        <w:gridCol w:w="109"/>
        <w:gridCol w:w="109"/>
        <w:gridCol w:w="211"/>
        <w:gridCol w:w="976"/>
        <w:gridCol w:w="109"/>
        <w:gridCol w:w="109"/>
        <w:gridCol w:w="109"/>
        <w:gridCol w:w="109"/>
        <w:gridCol w:w="211"/>
        <w:gridCol w:w="749"/>
        <w:gridCol w:w="109"/>
        <w:gridCol w:w="109"/>
        <w:gridCol w:w="109"/>
        <w:gridCol w:w="109"/>
        <w:gridCol w:w="494"/>
        <w:gridCol w:w="950"/>
        <w:gridCol w:w="256"/>
        <w:gridCol w:w="109"/>
        <w:gridCol w:w="109"/>
        <w:gridCol w:w="109"/>
        <w:gridCol w:w="238"/>
        <w:gridCol w:w="1104"/>
        <w:gridCol w:w="180"/>
      </w:tblGrid>
      <w:tr>
        <w:trPr/>
        <w:tc>
          <w:tcPr>
            <w:tcW w:w="73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c>
          <w:tcPr>
            <w:tcW w:w="15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700,227 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383,259 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(59,369)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323,194 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vAlign w:val="center"/>
          </w:tcPr>
          <w:p>
            <w:pPr>
              <w:pStyle w:val="TableContents"/>
              <w:bidi w:val="0"/>
              <w:spacing w:before="0" w:after="283"/>
              <w:jc w:val="left"/>
              <w:rPr>
                <w:sz w:val="4"/>
                <w:szCs w:val="4"/>
              </w:rPr>
            </w:pPr>
            <w:r>
              <w:rPr>
                <w:sz w:val="4"/>
                <w:szCs w:val="4"/>
              </w:rPr>
            </w:r>
          </w:p>
        </w:tc>
        <w:tc>
          <w:tcPr>
            <w:tcW w:w="15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2" w:type="dxa"/>
            <w:gridSpan w:val="3"/>
            <w:tcBorders/>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6,246,067 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7,439,163 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249,293 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55,922 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305,701 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$182.2 million and $10.3 million for the exploration and production and midstream segments, respectively. Also includes corporate depletion, depreciation and amortization expenses of $0.3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$14.7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$53.3 million attributable to land and seismic acquisition expenditures related to the exploration and production segment and $14.1 million in capital expenditures attributable to non-controlling interest in subsidiaries related to the midstream segment.</w:t>
      </w:r>
    </w:p>
    <w:tbl>
      <w:tblPr>
        <w:tblW w:w="10205" w:type="dxa"/>
        <w:jc w:val="left"/>
        <w:tblInd w:w="0" w:type="dxa"/>
        <w:tblLayout w:type="fixed"/>
        <w:tblCellMar>
          <w:top w:w="28" w:type="dxa"/>
          <w:left w:w="28" w:type="dxa"/>
          <w:bottom w:w="28" w:type="dxa"/>
          <w:right w:w="28" w:type="dxa"/>
        </w:tblCellMar>
      </w:tblPr>
      <w:tblGrid>
        <w:gridCol w:w="739"/>
        <w:gridCol w:w="519"/>
        <w:gridCol w:w="520"/>
        <w:gridCol w:w="256"/>
        <w:gridCol w:w="1188"/>
        <w:gridCol w:w="132"/>
        <w:gridCol w:w="109"/>
        <w:gridCol w:w="109"/>
        <w:gridCol w:w="109"/>
        <w:gridCol w:w="211"/>
        <w:gridCol w:w="826"/>
        <w:gridCol w:w="109"/>
        <w:gridCol w:w="109"/>
        <w:gridCol w:w="109"/>
        <w:gridCol w:w="109"/>
        <w:gridCol w:w="211"/>
        <w:gridCol w:w="826"/>
        <w:gridCol w:w="109"/>
        <w:gridCol w:w="109"/>
        <w:gridCol w:w="109"/>
        <w:gridCol w:w="109"/>
        <w:gridCol w:w="499"/>
        <w:gridCol w:w="960"/>
        <w:gridCol w:w="259"/>
        <w:gridCol w:w="109"/>
        <w:gridCol w:w="109"/>
        <w:gridCol w:w="109"/>
        <w:gridCol w:w="240"/>
        <w:gridCol w:w="1111"/>
        <w:gridCol w:w="182"/>
      </w:tblGrid>
      <w:tr>
        <w:trPr/>
        <w:tc>
          <w:tcPr>
            <w:tcW w:w="73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746,874 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751,444 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51,563 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derivatives</w:t>
            </w:r>
          </w:p>
        </w:tc>
        <w:tc>
          <w:tcPr>
            <w:tcW w:w="14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318,746 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(51,137)</w:t>
            </w:r>
          </w:p>
        </w:tc>
        <w:tc>
          <w:tcPr>
            <w:tcW w:w="2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357,654 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466,525 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483,274 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r>
      <w:tr>
        <w:trPr/>
        <w:tc>
          <w:tcPr>
            <w:tcW w:w="17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3,900,138 </w:t>
            </w:r>
          </w:p>
        </w:tc>
        <w:tc>
          <w:tcPr>
            <w:tcW w:w="13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5,305,150 </w:t>
            </w:r>
          </w:p>
        </w:tc>
        <w:tc>
          <w:tcPr>
            <w:tcW w:w="1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8"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302,499 </w:t>
            </w:r>
          </w:p>
        </w:tc>
        <w:tc>
          <w:tcPr>
            <w:tcW w:w="13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330,757 </w:t>
            </w:r>
          </w:p>
        </w:tc>
        <w:tc>
          <w:tcPr>
            <w:tcW w:w="18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6"/>
        </w:rPr>
        <w:t>(1)Includes depletion, depreciation and amortization expenses of $109.1 million</w:t>
      </w:r>
      <w:r>
        <w:rPr>
          <w:color w:val="000000"/>
        </w:rPr>
        <w:t xml:space="preserve"> </w:t>
      </w:r>
      <w:r>
        <w:rPr>
          <w:rFonts w:ascii="Times New Roman;sans-serif" w:hAnsi="Times New Roman;sans-serif"/>
          <w:b w:val="false"/>
          <w:color w:val="000000"/>
          <w:sz w:val="16"/>
        </w:rPr>
        <w:t xml:space="preserve">and $9.2 million for the exploration and production and midstream segments, respectively. Also includes corporate depletion, depreciation and amortization expenses of $0.6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$16.5 million in net income attributable to non-controlling interest in subsidiaries related to the midstream segment.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(3)Includes $60.7 million attributable to land and seismic acquisition expenditures related to the exploration and production segment and $13.2 million in capital expenditures attributable to non-controlling interest in subsidiaries related to the midstream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Matador Resources Company and Subsidiaries</w:t>
      </w:r>
    </w:p>
    <w:p>
      <w:pPr>
        <w:pStyle w:val="TextBody"/>
        <w:bidi w:val="0"/>
        <w:spacing w:lineRule="auto" w:line="288" w:before="100" w:after="283"/>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 CONTINUED</w:t>
      </w:r>
    </w:p>
    <w:p>
      <w:pPr>
        <w:pStyle w:val="TextBody"/>
        <w:bidi w:val="0"/>
        <w:spacing w:lineRule="auto" w:line="288" w:before="220" w:after="283"/>
        <w:jc w:val="left"/>
        <w:rPr>
          <w:rFonts w:ascii="Times New Roman;sans-serif" w:hAnsi="Times New Roman;sans-serif"/>
          <w:b/>
          <w:color w:val="000000"/>
          <w:sz w:val="20"/>
        </w:rPr>
      </w:pPr>
      <w:r>
        <w:rPr>
          <w:rFonts w:ascii="Times New Roman;sans-serif" w:hAnsi="Times New Roman;sans-serif"/>
          <w:b/>
          <w:color w:val="000000"/>
          <w:sz w:val="20"/>
        </w:rPr>
        <w:t>NOTE 12 — SEGMENT INFORMATION — Continued</w:t>
      </w:r>
    </w:p>
    <w:tbl>
      <w:tblPr>
        <w:tblW w:w="10205" w:type="dxa"/>
        <w:jc w:val="left"/>
        <w:tblInd w:w="0" w:type="dxa"/>
        <w:tblLayout w:type="fixed"/>
        <w:tblCellMar>
          <w:top w:w="28" w:type="dxa"/>
          <w:left w:w="28" w:type="dxa"/>
          <w:bottom w:w="28" w:type="dxa"/>
          <w:right w:w="28" w:type="dxa"/>
        </w:tblCellMar>
      </w:tblPr>
      <w:tblGrid>
        <w:gridCol w:w="724"/>
        <w:gridCol w:w="503"/>
        <w:gridCol w:w="505"/>
        <w:gridCol w:w="255"/>
        <w:gridCol w:w="1181"/>
        <w:gridCol w:w="131"/>
        <w:gridCol w:w="109"/>
        <w:gridCol w:w="109"/>
        <w:gridCol w:w="109"/>
        <w:gridCol w:w="211"/>
        <w:gridCol w:w="976"/>
        <w:gridCol w:w="109"/>
        <w:gridCol w:w="109"/>
        <w:gridCol w:w="109"/>
        <w:gridCol w:w="109"/>
        <w:gridCol w:w="211"/>
        <w:gridCol w:w="749"/>
        <w:gridCol w:w="109"/>
        <w:gridCol w:w="109"/>
        <w:gridCol w:w="109"/>
        <w:gridCol w:w="109"/>
        <w:gridCol w:w="496"/>
        <w:gridCol w:w="954"/>
        <w:gridCol w:w="257"/>
        <w:gridCol w:w="109"/>
        <w:gridCol w:w="109"/>
        <w:gridCol w:w="109"/>
        <w:gridCol w:w="239"/>
        <w:gridCol w:w="1107"/>
        <w:gridCol w:w="180"/>
      </w:tblGrid>
      <w:tr>
        <w:trPr/>
        <w:tc>
          <w:tcPr>
            <w:tcW w:w="724"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1,788,307 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17,094 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992,351 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219,324 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(157,247)</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798,352 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6" w:type="dxa"/>
            <w:gridSpan w:val="3"/>
            <w:tcBorders/>
            <w:vAlign w:val="center"/>
          </w:tcPr>
          <w:p>
            <w:pPr>
              <w:pStyle w:val="TableContents"/>
              <w:bidi w:val="0"/>
              <w:spacing w:before="0" w:after="283"/>
              <w:jc w:val="left"/>
              <w:rPr>
                <w:sz w:val="4"/>
                <w:szCs w:val="4"/>
              </w:rPr>
            </w:pPr>
            <w:r>
              <w:rPr>
                <w:sz w:val="4"/>
                <w:szCs w:val="4"/>
              </w:rPr>
            </w:r>
          </w:p>
        </w:tc>
      </w:tr>
      <w:tr>
        <w:trPr/>
        <w:tc>
          <w:tcPr>
            <w:tcW w:w="17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6,246,067 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1,131,399 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7,439,163 </w:t>
            </w:r>
          </w:p>
        </w:tc>
        <w:tc>
          <w:tcPr>
            <w:tcW w:w="18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2,465,477 </w:t>
            </w:r>
          </w:p>
        </w:tc>
        <w:tc>
          <w:tcPr>
            <w:tcW w:w="13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151,331 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2,619,772 </w:t>
            </w:r>
          </w:p>
        </w:tc>
        <w:tc>
          <w:tcPr>
            <w:tcW w:w="18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$466.2 million and $29.5 million for the exploration and production and midstream segments, respectively. Also includes corporate depletion, depreciation and amortization expenses of $1.0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$42.9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$1.67 billion attributable to land and seismic acquisition expenditures related to the exploration and production segment, $63.6 million attributable to midstream acquisition expenditures and $25.4 million in capital expenditures attributable to non-controlling interest in subsidiaries related to the midstream segment.</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732"/>
        <w:gridCol w:w="513"/>
        <w:gridCol w:w="515"/>
        <w:gridCol w:w="257"/>
        <w:gridCol w:w="1192"/>
        <w:gridCol w:w="133"/>
        <w:gridCol w:w="109"/>
        <w:gridCol w:w="109"/>
        <w:gridCol w:w="109"/>
        <w:gridCol w:w="211"/>
        <w:gridCol w:w="826"/>
        <w:gridCol w:w="109"/>
        <w:gridCol w:w="109"/>
        <w:gridCol w:w="109"/>
        <w:gridCol w:w="109"/>
        <w:gridCol w:w="211"/>
        <w:gridCol w:w="826"/>
        <w:gridCol w:w="109"/>
        <w:gridCol w:w="109"/>
        <w:gridCol w:w="109"/>
        <w:gridCol w:w="109"/>
        <w:gridCol w:w="501"/>
        <w:gridCol w:w="964"/>
        <w:gridCol w:w="260"/>
        <w:gridCol w:w="109"/>
        <w:gridCol w:w="109"/>
        <w:gridCol w:w="109"/>
        <w:gridCol w:w="240"/>
        <w:gridCol w:w="1114"/>
        <w:gridCol w:w="184"/>
      </w:tblGrid>
      <w:tr>
        <w:trPr/>
        <w:tc>
          <w:tcPr>
            <w:tcW w:w="73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Exploration and Production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Consolidations and Eliminations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 Company</w:t>
            </w:r>
          </w:p>
        </w:tc>
      </w:tr>
      <w:tr>
        <w:trPr/>
        <w:tc>
          <w:tcPr>
            <w:tcW w:w="17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Midstream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Corporate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c>
          <w:tcPr>
            <w:tcW w:w="15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and natural gas revenues</w:t>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2,261,395 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2,270,728 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Midstream services revenues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157,290 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on derivatives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Expenses</w:t>
            </w:r>
            <w:r>
              <w:rPr>
                <w:rFonts w:ascii="Times New Roman;sans-serif" w:hAnsi="Times New Roman;sans-serif"/>
                <w:b w:val="false"/>
                <w:color w:val="000000"/>
                <w:sz w:val="13"/>
              </w:rPr>
              <w:t>(1)</w:t>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888,796 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(154,380)</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962,980 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Operating income</w:t>
            </w:r>
            <w:r>
              <w:rPr>
                <w:rFonts w:ascii="Times New Roman;sans-serif" w:hAnsi="Times New Roman;sans-serif"/>
                <w:b w:val="false"/>
                <w:color w:val="000000"/>
                <w:sz w:val="13"/>
              </w:rPr>
              <w:t>(2)</w:t>
            </w:r>
          </w:p>
        </w:tc>
        <w:tc>
          <w:tcPr>
            <w:tcW w:w="25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1,334,449 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(70,797)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1,387,570 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vAlign w:val="center"/>
          </w:tcPr>
          <w:p>
            <w:pPr>
              <w:pStyle w:val="TableContents"/>
              <w:bidi w:val="0"/>
              <w:spacing w:before="0" w:after="283"/>
              <w:jc w:val="left"/>
              <w:rPr>
                <w:sz w:val="4"/>
                <w:szCs w:val="4"/>
              </w:rPr>
            </w:pPr>
            <w:r>
              <w:rPr>
                <w:sz w:val="4"/>
                <w:szCs w:val="4"/>
              </w:rPr>
            </w:r>
          </w:p>
        </w:tc>
        <w:tc>
          <w:tcPr>
            <w:tcW w:w="15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8" w:type="dxa"/>
            <w:gridSpan w:val="3"/>
            <w:tcBorders/>
            <w:vAlign w:val="center"/>
          </w:tcPr>
          <w:p>
            <w:pPr>
              <w:pStyle w:val="TableContents"/>
              <w:bidi w:val="0"/>
              <w:spacing w:before="0" w:after="283"/>
              <w:jc w:val="left"/>
              <w:rPr>
                <w:sz w:val="4"/>
                <w:szCs w:val="4"/>
              </w:rPr>
            </w:pPr>
            <w:r>
              <w:rPr>
                <w:sz w:val="4"/>
                <w:szCs w:val="4"/>
              </w:rPr>
            </w:r>
          </w:p>
        </w:tc>
      </w:tr>
      <w:tr>
        <w:trPr/>
        <w:tc>
          <w:tcPr>
            <w:tcW w:w="17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5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3,900,138 </w:t>
            </w:r>
          </w:p>
        </w:tc>
        <w:tc>
          <w:tcPr>
            <w:tcW w:w="1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997,839 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407,173 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5,305,150 </w:t>
            </w:r>
          </w:p>
        </w:tc>
        <w:tc>
          <w:tcPr>
            <w:tcW w:w="18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Capital expenditures</w:t>
            </w:r>
            <w:r>
              <w:rPr>
                <w:rFonts w:ascii="Times New Roman;sans-serif" w:hAnsi="Times New Roman;sans-serif"/>
                <w:b w:val="false"/>
                <w:color w:val="000000"/>
                <w:sz w:val="13"/>
              </w:rPr>
              <w:t>(3)</w:t>
            </w:r>
          </w:p>
        </w:tc>
        <w:tc>
          <w:tcPr>
            <w:tcW w:w="25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714,987 </w:t>
            </w:r>
          </w:p>
        </w:tc>
        <w:tc>
          <w:tcPr>
            <w:tcW w:w="133"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138,975 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6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854,652 </w:t>
            </w:r>
          </w:p>
        </w:tc>
        <w:tc>
          <w:tcPr>
            <w:tcW w:w="18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(1)Includes depletion, depreciation and amortization expenses of $307.5 million and $25.5 million for the exploration and production and midstream segments, respectively. Also includes corporate depletion, depreciation and amortization expenses of $1.8 million.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(2)Includes $54.0 million in net income attributable to non-controlling interest in subsidiaries related to the midstream segment.</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(3)Includes $131.4 million attributable to land and seismic acquisition expenditures related to the exploration and production segment, $75.0 million in midstream acquisition expenditures and $30.7 million in capital expenditures attributable to non-controlling interest in subsidiaries related to the midstream segment.</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The following discussion and analysis of our financial condition and results of operations should be read in conjunction with our interim unaudited condensed consolidated financial statements and related notes thereto contained herein and the consolidated financial statements and related notes thereto contained in our Annual Report on Form 10-K for the year ended December 31, 2022 (the “Annual Report”) filed with the Securities and Exchange Commission (the “SEC”) on March 1, 2023, along with Management’s Discussion and Analysis of Financial Condition and Results of Operations contained in the Annual Report. The Annual Report is accessible on the SEC’s website at </w:t>
      </w:r>
      <w:r>
        <w:rPr>
          <w:rFonts w:ascii="Times New Roman;sans-serif" w:hAnsi="Times New Roman;sans-serif"/>
          <w:b w:val="false"/>
          <w:i/>
          <w:color w:val="000000"/>
          <w:sz w:val="20"/>
          <w:u w:val="single"/>
        </w:rPr>
        <w:t>www.sec.gov</w:t>
      </w:r>
      <w:r>
        <w:rPr>
          <w:color w:val="000000"/>
        </w:rPr>
        <w:t xml:space="preserve"> </w:t>
      </w:r>
      <w:r>
        <w:rPr>
          <w:rFonts w:ascii="Times New Roman;sans-serif" w:hAnsi="Times New Roman;sans-serif"/>
          <w:b w:val="false"/>
          <w:i/>
          <w:color w:val="000000"/>
          <w:sz w:val="20"/>
        </w:rPr>
        <w:t xml:space="preserve">and on our website at </w:t>
      </w:r>
      <w:r>
        <w:rPr>
          <w:rFonts w:ascii="Times New Roman;sans-serif" w:hAnsi="Times New Roman;sans-serif"/>
          <w:b w:val="false"/>
          <w:i/>
          <w:color w:val="000000"/>
          <w:sz w:val="20"/>
          <w:u w:val="single"/>
        </w:rPr>
        <w:t>www.matadorresources.com</w:t>
      </w:r>
      <w:r>
        <w:rPr>
          <w:rFonts w:ascii="Times New Roman;sans-serif" w:hAnsi="Times New Roman;sans-serif"/>
          <w:b w:val="false"/>
          <w:i/>
          <w:color w:val="000000"/>
          <w:sz w:val="20"/>
        </w:rPr>
        <w:t>. Our discussion and analysis includes forward-looking information that involves risks and uncertainties and should be read in conjunction with the “Risk Factors” section of the Annual Report and the section entitled “Cautionary Note Regarding Forward-Looking Statements” below for information about the risks and uncertainties that could cause our actual results to be materially different than our forward-looking statements.</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In this Quarterly Report on Form 10-Q (this “Quarterly Report”), (i) references to “we,” “our” or the “Company” refer to Matador Resources Company and its subsidiaries as a whole (unless the context indicates otherwise), (ii) references to “Matador” refer solely to Matador Resources Company, (iii) references to “San Mateo” refer to San Mateo Midstream, LLC, collectively with its subsidiaries and (iv) references to “Pronto” refer to Pronto Midstream, LLC. For certain oil and natural gas terms used in this Quarterly Report, please see the “Glossary of Oil and Natural Gas Terms” included with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constitute “forward-looking statements” within the meaning of Section 27A of the Securities Act of 1933, as amended (the “Securities Act”), and Section 21E of the Securities Exchange Act of 1934, as amended (the “Exchange Act”). Additionally, forward-looking statements may be made orally or in press releases, conferences, reports, on our website or otherwise, in the future by us or on our behalf. Such statements are generally identifiable by the terminology used such as “anticipate,” “believe,” “continue,” “could,” “estimate,” “expect,” “forecasted,” “hypothetical,” “intend,” “may,” “might,” “plan,” “potential,” “predict,” “project,” “should,” “would” or other similar words, although not all forward-looking statements contain such identifying words.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 xml:space="preserve">By their very nature, forward-looking statements require us to make assumptions that may not materialize or that may not be accurate. Forward-looking statements are subject to known and unknown risks and uncertainties and other factors that may cause actual results, levels of activity and achievements to differ materially from those expressed or implied by such statements. Such factors include those described in the “Risk Factors” section of the Annual Report, as well as the following factors, among others: </w:t>
      </w:r>
      <w:r>
        <w:rPr>
          <w:rFonts w:ascii="Times New Roman;sans-serif" w:hAnsi="Times New Roman;sans-serif"/>
          <w:b w:val="false"/>
          <w:color w:val="0A0A0A"/>
          <w:sz w:val="20"/>
        </w:rPr>
        <w:t xml:space="preserve">general economic conditions; our ability to execute our business plan, including whether our drilling program is successful; changes in oil, natural gas and natural gas liquids (“NGL”) prices and the demand for oil, natural gas and NGLs; our ability to replace reserves and efficiently develop current reserves; the operating results of our midstream business’s oil, natural gas and water gathering and transportation systems, pipelines and facilities, the acquiring of third-party business and the drilling of any additional salt water disposal wells; costs of operations; delays and other difficulties related to producing oil, natural gas and NGLs; delays and other difficulties related to regulatory and governmental approvals and restrictions; impact on our operations due to seismic events; availability of sufficient capital to execute our business plan, including from future cash flows, available borrowing capacity under our revolving credit facilities and otherwise; our ability to make acquisitions on economically acceptable terms; our ability to integrate acquisitions, including the Advance Acquisition (as defined below); the operating results of and availability of any potential distributions from our joint ventures; weather and environmental conditions; the ongoing impact of the novel coronavirus (“COVID-19”) and its variants on oil and natural gas demand, oil and natural gas prices and our business; </w:t>
      </w:r>
      <w:r>
        <w:rPr>
          <w:rFonts w:ascii="Times New Roman;sans-serif" w:hAnsi="Times New Roman;sans-serif"/>
          <w:b w:val="false"/>
          <w:color w:val="000000"/>
          <w:sz w:val="20"/>
        </w:rPr>
        <w:t>disruption from the Advance Acquisition making it more difficult to maintain business and operational relationships; significant transaction costs associated with the Advance Acquisition; the risk of litigation and/or regulatory actions related to the Advance Acquisition; and the other factors discussed below and elsewhere in this Quarterly Report and in other documents that we file with or furnish to the SEC, all of which are difficult to predict. Forward-looking statements may include statements about: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our business strategy;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estimated future reserves and the present value thereof, including whether or not a full-cost ceiling impairment could be realized;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cash flows and liquidity;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timing and payment of dividends, if any;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financial strategy, budget, projections and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supply and demand of oil, natural gas and NGLs;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oil, natural gas and NGL prices, including our realized prices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timing and amount of future production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drilling and production equipment;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storage capacity;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of oil field labor;</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amount, nature and timing of capital expenditures, including future exploration and development costs;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availability and terms of capital;</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drilling of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negotiate and consummate acquisition and divestiture opportunities;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integration of acquisitions, including the Advance Acquisition, with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government regulation and taxation of the oil and natural gas industry;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marketing of oil and natural gas;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exploitation projects or property acquisitions;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and the ability of our midstream joint venture to construct, maintain and operate midstream pipelines and facilities, including the operation of cryogenic natural gas processing plants and the drilling of additional salt water disposal wells;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ability of our midstream business to attract third-party volumes;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costs of exploiting and developing our properties and conducting other operations;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general economic conditions;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competition in the oil and natural gas industry, including in both the exploration and production and midstream segments;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effectiveness of our risk management and hedging activities;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technology;</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environmental liabilities;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initiatives and efforts relating to environmental, social and governance matters;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counterparty credit risk;</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geopolitical instability and developments in oil-producing and natural gas-producing countries;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COVID-19 and its variants on the oil and natural gas industry and our business;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future operating results;</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Advance Acquisition and the anticipated benefits thereof;</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impact of the Inflation Reduction Act of 2022;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plans, objectives, expectations and intentions contained in this Quarterly Report or in our other filings with the SEC that are not historical.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the expectations conveyed by the forward-looking statements in this Quarterly Report are reasonable based on information available to us on the date hereof, no assurances can be given as to future results, levels of activity, achievements or financial condition.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You should not place undue reliance on any forward-looking statement and should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impact of any one factor on a particular forward-looking statement is not determinable with certainty as such factors are interdependent upon other factors. The foregoing statements are not exclusive and further information concerning us, including factors that potentially could materially affect our financial results, may emerge from time to time. We undertake no obligation to update forward-looking statements to reflect actual results or changes in factors or assumptions affecting such forward-looking statements, except as required by law, including the securities laws of the United States and the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an independent energy company engaged in the exploration, development, production and acquisition of oil and natural gas resources in the United States, with an emphasis on oil and natural gas shale and other unconventional plays. Our current operations are focused primarily on the oil and liquids-rich portion of the Wolfcamp and Bone Spring plays in the Delaware Basin in Southeast New Mexico and West Texas. We also operate in the Eagle Ford shale play in South Texas and the Haynesville shale and Cotton Valley plays in Northwest Louisiana. Additionally, we conduct midstream operations in support of our exploration, development and production operations and provide natural gas processing, oil transportation services, oil, natural gas and produced water gathering services and produced water disposal services to third parties.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Third Quarter Highlights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our total oil equivalent production was 12.4 million BOE, and our average daily oil equivalent production was 135,096 BOE per day, of which 77,529 Bbl per day, or 57%, was oil and 345.4 MMcf per day, or 43%, was natural gas. Our average daily oil production of 77,529 Bbl per day for the three months ended September 30, 2023 increased 29% year-over-year from 60,163 Bbl per day for the three months ended September 30, 2022. Our average daily natural gas production of 345.4 MMcf per day for the three months ended September 30, 2023 increased 28% year-over-year from 270.3 MMcf per day for the three months ended September 30,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third quarter of 2023, we reported net income attributable to Matador shareholders of $263.7 million, or $2.20 per diluted common share, on a GAAP basis, as compared to net income attributable to Matador shareholders of $337.6 million, or $2.82 per diluted common share, for the third quarter of 2022. For the third quarter of 2023, our Adjusted EBITDA, a non-GAAP financial measure, was $508.3 million, as compared to Adjusted EBITDA of $539.7 million during the third quarter of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we reported net income attributable to Matador shareholders of $591.5 million, or $4.93 per diluted common share, on a GAAP basis, as compared to net income attributable to Matador shareholders of $960.4 million, or $8.01 per diluted common share, for the nine months ended September 30, 2022. For the nine months ended September 30, 2023, our Adjusted EBITDA, a non-GAAP financial measure, was $1.30 billion, as compared to Adjusted EBITDA of $1.67 billion during the nine months ended September 30,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For a definition of Adjusted EBITDA and a reconciliation of Adjusted EBITDA to our net income and net cash provided by operating activities, see “—Liquidity and Capital Resources—Non-GAAP Financial Measures.” For more information regarding our financial results for the three and nine months ended September 30, 2023, see “—Results of Operations” below.</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Advance Acquisition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12, 2023, our wholly-owned subsidiary completed the acquisition of Advance Energy Partners Holdings, LLC (“Advance”) from affiliates of EnCap Investments L.P., including certain oil and natural gas producing properties, undeveloped acreage and midstream assets located primarily in Lea County, New Mexico and Ward County, Texas (the “Advance Acquisition”). The Advance Acquisition had an effective date of January 1, 2023 and an aggregate purchase price consisting of (i) an amount in cash equal to approximately $1.60 billion (which amount is subject to certain customary post-closing adjustments) (the “Cash Consideration”) and (ii) potential additional cash consideration of $7.5 million for each month of 2023 in which the average oil price (as defined in the securities purchase agreement) exceeds $85 per barrel (all such payments for the 12 months in 2023, the “Contingent Consideration”). The Cash Consideration was paid upon the closing of the Advance Acquisition and was funded by a combination of cash on hand and borrowings under our reserves-based revolving credit facility (the “Credit Agreement”). The fair value of the Contingent Consideration was $21.2 million at April 12, 2023. The change in fair value of the Contingent Consideration included in “Other (expense) income” during the three and nine months ended September 30, 2023 was an expense of $15.7 million and income of $0.2 million, respectively. We made no cash payments related to the Contingent Consideration during the three and nine months ended September 30, 2023. In October 2023, we paid $7.5 million of the Contingent Consideration, as the average oil price for the month of September 2023 exceeded $85 per barrel. The estimated fair value of the remaining payments of the Contingent Consideration for the fourth quarter was $13.5 million as of September 30, 2023. The results of operations for the Advance Acquisition since the closing date of April 12, 2023 have been included in our condensed consolidated financial statements for the three and nine months ended September 30, 2023. See Note 3 to the interim unaudited condensed consolidated financial statements in this Quarterly Report for more information regarding the Advance Acquisition.</w:t>
      </w:r>
    </w:p>
    <w:p>
      <w:pPr>
        <w:pStyle w:val="TextBody"/>
        <w:bidi w:val="0"/>
        <w:spacing w:lineRule="auto" w:line="288" w:before="120" w:after="283"/>
        <w:jc w:val="left"/>
        <w:rPr/>
      </w:pPr>
      <w:r>
        <w:rPr>
          <w:rFonts w:ascii="Times New Roman;sans-serif" w:hAnsi="Times New Roman;sans-serif"/>
          <w:b w:val="false"/>
          <w:color w:val="000000"/>
          <w:sz w:val="20"/>
        </w:rPr>
        <w:t>O</w:t>
      </w:r>
      <w:r>
        <w:rPr>
          <w:rFonts w:ascii="Times New Roman;sans-serif" w:hAnsi="Times New Roman;sans-serif"/>
          <w:b w:val="false"/>
          <w:i/>
          <w:color w:val="000000"/>
          <w:sz w:val="20"/>
        </w:rPr>
        <w:t>perations Update</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shd w:fill="FFFFFF" w:val="clear"/>
        </w:rPr>
        <w:t xml:space="preserve">We began 2023 operating seven drilling rigs in the Delaware Basin. Following the closing of the Advance Acquisition on April 12, 2023, we continued operating the drilling rig that Advance had been operating. Near the end of June 2023, we released this eighth operated drilling rig and continued operating seven drilling rigs in the Delaware Basin. We currently plan to operate seven drilling rigs for the remainder of 2023 and add back an eighth operated drilling rig in the first quarter of 2024. </w:t>
      </w:r>
      <w:r>
        <w:rPr>
          <w:rFonts w:ascii="Times New Roman;sans-serif" w:hAnsi="Times New Roman;sans-serif"/>
          <w:b w:val="false"/>
          <w:color w:val="000000"/>
          <w:sz w:val="20"/>
        </w:rPr>
        <w:t>We have built significant optionality into our drilling program, which should generally allow us to decrease or increase the number of rigs we operate as necessary based on changing commodity prices and other factors.</w:t>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TextBody"/>
        <w:bidi w:val="0"/>
        <w:spacing w:before="120" w:after="283"/>
        <w:ind w:left="0" w:right="0" w:firstLine="495"/>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turned to sales a total of 64 gross (27.9 net) horizontal wells in the Delaware Basin during the third quarter of 2023, including 29 gross (26.1 net) operated horizontal wells and 35 gross (1.8 net) non-operated horizontal wells. During the third quarter of 2023, we did not turn to sales any operated wells on our leasehold properties in the Eagle Ford shale play in South Texas or in the Haynesville shale and Cotton Valley plays in Northwest Louisiana, although we did participate in one gross (less than 0.1 net) well turned to sales in the Haynesville shale in the third quarter 2023. The table below summarizes Matador’s operated and non-operated activity in the third quarter of 2023.</w:t>
      </w:r>
    </w:p>
    <w:tbl>
      <w:tblPr>
        <w:tblW w:w="10205" w:type="dxa"/>
        <w:jc w:val="left"/>
        <w:tblInd w:w="0" w:type="dxa"/>
        <w:tblLayout w:type="fixed"/>
        <w:tblCellMar>
          <w:top w:w="28" w:type="dxa"/>
          <w:left w:w="28" w:type="dxa"/>
          <w:bottom w:w="28" w:type="dxa"/>
          <w:right w:w="28" w:type="dxa"/>
        </w:tblCellMar>
      </w:tblPr>
      <w:tblGrid>
        <w:gridCol w:w="802"/>
        <w:gridCol w:w="584"/>
        <w:gridCol w:w="588"/>
        <w:gridCol w:w="120"/>
        <w:gridCol w:w="120"/>
        <w:gridCol w:w="120"/>
        <w:gridCol w:w="205"/>
        <w:gridCol w:w="205"/>
        <w:gridCol w:w="206"/>
        <w:gridCol w:w="120"/>
        <w:gridCol w:w="120"/>
        <w:gridCol w:w="120"/>
        <w:gridCol w:w="170"/>
        <w:gridCol w:w="170"/>
        <w:gridCol w:w="175"/>
        <w:gridCol w:w="120"/>
        <w:gridCol w:w="120"/>
        <w:gridCol w:w="120"/>
        <w:gridCol w:w="209"/>
        <w:gridCol w:w="209"/>
        <w:gridCol w:w="210"/>
        <w:gridCol w:w="153"/>
        <w:gridCol w:w="153"/>
        <w:gridCol w:w="153"/>
        <w:gridCol w:w="153"/>
        <w:gridCol w:w="153"/>
        <w:gridCol w:w="157"/>
        <w:gridCol w:w="120"/>
        <w:gridCol w:w="120"/>
        <w:gridCol w:w="120"/>
        <w:gridCol w:w="205"/>
        <w:gridCol w:w="205"/>
        <w:gridCol w:w="206"/>
        <w:gridCol w:w="120"/>
        <w:gridCol w:w="120"/>
        <w:gridCol w:w="120"/>
        <w:gridCol w:w="170"/>
        <w:gridCol w:w="170"/>
        <w:gridCol w:w="175"/>
        <w:gridCol w:w="120"/>
        <w:gridCol w:w="120"/>
        <w:gridCol w:w="120"/>
        <w:gridCol w:w="654"/>
        <w:gridCol w:w="654"/>
        <w:gridCol w:w="951"/>
      </w:tblGrid>
      <w:tr>
        <w:trPr/>
        <w:tc>
          <w:tcPr>
            <w:tcW w:w="8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Third Quarter 2023 Quarterly Well Count</w:t>
            </w:r>
          </w:p>
        </w:tc>
      </w:tr>
      <w:tr>
        <w:trPr/>
        <w:tc>
          <w:tcPr>
            <w:tcW w:w="19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Operated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Non-Operated</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 Operated and Non-Operated</w:t>
            </w:r>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Asset/Operating Area</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Gross </w:t>
            </w:r>
          </w:p>
        </w:tc>
        <w:tc>
          <w:tcPr>
            <w:tcW w:w="4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Gross</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Net</w:t>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Well Completion Intervals</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Western Antelope Ridge (Rodney Robinson)</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wells turned to sales in Q3 2023</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Antelope Ridge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1-3BS-Carb, 1-WC A, 4-WC B</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Arrowhead</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7-2BS, 3-3BS, 4-WC A</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Ranger</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3-2BS-Carb, 8-2BS, 6-3BS-Carb, 3-3BS, 3-WC A</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Rustler Breaks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3-1BS, 1-2BS, 4-WC A, 2-WC B</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Stateline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wells turned to sales in Q3 2023</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Wolf/Jackson Trust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1- 3BS-Carb, 3-3BS, 6-WC A, </w:t>
              <w:br/>
              <w:t>1-WC B</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 Texas</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No wells turned to sales in Q3 2023</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Haynesville Shale</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1-HV</w:t>
            </w:r>
          </w:p>
        </w:tc>
      </w:tr>
      <w:tr>
        <w:trPr/>
        <w:tc>
          <w:tcPr>
            <w:tcW w:w="1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4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w:t>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45"/>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Note: WC = Wolfcamp; BS = Bone Spring; HV = Haynesville; For example, 1-3BS-Carb indicates one Third Bone Spring Carbonate completion and 1-WC A indicates one Wolfcamp A completion. Any “0.0” values in the table above suggest a net working interest of less than 5%, which does not round to 0.1.</w:t>
            </w:r>
          </w:p>
        </w:tc>
      </w:tr>
      <w:tr>
        <w:trPr/>
        <w:tc>
          <w:tcPr>
            <w:tcW w:w="1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average daily oil equivalent production in the Delaware Basin for the third quarter of 2023 was 130,400 BOE per day, consisting of 76,800 Bbl of oil per day and 321.6 MMcf of natural gas per day, a 31% increase from 99,700 BOE per day, consisting of 59,300 Bbl of oil per day and 241.9 MMcf of natural gas per day, in the third quarter of 2022. These increases were primarily attributable to the Advance Acquisition and the increased number of wells being operated by us and other operators (where we own a working interest). The Delaware Basin contributed approximately 99% of our daily oil production and approximately 93% of our daily natural gas production in the third quarter of 2023, as compared to approximately 99% of our daily oil production and approximately 89% of our daily natural gas production in the third quarter of 2022.</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2023 Capital Expenditure Budget</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At October 24, 2023, our estimated drilling, completing and equipping (“D/C/E”) capital expenditures for 2023 remained $1.10 to $1.22 billion, which includes our expected D/C/E capital expenditures on acreage acquired in the Advance Acquisition. On October 24, 2023, we reduced our anticipated midstream capital expenditures for 2023 to a range of $135.0 to $165.0 million from a range of $150.0 to $200.0 million. These anticipated midstream capital expenditures include our proportionate share of San Mateo’s estimated 2023 capital expenditures as well as the estimated 2023 capital expenditures for other wholly-owned midstream projects, including projects undertaken by Pronto.</w:t>
      </w:r>
    </w:p>
    <w:p>
      <w:pPr>
        <w:pStyle w:val="TextBody"/>
        <w:bidi w:val="0"/>
        <w:spacing w:lineRule="auto" w:line="288" w:before="12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Capital Resources Update</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Matador’s Board of Directors (the “Board”) declared a quarterly cash dividend of $0.15 per share of common stock in each of the first, second and third quarters of 2023. On October 19, 2023, the Board amended our dividend policy to increase the quarterly dividend to $0.20 per share of common stock for future dividend payments and also declared a quarterly cash dividend of $0.20 per share of common stock payable on December 1, 2023 to shareholders of record as of November 10,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lenders under the Credit Agreement completed their review of our proved oil and natural gas reserves at December 31, 2022, and, as a result, we and our lenders entered into an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March 2023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19, 2023, the lenders under the Credit Agreement completed their review of our proved oil and natural gas reserves, and, as a result, we and our lenders entered into an amendment to the Fourth Amended and Restated Credit Agreement, which amended the Credit Agreement to, among other things: (i) increase the borrowing base from $2.25 billion to $2.50 billion, (ii) increase the elected commitment from $1.25 billion to $1.325 billion and (iii) increase the maximum facility amount from $1.50 billion to $2.00 billion. This October 2023 redetermination constituted the regularly scheduled November 1 redetermination.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April 11, 2023, we completed the sale of $500.0 million in aggregate principal amount of the Company’s 6.875% senior notes due 2028 (the “2028 Notes”). The 2028 Notes mature on April 15, 2028. Interest on the 2028 Notes is payable semi-annually in arrears on each April 15 and October 15, and the first interest payment date for the 2028 Notes was October 15, 2023. The 2028 Notes are jointly and severally guaranteed on a senior unsecured basis by certain subsidiaries of the Company (the “Guarantor Subsidiaries”). We received net proceeds from the issuance and sale of the 2028 Notes of approximately $487.6 million, after deducting the initial purchasers’ discounts and estimated offering expenses, which were used to partially repay borrowings under the Credit Agreement. Neither San Mateo nor Pronto is a guarantor of the 2028 Notes.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At September 30, 2023, we had (i) $530.0 million in borrowings outstanding under our Credit Agreement, (ii) approximately $45.4 million in outstanding letters of credit issued pursuant to the Credit Agreement, (iii) $699.2 million of outstanding 5.875% senior notes due 2026 (the “2026 Notes”), and (iv) $500.0 million of outstanding 2028 Notes. Between September 30, 2023 and October 24, 2023, we repaid $30.0 million of borrowings under the Credit Agreement. At September 30, 2023, San Mateo had $475.0 million in borrowings outstanding under San Mateo’s revolving credit facility (the “San Mateo Credit Facility”) and approximately $9.0 million in outstanding letters of credit issued pursuant to the San Mateo Credit Facility. Between September 30, 2023 and October 24, 2023, San Mateo repaid $23.0 million of borrowings under the San Mateo Credit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our critical accounting policies and estimates from those set forth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There are no recent accounting pronouncements that are expected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Revenues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revenues and production data for the periods indicated:</w:t>
      </w:r>
    </w:p>
    <w:tbl>
      <w:tblPr>
        <w:tblW w:w="10095" w:type="dxa"/>
        <w:jc w:val="left"/>
        <w:tblInd w:w="0" w:type="dxa"/>
        <w:tblLayout w:type="fixed"/>
        <w:tblCellMar>
          <w:top w:w="28" w:type="dxa"/>
          <w:left w:w="28" w:type="dxa"/>
          <w:bottom w:w="28" w:type="dxa"/>
          <w:right w:w="28" w:type="dxa"/>
        </w:tblCellMar>
      </w:tblPr>
      <w:tblGrid>
        <w:gridCol w:w="1518"/>
        <w:gridCol w:w="1331"/>
        <w:gridCol w:w="133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518"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18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Data</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Revenues (in thousands)</w:t>
            </w:r>
            <w:r>
              <w:rPr>
                <w:rFonts w:ascii="Times New Roman;sans-serif" w:hAnsi="Times New Roman;sans-serif"/>
                <w:b/>
                <w:color w:val="000000"/>
                <w:sz w:val="13"/>
              </w:rPr>
              <w:t>(1)</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oil and natural gas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1,792,353 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2,270,728 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Third-party midstream services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of 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157,290 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Realized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1,970,653 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2,350,550 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Net Production Volumes</w:t>
            </w:r>
            <w:r>
              <w:rPr>
                <w:rFonts w:ascii="Times New Roman;sans-serif" w:hAnsi="Times New Roman;sans-serif"/>
                <w:b/>
                <w:color w:val="000000"/>
                <w:sz w:val="13"/>
              </w:rPr>
              <w:t>(1)</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Oil (MBbl)</w:t>
            </w:r>
            <w:r>
              <w:rPr>
                <w:rFonts w:ascii="Times New Roman;sans-serif" w:hAnsi="Times New Roman;sans-serif"/>
                <w:b w:val="false"/>
                <w:color w:val="000000"/>
                <w:sz w:val="13"/>
              </w:rPr>
              <w:t>(2)</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Natural gas (Bcf)</w:t>
            </w:r>
            <w:r>
              <w:rPr>
                <w:rFonts w:ascii="Times New Roman;sans-serif" w:hAnsi="Times New Roman;sans-serif"/>
                <w:b w:val="false"/>
                <w:color w:val="000000"/>
                <w:sz w:val="13"/>
              </w:rPr>
              <w:t>(3)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Total oil equivalent (MBOE)</w:t>
            </w:r>
            <w:r>
              <w:rPr>
                <w:rFonts w:ascii="Times New Roman;sans-serif" w:hAnsi="Times New Roman;sans-serif"/>
                <w:b w:val="false"/>
                <w:color w:val="000000"/>
                <w:sz w:val="13"/>
              </w:rPr>
              <w:t>(4)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810"/>
              <w:jc w:val="left"/>
              <w:rPr/>
            </w:pPr>
            <w:r>
              <w:rPr>
                <w:rFonts w:ascii="Times New Roman;sans-serif" w:hAnsi="Times New Roman;sans-serif"/>
                <w:b w:val="false"/>
                <w:color w:val="000000"/>
                <w:sz w:val="20"/>
              </w:rPr>
              <w:t>Average daily production (BOE/d)</w:t>
            </w:r>
            <w:r>
              <w:rPr>
                <w:rFonts w:ascii="Times New Roman;sans-serif" w:hAnsi="Times New Roman;sans-serif"/>
                <w:b w:val="false"/>
                <w:color w:val="000000"/>
                <w:sz w:val="13"/>
              </w:rPr>
              <w:t>(5)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103,352 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Average Sales Prices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without realized derivatives (per Bbl)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Oil, with realized derivatives (per Bbl)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without realized derivatives (per Mcf)</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with realized derivatives (per Mcf)</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(1)We report our production volumes in two streams: oil and natural gas, including both dry and liquids-rich natural gas. Revenues associated with NGLs are included with our natural gas revenues.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(2)One thousand Bbl of oil.</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(3)One billion cubic feet of natural gas.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(4)One thousand Bbl of oil equivalent, estimated using a conversion ratio of one Bbl of oil per six Mcf of natural gas.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(5)Barrels of oil equivalent per day, estimated using a conversion ratio of one Bbl of oil per six Mcf of natural gas.</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2023 as Compared to Three Months Ended September 30, 2022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Our oil and natural gas revenues decreased $49.9 million, or 7%, to $701.5 million for the three months ended September 30, 2023, as compared to $751.4 million for the three months ended September 30, 2022. Our oil revenues increased $66.1 million, or 13%, to $588.4 million for the three months ended September 30, 2023, as compared to $522.3 million for the three months ended September 30, 2022. The increase in oil revenues resulted from a 29% increase in our oil production to 7.1 million Bbl for the three months ended September 30, 2023, as compared to 5.5 million Bbl for the three months ended September 30, 2022, which was partially offset by a 13% decrease in the weighted average oil price realized for the three months ended September 30, 2023 to $82.49 per Bbl, as compared to $94.36 per Bbl for the three months ended September 30, 2022. Our natural gas revenues decreased $116.0 million, or 51%, to $113.2 million for the three months ended September 30, 2023, as compared to $229.2 million for the three months ended September 30, 2022. The decrease in natural gas revenues resulted from a 61% decrease in the weighted average natural gas price realized for the three months ended September 30, 2023 to $3.56 per Mcf, as compared to a weighted average natural gas price of $9.22 per Mcf realized for the three months ended September 30, 2022, which was partially offset by a 28% increase in our natural gas production to 31.8 Bcf for the three months ended September 30, 2023, as compared to 24.9 Bcf for the three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$5.2 million, or 21%, to $29.9 million for the three months ended September 30, 2023, as compared to $24.7 million for the three months ended September 30, 2022. Third-party midstream services revenues are those revenues from midstream operations related to third parties, including working interest owners in our operated wells. This increase was primarily attributable to an increase in our third-party natural gas gathering and processing revenues to $16.7 million for the three months ended September 30, 2023, as compared to $12.6 million for the three months ended September 30, 2022, that was due in part to our Pronto midstream assets.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 xml:space="preserve">Our sales of purchased natural gas decreased $37.6 million, or 48%, to $40.3 million for the three months ended September 30, 2023, as compared to $77.9 million for the three months ended September 30, 2022. This decrease was the result of a 71% decrease in natural gas price realized, which was partially offset by a 78% increase in natural gas volumes sold. Sales of purchased natural gas reflect those natural gas purchase transactions that we periodically enter into with third parties whereby we purchase natural gas and (i) subsequently sell the natural gas to other purchasers or (ii) process the natural gas at either Pronto’s or San Mateo’s cryogenic natural gas processing plant and subsequently sell the residue gas and NGLs to other purchasers. These revenues, and the expenses related to these transactions included in “Purchased natural gas,” are presented on a gross basis in our interim unaudited condensed consolidated statements of operations.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Realized loss on derivatives.</w:t>
      </w:r>
      <w:r>
        <w:rPr>
          <w:color w:val="000000"/>
        </w:rPr>
        <w:t xml:space="preserve"> </w:t>
      </w:r>
      <w:r>
        <w:rPr>
          <w:rFonts w:ascii="Times New Roman;sans-serif" w:hAnsi="Times New Roman;sans-serif"/>
          <w:b w:val="false"/>
          <w:color w:val="000000"/>
          <w:sz w:val="20"/>
        </w:rPr>
        <w:t>Our realized loss on derivatives was $7.0 million for the three months ended September 30, 2023, as compared to a realized loss of $56.3 million for the three months ended September 30, 2022. We realized a net loss of $7.0 million related to our natural gas basis differential swap contract for the three months ended September 30, 2023, resulting from natural gas basis differentials that were above the strike price of our natural gas basis differential swap contract. For the three months ended September 30, 2022, we realized a net loss of $14.8 million related to our oil costless collar and oil basis differential swap contracts, resulting primarily from oil prices that were above the ceiling prices of our oil costless collar contracts and above the strike prices of certain of our oil basis differential swap contracts. We realized a net loss of $41.5 million related to our natural gas costless collar contracts for the three months ended September 30, 2022, resulting primarily from natural gas prices that were above the ceiling prices of certain of our natural gas costless collar contracts. We realized an average loss on our natural gas derivatives of approximately $0.22 per Mcf produced during the three months ended September 30, 2023, as compared to an average loss of approximately $1.67 per Mcf produced during the three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Unrealized gain (loss) on derivatives.</w:t>
      </w:r>
      <w:r>
        <w:rPr>
          <w:color w:val="000000"/>
        </w:rPr>
        <w:t xml:space="preserve"> </w:t>
      </w:r>
      <w:r>
        <w:rPr>
          <w:rFonts w:ascii="Times New Roman;sans-serif" w:hAnsi="Times New Roman;sans-serif"/>
          <w:b w:val="false"/>
          <w:color w:val="000000"/>
          <w:sz w:val="20"/>
        </w:rPr>
        <w:t>During the three months ended September 30, 2023, the aggregate net fair value of our open natural gas basis differential swap contract changed to a net liability of $4.3 million from a net liability of $11.8 million at June 30, 2023, resulting in an unrealized gain on derivatives of $7.5 million for the three months ended September 30, 2023. During the three months ended September 30, 2022, the aggregate net fair value of our open oil and natural gas derivative contracts changed to a net liability of $16.4 million from a net liability of $59.5 million at June 30, 2022, resulting in an unrealized gain on derivatives of $43.1 million for the three months ended September 30, 2022.</w:t>
      </w:r>
    </w:p>
    <w:p>
      <w:pPr>
        <w:pStyle w:val="TextBody"/>
        <w:bidi w:val="0"/>
        <w:spacing w:lineRule="auto" w:line="288" w:before="120" w:after="283"/>
        <w:ind w:left="0" w:right="0" w:firstLine="225"/>
        <w:jc w:val="left"/>
        <w:rPr/>
      </w:pPr>
      <w:r>
        <w:rPr>
          <w:rFonts w:ascii="Times New Roman;sans-serif" w:hAnsi="Times New Roman;sans-serif"/>
          <w:b w:val="false"/>
          <w:i/>
          <w:color w:val="000000"/>
          <w:sz w:val="20"/>
        </w:rPr>
        <w:t>Nine Months Ended September 30, 2023 as Compared to Nine Months Ended September 30, 2022</w:t>
      </w:r>
      <w:r>
        <w:rPr>
          <w:color w:val="000000"/>
        </w:rPr>
        <w:t xml:space="preserve">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Oil and natural gas revenues. </w:t>
      </w:r>
      <w:r>
        <w:rPr>
          <w:rFonts w:ascii="Times New Roman;sans-serif" w:hAnsi="Times New Roman;sans-serif"/>
          <w:b w:val="false"/>
          <w:color w:val="000000"/>
          <w:sz w:val="20"/>
        </w:rPr>
        <w:t xml:space="preserve">Our oil and natural gas revenues decreased $478.4 million, or 21%, to $1.79 billion for the nine months ended September 30, 2023, as compared to $2.27 billion for the nine months ended September 30, 2022. Our oil revenues decreased $132.1 million, or 8%, to $1.50 billion for the nine months ended September 30, 2023, as compared to $1.63 billion for the nine months ended September 30, 2022. This decrease in oil revenues resulted from a 23% decrease in the weighted average oil price realized for the nine months ended September 30, 2023 to $77.41 per Bbl, as compared to $100.71 per Bbl for the nine months ended September 30, 2022, which was partially offset by a 20% increase in our oil production to 19.4 million Bbl for the nine months ended September 30, 2023, as compared to 16.2 million Bbl for the nine months ended September 30, 2022. Our natural gas revenues decreased by $346.3 million, or 54%, to $291.8 million for the nine months ended September 30, 2023, as compared to $638.1 million for the nine months ended September 30, 2022. The decrease in natural gas revenues resulted from a 62% decrease in the weighted average natural gas price realized for the nine months ended September 30, 2023 to $3.35 per Mcf, as compared to a weighted average natural gas price of $8.86 per Mcf for the nine months ended September 30, 2022, which was partially offset by a 21% increase in our natural gas production to 87.2 Bcf for the nine months ended September 30, 2023, as compared to 72.1 Bcf for the nine months ended September 30, 2022.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Third-party midstream services revenues. </w:t>
      </w:r>
      <w:r>
        <w:rPr>
          <w:rFonts w:ascii="Times New Roman;sans-serif" w:hAnsi="Times New Roman;sans-serif"/>
          <w:b w:val="false"/>
          <w:color w:val="000000"/>
          <w:sz w:val="20"/>
        </w:rPr>
        <w:t>Our third-party midstream services revenues increased $22.6 million, or 35%, to $86.5 million for the nine months ended September 30, 2023, as compared to $63.9 million for the nine months ended September 30, 2022. This increase was primarily attributable to an increase in our third-party natural gas gathering and processing revenues that was due in part to our Pronto midstream assets, which were purchased on June 30, 2022, to $47.5 million for the nine months ended September 30, 2023, as compared to $31.1 million for the nine months ended September 30, 2022, and an increase in our third-party produced water disposal revenues to $31.4 million for the nine months ended September 30, 2023, as compared to $25.7 million for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of purchased natural gas.</w:t>
      </w:r>
      <w:r>
        <w:rPr>
          <w:color w:val="000000"/>
        </w:rPr>
        <w:t xml:space="preserve"> </w:t>
      </w:r>
      <w:r>
        <w:rPr>
          <w:rFonts w:ascii="Times New Roman;sans-serif" w:hAnsi="Times New Roman;sans-serif"/>
          <w:b w:val="false"/>
          <w:color w:val="000000"/>
          <w:sz w:val="20"/>
        </w:rPr>
        <w:t>Our sales of purchased natural gas decreased $50.8 million, or 32%, to $106.5 million for the nine months ended September 30, 2023, as compared to $157.3 million for the nine months ended September 30, 2022. This decrease was the result of a 71% decrease in natural gas price realized, which was partially offset by a 137% increase in natural gas volumes sold.</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Realized loss on derivatives. </w:t>
      </w:r>
      <w:r>
        <w:rPr>
          <w:rFonts w:ascii="Times New Roman;sans-serif" w:hAnsi="Times New Roman;sans-serif"/>
          <w:b w:val="false"/>
          <w:color w:val="000000"/>
          <w:sz w:val="20"/>
        </w:rPr>
        <w:t>Our realized loss on derivatives was $6.5 million for the nine months ended September 30, 2023, as compared to a realized loss of $139.9 million for the nine months ended September 30, 2022. We realized a net loss of $6.5 million related to our natural gas costless collar and natural gas basis differential swap contracts for the nine months ended September 30, 2023, resulting primarily from natural gas basis differentials that were above the strike price of our natural gas basis differential swap contract, offset by natural gas prices that were below the floor prices of certain of our natural gas costless collar contracts. For the nine months ended September 30, 2022, we realized a net loss of $67.2 million related to our oil costless collar and oil basis differential swap contracts, resulting primarily from oil prices that were above the ceiling prices of certain of our oil costless collar contracts and above the strike prices of certain of our oil basis differential swap contracts. We realized a net loss of $72.7 million related to our natural gas costless collar contracts for the nine months ended September 30, 2022, resulting primarily from natural gas prices that were above the ceiling prices of certain of our natural gas costless collar contracts. We realized an average loss on our natural gas derivatives of approximately $0.08 per Mcf produced during the nine months ended September 30, 2023, as compared to an average loss of approximately $1.01 per Mcf produced during the nine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Unrealized gain (loss) on derivatives. </w:t>
      </w:r>
      <w:r>
        <w:rPr>
          <w:rFonts w:ascii="Times New Roman;sans-serif" w:hAnsi="Times New Roman;sans-serif"/>
          <w:b w:val="false"/>
          <w:color w:val="000000"/>
          <w:sz w:val="20"/>
        </w:rPr>
        <w:t>During the nine months ended September 30, 2023, the aggregate net fair value of our open natural gas derivative contracts changed to a net liability of $4.3 million from a net asset of $3.9 million at December 31, 2022, resulting in an unrealized loss on derivatives of $8.2 million for the nine months ended September 30, 2023. During the nine months ended September 30, 2022, the aggregate net fair value of our open oil and natural gas derivative contracts changed to a net liability of $16.4 million from a net liability of $14.9 million at December 31, 2021, resulting in an unrealized loss on derivatives of $1.5 million for the nine months ended September 30,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before="120" w:after="283"/>
        <w:ind w:left="0" w:right="0" w:firstLine="225"/>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unaudited operating expenses and other income (expense) for the periods indicated:</w:t>
      </w:r>
    </w:p>
    <w:tbl>
      <w:tblPr>
        <w:tblW w:w="10205" w:type="dxa"/>
        <w:jc w:val="left"/>
        <w:tblInd w:w="0" w:type="dxa"/>
        <w:tblLayout w:type="fixed"/>
        <w:tblCellMar>
          <w:top w:w="28" w:type="dxa"/>
          <w:left w:w="28" w:type="dxa"/>
          <w:bottom w:w="28" w:type="dxa"/>
          <w:right w:w="28" w:type="dxa"/>
        </w:tblCellMar>
      </w:tblPr>
      <w:tblGrid>
        <w:gridCol w:w="1754"/>
        <w:gridCol w:w="1418"/>
        <w:gridCol w:w="1421"/>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1754"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5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 except expenses per BOE)</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219,441 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Lease operating</w:t>
            </w:r>
            <w:r>
              <w:rPr>
                <w:color w:val="000000"/>
              </w:rPr>
              <w:t xml:space="preserve">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Purchased natural gas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81,713 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962,980 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1,387,570 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Other income (expense)</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on impairment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292,988 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762,985 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1,332,837 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 (benefit)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266,489 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318,429 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Expenses per BOE</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Production taxes, transportation and processing </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operating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Plant and other midstream services operating</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Three Months Ended September 30, 2023 as Compared to Three Months Ended September 30, 2022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Production taxes, transportation and processing.</w:t>
      </w:r>
      <w:r>
        <w:rPr>
          <w:color w:val="000000"/>
        </w:rPr>
        <w:t xml:space="preserve"> </w:t>
      </w:r>
      <w:r>
        <w:rPr>
          <w:rFonts w:ascii="Times New Roman;sans-serif" w:hAnsi="Times New Roman;sans-serif"/>
          <w:b w:val="false"/>
          <w:color w:val="000000"/>
          <w:sz w:val="20"/>
        </w:rPr>
        <w:t xml:space="preserve">Our production taxes and transportation and processing expenses decreased $2.3 million, or 3%, to $71.7 million for the three months ended September 30, 2023, as compared to $74.0 million for the three months ended September 30, 2022. On a unit-of-production basis, our production taxes and transportation and processing expenses decreased 24% to $5.77 per BOE for the three months ended September 30, 2023, as compared to $7.64 per BOE for the three months ended September 30, 2022. These decreases were primarily attributable to a $3.5 million decrease in production taxes to $54.8 million for the three months ended September 30, 2023, as compared to $58.3 million for the three months ended September 30, 2022, primarily due to the decrease in oil and natural gas revenues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Lease operating.</w:t>
      </w:r>
      <w:r>
        <w:rPr>
          <w:color w:val="000000"/>
        </w:rPr>
        <w:t xml:space="preserve"> </w:t>
      </w:r>
      <w:r>
        <w:rPr>
          <w:rFonts w:ascii="Times New Roman;sans-serif" w:hAnsi="Times New Roman;sans-serif"/>
          <w:b w:val="false"/>
          <w:color w:val="000000"/>
          <w:sz w:val="20"/>
        </w:rPr>
        <w:t xml:space="preserve">Our lease operating expenses increased $24.0 million, or 57%, to $66.4 million for the three months ended September 30, 2023, as compared to $42.4 million for the three months ended September 30, 2022. Our lease operating expenses on a unit-of-production basis increased 22% to $5.34 per BOE for the three months ended September 30, 2023, as compared to $4.38 per BOE for the three months ended September 30, 2022. These increases were primarily attributable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increased number of wells being operated by us, including 127 wells from the Advance Acquisition, and operated by other operators (where we own a working interest) and to operating cost inflation for the three months ended September 30, 2023, as compared to the three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$6.0 million, or 24%, to $30.8 million for the three months ended September 30, 2023, as compared to $24.8 million for the three months ended September 30, 2022. This increase was primarily attributable to increased throughput volumes from Matador and other San Mateo and Pronto customers, which resulted in (i) increased expenses associated with our expanded pipeline operations of $9.9 million for the three months ended September 30, 2023, as compared to $6.0 million for the three months ended September 30, 2022, and (ii) increased expenses with operating our San Mateo and Pronto natural gas processing facilities of $8.5 million for the three months ended September 30, 2023, as compared to $5.6 million for the three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 xml:space="preserve">Our depletion, depreciation and amortization expenses increased $73.9 million, or 62%, to $192.8 million for the three months ended September 30, 2023, as compared to $118.9 million for the three months ended September 30, 2022, primarily as a result of the Advance Acquisition and a 28% increase in our total oil equivalent production for the three months ended September 30, 2023, as compared to the three months ended September 30, 2022. On a unit-of-production basis, our depletion, depreciation and amortization expenses increased 26% to $15.51 per BOE for the three months ended September 30, 2023, as compared to $12.28 per BOE for the three months ended September 30, 2022, primarily as a result of the Advance Acquisition and an increase in actual costs and estimated future costs to drill, complete and equip our wells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General and administrative</w:t>
      </w:r>
      <w:r>
        <w:rPr>
          <w:rFonts w:ascii="Times New Roman;sans-serif" w:hAnsi="Times New Roman;sans-serif"/>
          <w:b w:val="false"/>
          <w:color w:val="000000"/>
          <w:sz w:val="20"/>
        </w:rPr>
        <w:t xml:space="preserve">. Our general and administrative expenses increased $4.2 million, or 15%, to $31.7 million for the three months ended September 30, 2023, as compared to $27.5 million for the three months ended September 30, 2022. Our general and administrative expenses decreased by 11% on a unit-of-production basis to $2.55 per BOE for the three months ended September 30, 2023, as compared to $2.85 per BOE for the three months ended September 30, 2022, primarily as a result of a 28% increase in our total oil equivalent production between the two periods.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three months ended September 30, 2023, we incurred total interest expense of $42.8 million. We capitalized $7.4 million of our interest expense on certain qualifying projects for the three months ended September 30, 2023 and expensed the remaining $35.4 million to operations. For the three months ended September 30, 2022, we incurred total interest expense of $19.0 million. We capitalized $3.0 million of our interest expense on certain qualifying projects for the three months ended September 30, 2022 and expensed the remaining $16.0 million to operations. The increase in interest expense for the three months ended September 30, 2023 is a result of borrowings under the Credit Agreement that were used in connection with the Advance Acquisition, the issuance of the 2028 Notes in April 2023 and the significant increase in interest rates between the two periods.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Income tax provision. </w:t>
      </w:r>
      <w:r>
        <w:rPr>
          <w:rFonts w:ascii="Times New Roman;sans-serif" w:hAnsi="Times New Roman;sans-serif"/>
          <w:b w:val="false"/>
          <w:color w:val="000000"/>
          <w:sz w:val="20"/>
        </w:rPr>
        <w:t>We recorded a current income tax provision of $9.0 million and a deferred income tax provision of $5.6 million for the three months ended September 30, 2023. We recorded a current income tax provision of $0.3 million and a deferred income tax provision of $113.7 million for the three months ended September 30, 2022. Our effective income tax rate of 5% for the three months ended September 30, 2023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 Our effective income tax rate of 25% for the three months ended September 30, 2022 differed from the U.S. federal statutory rate due primarily to permanent differences between book and taxable income and state taxes, primarily in New Mexico.</w:t>
      </w:r>
    </w:p>
    <w:p>
      <w:pPr>
        <w:pStyle w:val="TextBody"/>
        <w:bidi w:val="0"/>
        <w:spacing w:lineRule="auto" w:line="288" w:before="120" w:after="283"/>
        <w:ind w:left="0" w:right="0" w:firstLine="27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Nine Months Ended September 30, 2023 as Compared to Nine Months Ended September 30, 2022 </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Production taxes, transportation and processing. </w:t>
      </w:r>
      <w:r>
        <w:rPr>
          <w:rFonts w:ascii="Times New Roman;sans-serif" w:hAnsi="Times New Roman;sans-serif"/>
          <w:b w:val="false"/>
          <w:color w:val="000000"/>
          <w:sz w:val="20"/>
        </w:rPr>
        <w:t>Our production taxes, transportation and processing expenses decreased $30.3 million, or 14%, to $189.2 million for the nine months ended September 30, 2023, as compared to $219.4 million for the nine months ended September 30, 2022. On a unit-of-production basis, our production taxes, transportation and processing expenses decreased 28% to $5.58 per BOE for the nine months ended September 30, 2023, as compared to $7.78 per BOE for the nine months ended September 30, 2022. These decreases were primarily attributable to a $36.2 million decrease in production taxes to $141.2 million for the nine months ended September 30, 2023, as compared to $177.4 million for the nine months ended September 30, 2022, primarily due to the 21% decrease in oil and natural gas revenues between the two periods.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Lease operating expenses. </w:t>
      </w:r>
      <w:r>
        <w:rPr>
          <w:rFonts w:ascii="Times New Roman;sans-serif" w:hAnsi="Times New Roman;sans-serif"/>
          <w:b w:val="false"/>
          <w:color w:val="000000"/>
          <w:sz w:val="20"/>
        </w:rPr>
        <w:t xml:space="preserve">Our lease operating expenses increased $55.7 million, or 48%, to $171.8 million for the nine months ended September 30, 2023, as compared to $116.2 million for the nine months ended September 30, 2022. Our lease operating expenses per unit of production increased 23% to $5.07 per BOE for the nine months ended September 30, 2023, as compared to $4.12 per BOE for the nine months ended September 30, 2022. These increases were primarily attributable to the increased number of wells being operated by us, including 127 wells from the Advance Acquisition, and operated by other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operators (where we own a working interest) and to operating cost inflation for the nine months ended September 30, 2023, as compared to the nine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Plant and other midstream services operating. </w:t>
      </w:r>
      <w:r>
        <w:rPr>
          <w:rFonts w:ascii="Times New Roman;sans-serif" w:hAnsi="Times New Roman;sans-serif"/>
          <w:b w:val="false"/>
          <w:color w:val="000000"/>
          <w:sz w:val="20"/>
        </w:rPr>
        <w:t>Our plant and other midstream services operating expenses increased $26.2 million, or 40%, to $92.5 million for the nine months ended September 30, 2023, as compared to $66.3 million for the nine months ended September 30, 2022. This increase was primarily attributable to increased throughput volumes from Matador and other San Mateo and Pronto customers, which resulted in (i) increased expenses with operating our Pronto midstream assets of $15.2 million for the nine months ended September 30, 2023, which were purchased on June 30, 2022, as compared to $2.2 million for the nine months ended September 30, 2022, (ii) increased expenses associated with our expanded pipeline operations of $21.7 million for the nine months ended September 30, 2023, as compared to $16.2 million for the nine months ended September 30, 2022, and (iii) increased expenses associated with our commercial produced water disposal operations of $38.4 million for the nine months ended September 30, 2023, as compared to $35.0 million for the nine months ended September 30, 2022.</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 xml:space="preserve">Depletion, depreciation and amortization. </w:t>
      </w:r>
      <w:r>
        <w:rPr>
          <w:rFonts w:ascii="Times New Roman;sans-serif" w:hAnsi="Times New Roman;sans-serif"/>
          <w:b w:val="false"/>
          <w:color w:val="000000"/>
          <w:sz w:val="20"/>
        </w:rPr>
        <w:t>Our depletion, depreciation and amortization expenses increased $161.9 million, or 48%, to $496.6 million for the nine months ended September 30, 2023, as compared to $334.7 million for the nine months ended September 30, 2022, primarily as a result of the Advance Acquisition and a 20% increase in our total oil equivalent production for the nine months ended September 30, 2023, as compared to the nine months ended September 30, 2022. On a unit-of-production basis, our depletion, depreciation and amortization expenses increased to $14.64 per BOE for the nine months ended September 30, 2023, or 23%, from $11.86 per BOE for the nine months ended September 30, 2022, primarily as a result of the Advance Acquisition and an increase in actual costs and estimated future costs to drill, complete and equip our wells between the two periods.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General and administrative. </w:t>
      </w:r>
      <w:r>
        <w:rPr>
          <w:rFonts w:ascii="Times New Roman;sans-serif" w:hAnsi="Times New Roman;sans-serif"/>
          <w:b w:val="false"/>
          <w:color w:val="000000"/>
          <w:sz w:val="20"/>
        </w:rPr>
        <w:t>Our general and administrative expenses decreased $0.8 million, or 1%, to $80.9 million for the nine months ended September 30, 2023, as compared to $81.7 million for the nine months ended September 30, 2022. Our general and administrative expenses decreased by 18% on a unit-of-production basis to $2.38 per BOE for the nine months ended September 30, 2023, as compared to $2.90 per BOE for the nine months ended September 30, 2022, primarily as a result of the 20% increase in our total oil equivalent production between the two periods.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 xml:space="preserve">Interest expense. </w:t>
      </w:r>
      <w:r>
        <w:rPr>
          <w:rFonts w:ascii="Times New Roman;sans-serif" w:hAnsi="Times New Roman;sans-serif"/>
          <w:b w:val="false"/>
          <w:color w:val="000000"/>
          <w:sz w:val="20"/>
        </w:rPr>
        <w:t>For the nine months ended September 30, 2023, we incurred total interest expense of approximately $101.9 million. We capitalized approximately $16.1 million of our interest expense on certain qualifying projects for the nine months ended September 30, 2023 and expensed the remaining $85.8 million to operations. For the nine months ended September 30, 2022, we incurred total interest expense of approximately $58.1 million. We capitalized approximately $7.4 million of our interest expense on certain qualifying projects for the nine months ended September 30, 2022 and expensed the remaining $50.7 million to operations. The increase in interest expense for the nine months ended September 30, 2023 is a result of borrowings under the Credit Agreement that were used in connection with the Advance Acquisition, the issuance of the 2028 Notes in April 2023 and the significant increase in interest rates between the two periods.</w:t>
      </w:r>
    </w:p>
    <w:p>
      <w:pPr>
        <w:pStyle w:val="TextBody"/>
        <w:bidi w:val="0"/>
        <w:spacing w:lineRule="auto" w:line="288" w:before="180" w:after="283"/>
        <w:ind w:left="0" w:right="0" w:firstLine="450"/>
        <w:jc w:val="left"/>
        <w:rPr/>
      </w:pPr>
      <w:r>
        <w:rPr>
          <w:rFonts w:ascii="Times New Roman;sans-serif" w:hAnsi="Times New Roman;sans-serif"/>
          <w:b w:val="false"/>
          <w:i/>
          <w:color w:val="000000"/>
          <w:sz w:val="20"/>
        </w:rPr>
        <w:t>Income tax provision</w:t>
      </w:r>
      <w:r>
        <w:rPr>
          <w:rFonts w:ascii="Times New Roman;sans-serif" w:hAnsi="Times New Roman;sans-serif"/>
          <w:b w:val="false"/>
          <w:color w:val="000000"/>
          <w:sz w:val="20"/>
        </w:rPr>
        <w:t>. We recorded a current income tax provision of $9.0 million and a deferred income tax provision of $119.6 million for the nine months ended September 30, 2023. Our current income tax provision was $51.9 million and our deferred income tax provision was $266.5 million for the nine months ended September 30, 2022. Our effective income tax rate of 18% for the nine months ended September 30, 2023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 Our effective income tax rate of 25% for the nine months ended September 30, 2022 differed from the U.S. federal statutory rate due primarily to permanent differences between book and taxable income and state taxes, primarily in New Mexico.</w:t>
      </w:r>
    </w:p>
    <w:p>
      <w:pPr>
        <w:pStyle w:val="TextBody"/>
        <w:bidi w:val="0"/>
        <w:spacing w:before="180" w:after="283"/>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primary use of capital has been, and we expect will continue to be during the remainder of 2023 and for the foreseeable future, for the acquisition, exploration and development of oil and natural gas properties and for midstream investments. In April 2023, we closed the Advance Acquisition that was funded through a combination of cash on hand and borrowings under our Credit Agreement. In addition, on April 11, 2023, we issued and sold $500.0 million in aggregate principal amount of 2028 Notes. We used the net proceeds from the sale of the 2028 Notes of approximately $487.6 million, after deducting the initial purchasers’ discounts and estimated offering expenses, to partially repay borrowings under our Credit Agreement. Excluding the Advance Acquisition and any future significant acquisitions, we expect to fund our 2023 capital expenditures through a combination of cash on hand, operating cash flows and performance incentives paid to us by a subsidiary of Five Point Energy, LLC in connection with San Mateo. If capital expenditures were to exceed our operating cash flows during the remainder of 2023, we expect to fund any such excess capital expenditures, including for other significant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acquisitions, through borrowings under the Credit Agreement or the San Mateo Credit Facility (assuming availability under such facilities) or through other capital sources, including borrowings under expanded or additional credit arrangements, the sale or joint venture of midstream assets, oil and natural gas producing assets, leasehold interests or mineral interests and potential issuances of equity, debt or convertible securities, none of which may be available on satisfactory terms or at all. Our future success in growing proved reserves and production will be highly dependent on our ability to generate operating cash flows and access outside sources of capital.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had cash totaling $25.9 million and restricted cash totaling $36.2 million, which was primarily associated with San Mateo. By contractual agreement, the cash in the accounts held by our less-than-wholly-owned subsidiaries is not to be commingled with our other cash and is to be used only to fund the capital expenditures and operations of these less-than-wholly-owned subsidiaries.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we had (i) $699.2 million of outstanding 2026 Notes, (ii) $500.0 million of outstanding 2028 Notes, (iii) $530.0 million in borrowings outstanding under the Credit Agreement and (iv) approximately $45.4 million in outstanding letters of credit issued pursuant to the Credit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31, 2023, the lenders under our Credit Agreement completed their review of our proved oil and natural gas reserves, and, as a result, we and our lenders entered into an amendment to the Fourth Amended and Restated Credit Agreement, which amended the Credit Agreement to, among other things: (i) reaffirm the borrowing base at $2.25 billion, (ii) increase the elected commitment from $775.0 million to $1.25 billion and (iii) maintain the maximum facility amount at $1.50 billion. This March 2023 reaffirmation of the borrowing base constituted the regularly scheduled May 1 redetermination. </w:t>
      </w:r>
    </w:p>
    <w:p>
      <w:pPr>
        <w:pStyle w:val="TextBody"/>
        <w:bidi w:val="0"/>
        <w:spacing w:lineRule="auto" w:line="28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On October 19, 2023, the lenders under our Credit Agreement completed their review of our proved oil and natural gas reserves, and, as a result, we and our lenders entered into an amendment to the Fourth Amended and Restated Credit Agreement, which amended the Credit Agreement to, among other things: (i) increase the borrowing base from $2.25 billion to $2.50 billion, (ii) increase the elected commitment from $1.25 billion to $1.325 billion and (iii) increase the maximum facility amount from $1.50 billion to $2.00 billion. This October 2023 redetermination constituted the regularly scheduled November 1 redetermination. Borrowings under the Credit Agreement are limited to the lowest of the borrowing base, the maximum facility amount and the elected commitment (subject to compliance with the covenants noted below). The Credit Agreement matures October 31, 2026.</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requires us to maintain (i) a current ratio, which is defined as (x) total consolidated current assets plus the unused availability under the Credit Agreement divided by (y) total consolidated current liabilities less current maturities under the Credit Agreement, of not less than 1.0 to 1.0 at the end of each fiscal quarter and (ii) a debt to EBITDA ratio, which is defined as debt outstanding (net of up to $75.0 million of cash or cash equivalents), divided by a rolling four quarter EBITDA calculation, of 3.5 to 1.0 or less. We believe that we were in compliance with the terms of the Credit Agreement at September 30,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September 30, 2023, San Mateo had $475.0 million in borrowings outstanding under the San Mateo Credit Facility and approximately $9.0 million in outstanding letters of credit issued pursuant to the San Mateo Credit Facility. The San Mateo Credit Facility matures December 9, 2026, and the lender commitments under that facility were $485.0 million at September 30, 2023. The San Mateo Credit Facility includes an accordion feature, which provides for potential increases in lender commitments of up to $735.0 million. The San Mateo Credit Facility is non-recourse with respect to Matador and its wholly-owned subsidiaries but is guaranteed by San Mateo’s subsidiaries and secured by substantially all of San Mateo’s assets, including real property. The San Mateo Credit Facility requires San Mateo to maintain a debt to EBITDA ratio, which is defined as total consolidated funded indebtedness outstanding (as defined in the San Mateo Credit Facility) divided by a rolling four quarter EBITDA calculation, of 5.00 or less, subject to certain exceptions. The San Mateo Credit Facility also requires San Mateo to maintain an interest coverage ratio, which is defined as a rolling four quarter EBITDA calculation divided by San Mateo’s consolidated interest expense for such period, of 2.50 or more. The San Mateo Credit Facility also restricts the ability of San Mateo to distribute cash to its members if San Mateo’s liquidity is less than 10% of the lender commitments under the San Mateo Credit Facility. We believe that San Mateo was in compliance with the terms of the San Mateo Credit Facility at September 30, 2023.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declared a quarterly cash dividend of $0.15 per share of common stock in each of the first, second and third quarters of 2023. On October 19, 2023, the Board amended our dividend policy to increase the quarterly dividend to $0.20 per share of common stock for future dividend payments and also declared a quarterly cash dividend of $0.20 per share of common stock payable on December 1, 2023 to shareholders of record as of November 10, 2023.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development of our Delaware Basin assets will be the primary focus of our operations and capital expenditures for the remainder of 2023. We began 2023 operating seven drilling rigs in the Delaware Basin. Following the closing of the Advance Acquisition on April 12, 2023, we continued operating the drilling rig that Advance had been operating. Near the end of June 2023, we released this eighth operated drilling rig and continued operating seven drilling rigs 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Basin. We currently plan to operate seven drilling rigs for the remainder of 2023 and add back an eighth operated drilling rig in the first quarter of 2024. We have built significant optionality into our drilling program, which should generally allow us to decrease or increase the number of rigs we operate as necessary based on changing commodity prices and other factors. At October 24, 2023, our estimated D/C/E capital expenditures for 2023 remained $1.10 to $1.22 billion, which includes our expected D/C/E capital expenditures on acreage acquired in the Advance Acquisition. On October 24, 2023, we reduced our anticipated midstream capital expenditures for 2023 to a range of $135.0 to $165.0 million from a range of $150.0 to $200.0 million. These anticipated midstream capital expenditures include our proportionate share of San Mateo’s estimated 2023 capital expenditures as well as the estimated 2023 capital expenditures for other wholly-owned midstream projects, including projects undertaken by Pronto. Substantially all of these 2023 estimated capital expenditures are expected to be allocated to (i) the further delineation and development of our leasehold position, (ii) the construction, installation and maintenance of midstream assets and (iii) our participation in certain non-operated well opportunities in the Delaware Basin, South Texas and Haynesville shale. Our 2023 Delaware Basin operated drilling program is expected to focus on the continued development of our various asset areas throughout the Delaware Basin, with a continued emphasis on drilling and completing a high percentage of longer horizontal wells, including 96% with anticipated completed lateral lengths of greater than one mile.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this year and in recent years, we may divest portions of our non-core assets, particularly in the Eagle Ford shale in South Texas and the Haynesville shale in Northwest Louisiana, as well as consider monetizing other assets, such as certain midstream assets and mineral and royalty interests, as value-creating opportunities arise. In addition, we intend to continue evaluating the opportunistic acquisition of producing properties, acreage and mineral interests and midstream assets, principally in the Delaware Basin, during 2023. These monetizations, divestitures and expenditures are opportunity-specific, and purchase price multiples and per-acre prices can vary significantly based on the asset or prospect. As a result, it is difficult to estimate these 2023 monetizations, divestitures and capital expenditures with any degree of certainty; therefore, we have not provided estimated proceeds related to monetizations or divestitures or estimated capital expenditures related to acquiring producing properties, acreage and mineral interests and midstream assets for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2023 capital expenditures may be adjusted as business conditions warrant, and the amount, timing and allocation of such expenditures is largely discretionary and within our control. The aggregate amount of capital we will expend may fluctuate materially based on market conditions, the actual costs to drill, complete and place on production operated or non-operated wells, our drilling results, the actual costs and scope of our midstream activities, the ability of our joint venture partners to meet their capital obligations, other opportunities that may become available to us and our ability to obtain capital. When oil or natural gas prices decline, or costs increase significantly, we have the flexibility to defer a significant portion of our capital expenditures until later periods to conserve cash or to focus on projects that we believe have the highest expected returns and potential to generate near-term cash flows. We routinely monitor and adjust our capital expenditures in response to changes in prices, availability of financing, drilling, completion and acquisition costs, industry conditions, the timing of regulatory approvals, the availability of rigs, success or lack of success in our exploration and development activities, contractual obligations, drilling plans for properties we do not operate and other factors both within and outside our control.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Exploration and development activities are subject to a number of risks and uncertainties, which could cause these activities to be less successful than we anticipate. A significant portion of our anticipated cash flows from operations for the remainder of 2023 is expected to come from producing wells and development activities on currently proved properties in the Wolfcamp and Bone Spring plays in the Delaware Basin, the Eagle Ford shale in South Texas and the Haynesville shale in Northwest Louisiana. Our existing wells may not produce at the levels we are forecasting and our exploration and development activities in these areas may not be as successful as we anticipate. Additionally, our anticipated cash flows from operations are based upon current expectations of oil and natural gas prices for 2023 and the hedges we currently have in place. For further discussion of our expectations of such commodity prices, see “—General Outlook and Trends” below. We use commodity derivative financial instruments at times to mitigate our exposure to fluctuations in oil, natural gas and NGL prices and to partially offset reductions in our cash flows from operations resulting from declines in commodity prices. See Note 8 to the interim unaudited condensed consolidated financial statements in this Quarterly Report for a summary of our open derivative financial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unaudited cash flows for the nine months ended September 30, 2023 and 2022 are presented below:</w:t>
      </w:r>
    </w:p>
    <w:tbl>
      <w:tblPr>
        <w:tblW w:w="9489" w:type="dxa"/>
        <w:jc w:val="left"/>
        <w:tblInd w:w="0" w:type="dxa"/>
        <w:tblLayout w:type="fixed"/>
        <w:tblCellMar>
          <w:top w:w="28" w:type="dxa"/>
          <w:left w:w="28" w:type="dxa"/>
          <w:bottom w:w="28" w:type="dxa"/>
          <w:right w:w="28" w:type="dxa"/>
        </w:tblCellMar>
      </w:tblPr>
      <w:tblGrid>
        <w:gridCol w:w="2358"/>
        <w:gridCol w:w="2080"/>
        <w:gridCol w:w="2087"/>
        <w:gridCol w:w="211"/>
        <w:gridCol w:w="976"/>
        <w:gridCol w:w="109"/>
        <w:gridCol w:w="109"/>
        <w:gridCol w:w="109"/>
        <w:gridCol w:w="109"/>
        <w:gridCol w:w="211"/>
        <w:gridCol w:w="976"/>
        <w:gridCol w:w="154"/>
      </w:tblGrid>
      <w:tr>
        <w:trPr/>
        <w:tc>
          <w:tcPr>
            <w:tcW w:w="235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Nine Months Ended </w:t>
              <w:br/>
              <w:t>September 30,</w:t>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52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(2,662,324)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(761,120)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and restricted cash</w:t>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(485,156)</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Adjusted EBITDA</w:t>
            </w:r>
            <w:r>
              <w:rPr>
                <w:color w:val="000000"/>
              </w:rPr>
              <w:t xml:space="preserve"> </w:t>
            </w:r>
            <w:r>
              <w:rPr>
                <w:rFonts w:ascii="Times New Roman;sans-serif" w:hAnsi="Times New Roman;sans-serif"/>
                <w:b w:val="false"/>
                <w:color w:val="000000"/>
                <w:sz w:val="20"/>
              </w:rPr>
              <w:t>attributable to Matador Resources Company shareholders</w:t>
            </w:r>
            <w:r>
              <w:rPr>
                <w:rFonts w:ascii="Times New Roman;sans-serif" w:hAnsi="Times New Roman;sans-serif"/>
                <w:b w:val="false"/>
                <w:color w:val="000000"/>
                <w:sz w:val="13"/>
              </w:rPr>
              <w:t xml:space="preserve">(1) </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1,665,368 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(1)Adjusted EBITDA is a non-GAAP financial measure. For a definition of Adjusted EBITDA and a reconciliation of Adjusted EBITDA to our net income (loss) and net cash provided by operating activities, see “—Non-GAAP Financial Measures” below.</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decreased $282.7 million to $1.25 billion for the nine months ended September 30, 2023 from $1.53 billion for the nine months ended September 30, 2022. Excluding changes in operating assets and liabilities, net cash provided by operating activities decreased $353.0 million to $1.28 billion for the nine months ended September 30, 2023 from $1.63 billion for the nine months ended September 30, 2022. This decrease was primarily attributable to lower realized oil and natural gas prices, which was partially offset by higher oil and natural gas production for the nine months ended September 30, 2023, as compared to the nine months ended September 30, 2022. Changes in our operating assets and liabilities between the two periods resulted in a net decrease of approximately $70.3 million in net cash provided by operating activities for the nine months ended September 30, 2023, as compared to the nine months ended September 30, 2022.</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increased $1.90 billion to $2.66 billion for the nine months ended September 30, 2023 from $761.1 million for the nine months ended September 30, 2022. This increase in net cash used in investing activities was primarily due to (i) an increase between the periods of $1.61 billion in expenditures related to the Advance Acquisition and (ii) an increase between the periods of $310.0 million in D/C/E capital expenditures primarily attributable to our operated and non-operated drilling, completion and equipping activities in the Delaware Basin.</w:t>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(Used in) Financing Activities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increased $1.34 billion to $927.7 million for the nine months ended September 30, 2023 from net cash used in financing activities of $416.3 million for the nine months ended September 30, 2022. During the nine months ended September 30, 2023, our primary sources of cash from financing activities included proceeds from the issuance of the 2028 Notes of $494.8 million and net borrowings under the Credit Agreement of $530.0 million, partially offset by dividends paid of $53.5 million. During the nine months ended September 30, 2022, our primary use of cash related to financing activities included the repurchase of 2026 Notes for $284.0 million and the net repayment of $100.0 million in borrowings under our Credit Agreement, partially offset by net borrowings under the San Mateo Credit Facility of $55.0 million.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See Note 5 to the interim unaudited condensed consolidated financial statements in this Quarterly Report for a summary of our debt, including the Credit Agreement, the San Mateo Credit Facility, the 2026 Notes and the 2028 Notes.</w:t>
      </w:r>
    </w:p>
    <w:p>
      <w:pPr>
        <w:pStyle w:val="TextBody"/>
        <w:bidi w:val="0"/>
        <w:spacing w:lineRule="auto" w:line="288" w:before="120" w:after="283"/>
        <w:ind w:left="0" w:right="0" w:firstLine="180"/>
        <w:jc w:val="left"/>
        <w:rPr>
          <w:rFonts w:ascii="Times New Roman;sans-serif" w:hAnsi="Times New Roman;sans-serif"/>
          <w:b w:val="false"/>
          <w:i/>
          <w:color w:val="000000"/>
          <w:sz w:val="20"/>
        </w:rPr>
      </w:pPr>
      <w:r>
        <w:rPr>
          <w:rFonts w:ascii="Times New Roman;sans-serif" w:hAnsi="Times New Roman;sans-serif"/>
          <w:b w:val="false"/>
          <w:i/>
          <w:color w:val="000000"/>
          <w:sz w:val="20"/>
        </w:rPr>
        <w:t>Guarantor Financial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Matador’s outstanding senior notes registered under the Securities Act consisted of the 2026 Notes. The 2026 Notes are jointly and severally guaranteed by the Guarantor Subsidiaries on a full and unconditional basis (except for customary release provisions). At September 30, 2023, the Guarantor Subsidiaries were 100% owned by Matador. Matador is a parent holding company and has no independent assets or operations, and there are no significant restrictions on the ability of Matador to obtain funds from the Guarantor Subsidiaries by dividend or loan. Neither San Mateo nor Pronto is a guarantor of the 2026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summarized financial information of Matador (as issuer of the 2026 Notes) and the Guarantor Subsidiaries on a combined basis after elimination of (i) intercompany transactions and balances between the parent and the Guarantor Subsidiaries and (ii) equity in earnings from and investments in any subsidiary that is a non-guarantor. This financial information is presented in accordance with the amended requirements of Rule 3-10 of Regulation S-X. The following financial information may not necessarily be indicative of results of operations or financial position had the Guarantor Subsidiaries operated as independent entities.</w:t>
      </w:r>
    </w:p>
    <w:tbl>
      <w:tblPr>
        <w:tblW w:w="4571" w:type="dxa"/>
        <w:jc w:val="left"/>
        <w:tblInd w:w="0" w:type="dxa"/>
        <w:tblLayout w:type="fixed"/>
        <w:tblCellMar>
          <w:top w:w="28" w:type="dxa"/>
          <w:left w:w="28" w:type="dxa"/>
          <w:bottom w:w="28" w:type="dxa"/>
          <w:right w:w="28" w:type="dxa"/>
        </w:tblCellMar>
      </w:tblPr>
      <w:tblGrid>
        <w:gridCol w:w="878"/>
        <w:gridCol w:w="773"/>
        <w:gridCol w:w="779"/>
        <w:gridCol w:w="109"/>
        <w:gridCol w:w="109"/>
        <w:gridCol w:w="109"/>
        <w:gridCol w:w="285"/>
        <w:gridCol w:w="1321"/>
        <w:gridCol w:w="208"/>
      </w:tblGrid>
      <w:tr>
        <w:trPr/>
        <w:tc>
          <w:tcPr>
            <w:tcW w:w="87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641,244 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5,681,070 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63,754 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707,362 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1,713,672 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646,810 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628" w:type="dxa"/>
        <w:jc w:val="left"/>
        <w:tblInd w:w="0" w:type="dxa"/>
        <w:tblLayout w:type="fixed"/>
        <w:tblCellMar>
          <w:top w:w="28" w:type="dxa"/>
          <w:left w:w="28" w:type="dxa"/>
          <w:bottom w:w="28" w:type="dxa"/>
          <w:right w:w="28" w:type="dxa"/>
        </w:tblCellMar>
      </w:tblPr>
      <w:tblGrid>
        <w:gridCol w:w="1187"/>
        <w:gridCol w:w="1045"/>
        <w:gridCol w:w="1053"/>
        <w:gridCol w:w="109"/>
        <w:gridCol w:w="109"/>
        <w:gridCol w:w="109"/>
        <w:gridCol w:w="345"/>
        <w:gridCol w:w="1352"/>
        <w:gridCol w:w="178"/>
        <w:gridCol w:w="109"/>
        <w:gridCol w:w="109"/>
        <w:gridCol w:w="109"/>
        <w:gridCol w:w="285"/>
        <w:gridCol w:w="1322"/>
        <w:gridCol w:w="207"/>
      </w:tblGrid>
      <w:tr>
        <w:trPr/>
        <w:tc>
          <w:tcPr>
            <w:tcW w:w="1187"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322"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r>
      <w:tr>
        <w:trPr/>
        <w:tc>
          <w:tcPr>
            <w:tcW w:w="32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r>
          </w:p>
        </w:tc>
      </w:tr>
      <w:tr>
        <w:trPr/>
        <w:tc>
          <w:tcPr>
            <w:tcW w:w="32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Summarized 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706,596 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1,789,879 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402,074 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1,049,823 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304,522 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740,056 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(39,357)</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(56,796)</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provision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250,576 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554,693 </w:t>
            </w:r>
          </w:p>
        </w:tc>
        <w:tc>
          <w:tcPr>
            <w:tcW w:w="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20" w:after="283"/>
        <w:ind w:left="0" w:right="0" w:firstLine="225"/>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Financial Measures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define Adjusted EBITDA as earnings before interest expense, income taxes, depletion, depreciation and amortization, accretion of asset retirement obligations, property impairments, unrealized derivative gains and losses, non-recurring transaction costs for certain acquisitions, certain other non-cash items and non-cash stock-based compensation expense and net gain or loss on asset sales and impairment. Adjusted EBITDA is not a measure of net income or cash flows as determined by GAAP. Adjusted EBITDA is a supplemental non-GAAP financial measure that is used by management and external users of our consolidated financial statements, such as industry analysts, investors, lenders and rating agencies.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Management believes Adjusted EBITDA is necessary because it allows us to evaluate our operating performance and compare the results of operations from period to period without regard to our financing methods or capital structure. We exclude the items listed above from net income in calculating Adjusted EBITDA because these amounts can vary substantially from company to company within our industry depending upon accounting methods and book values of assets, capital structures and the method by which certain assets were acquired.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should not be considered an alternative to, or more meaningful than, net income or cash flows from operating activities as determined in accordance with GAAP or as a primary indicator of our operating performance or liquidity. Certain items excluded from Adjusted EBITDA are significant components of understanding and assessing a company’s financial performance, such as a company’s cost of capital and tax structure. Our Adjusted EBITDA may not be comparable to similarly titled measures of another company because all companies may not calculate Adjusted EBITDA in the same manner.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calculation of Adjusted EBITDA and the reconciliation of Adjusted EBITDA to the GAAP financial measures of net income and net cash provided by operating activities,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567"/>
        <w:gridCol w:w="1358"/>
        <w:gridCol w:w="1368"/>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67"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Income</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Matador Resources Company shareholders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278,399 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634,418 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1,014,408 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50,740 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income tax provision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318,429 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Depletion, 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334,747 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asset retirement obligations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derivatives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loss on impairment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 (income) related to contingent consideration and other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Consolidated Adjusted EBITDA</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531,377 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1,364,623 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1,736,720 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539,730 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1,665,368 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72"/>
        <w:gridCol w:w="1356"/>
        <w:gridCol w:w="136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57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Three Months Ended </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Nine Months Ended </w:t>
              <w:br/>
              <w:t>September 30,</w:t>
            </w:r>
          </w:p>
        </w:tc>
      </w:tr>
      <w:tr>
        <w:trPr/>
        <w:tc>
          <w:tcPr>
            <w:tcW w:w="42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Unaudited Adjusted EBITDA Reconciliation to Net Cash Provided by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1,532,216 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operating assets and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of non-cash portion</w:t>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33,307 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income tax provision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non-recurring (income)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non-controlling interest in subsidiaries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attributable to Matador Resources Company shareholders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508,275 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1,665,368 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2023, net income attributable to Matador shareholders decreased $73.8 million to $263.7 million, as compared to net income attributable to Matador shareholders of $337.6 million for the three months ended September 30, 2022. The decrease in net income attributable to Matador shareholders primarily resulted from lower realized oil and natural gas prices, partially offset by higher oil and natural gas production for the three months ended September 30, 2023, as compared to the three months ended September 30, 2022. In addition, we had increased depletion, depreciation and amortization expenses of $192.8 million for the three months ended September 30, 2023, as compared to $118.9 million for the three months ended September 30, 2022, and an unrealized gain on derivatives of $7.5 million for the three months ended September 30, 2023, as compared to an unrealized gain on derivatives of $43.1 million for the three months ended September 30, 2022. This was partially offset by an income tax provision of $14.6 million for the three months ended September 30, 2023, as compared to an income tax provision of $113.9 million for the three months ended September 30, 2022.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nine months ended September 30, 2023, net income attributable to Matador shareholders decreased $368.9 million to $591.5 million, as compared to net income attributable to Matador shareholders of $960.4 million for the nine months ended September 30, 2022. This decrease in net income attributable to Matador shareholders primarily resulted from significantly lower realized oil and natural gas prices, partially offset by higher oil and natural gas production, for the nine months ended September 30, 2023, as compared to the nine months ended September 30, 2022. In addition, we had increased depletion, depreciation and amortization expenses of $496.6 million for the nine months ended September 30, 2023, as compared to $334.7 million for the nine months ended September 30, 2022. This was partially offset by an income tax provision of $128.6 million for the nine months ended September 30, 2023, as compared to an income tax provision of $318.4 million for the nine months ended September 30,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decreased $31.5 million to $508.3 million for the three months ended September 30, 2023, as compared to $539.7 million for the three months ended September 30, 2022. This decrease is primarily attributable to lower realized oil and natural gas prices, which were partially offset by higher oil and natural gas production, for the three months ended September 30, 2023, as compared to the three months ended September 30,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a non-GAAP financial measure, decreased $368.6 million to $1.30 billion for the nine months ended September 30, 2023, as compared to $1.67 billion for the nine months ended September 30, 2022. This decrease is primarily attributable to lower realized oil and natural gas prices, partially offset by higher oil and natural gas production, for the nine months ended September 30, 2023, as compared to the nine months ended September 30,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Off-Balance Sheet Arrangements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From time to time, we enter into off-balance sheet arrangements and transactions that can give rise to material off-balance sheet obligations. As of September 30, 2023, the material off-balance sheet arrangements and transactions that we have entered into include (i) non-operated drilling commitments, (ii) firm gathering, transportation, processing, fractionation, sales and disposal commitments and (iii) contractual obligations for which the ultimate settlement amounts are not fixed and determinable, such as derivative contracts that are sensitive to future changes in commodity prices or interest rates, gathering, treating, transportation and disposal commitments on uncertain volumes of future throughput, open delivery commitments and indemnification obligations following certain divestitures. Other than the off-balance sheet arrangements described above, we have no transactions, arrangements or other relationships with unconsolidated entities or other persons that are reasonably likely to materially affect our liquidity or availability of or requirements for capital resources. See “—Obligations and Commitments” below and Note 10 to the interim unaudited condensed consolidated financial statements in this Quarterly Report for more information regarding our off-balance sheet arrangements. Such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Obligations and Commitments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had the following material contractual obligations and commitments at September 30, 2023: </w:t>
      </w:r>
    </w:p>
    <w:tbl>
      <w:tblPr>
        <w:tblW w:w="10205" w:type="dxa"/>
        <w:jc w:val="left"/>
        <w:tblInd w:w="0" w:type="dxa"/>
        <w:tblLayout w:type="fixed"/>
        <w:tblCellMar>
          <w:top w:w="28" w:type="dxa"/>
          <w:left w:w="28" w:type="dxa"/>
          <w:bottom w:w="28" w:type="dxa"/>
          <w:right w:w="28" w:type="dxa"/>
        </w:tblCellMar>
      </w:tblPr>
      <w:tblGrid>
        <w:gridCol w:w="1078"/>
        <w:gridCol w:w="800"/>
        <w:gridCol w:w="792"/>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107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5"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w:t>
              <w:br/>
              <w:t>Than</w:t>
              <w:br/>
              <w:t>1 Year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1 - 3</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3 - 5</w:t>
              <w:br/>
              <w:t>Years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w:t>
              <w:br/>
              <w:t>Than</w:t>
              <w:br/>
              <w:t>5 Years</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Contractual Obligations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Borrowings, including letters of credit</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Senior unsecured notes</w:t>
            </w:r>
            <w:r>
              <w:rPr>
                <w:rFonts w:ascii="Times New Roman;sans-serif" w:hAnsi="Times New Roman;sans-serif"/>
                <w:b w:val="false"/>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Office leases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Non-operated drilling commitments</w:t>
            </w:r>
            <w:r>
              <w:rPr>
                <w:rFonts w:ascii="Times New Roman;sans-serif" w:hAnsi="Times New Roman;sans-serif"/>
                <w:b w:val="false"/>
                <w:color w:val="000000"/>
                <w:sz w:val="13"/>
              </w:rPr>
              <w:t>(3)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Drilling rig contracts</w:t>
            </w:r>
            <w:r>
              <w:rPr>
                <w:rFonts w:ascii="Times New Roman;sans-serif" w:hAnsi="Times New Roman;sans-serif"/>
                <w:b w:val="false"/>
                <w:color w:val="000000"/>
                <w:sz w:val="13"/>
              </w:rPr>
              <w:t>(4)</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Asset retirement obligations</w:t>
            </w:r>
            <w:r>
              <w:rPr>
                <w:rFonts w:ascii="Times New Roman;sans-serif" w:hAnsi="Times New Roman;sans-serif"/>
                <w:b w:val="false"/>
                <w:color w:val="000000"/>
                <w:sz w:val="13"/>
              </w:rPr>
              <w:t>(5)</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non-affiliates</w:t>
            </w:r>
            <w:r>
              <w:rPr>
                <w:rFonts w:ascii="Times New Roman;sans-serif" w:hAnsi="Times New Roman;sans-serif"/>
                <w:b w:val="false"/>
                <w:color w:val="000000"/>
                <w:sz w:val="13"/>
              </w:rPr>
              <w:t>(6)</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184,604 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Transportation, gathering, processing and disposal agreements with San Mateo</w:t>
            </w:r>
            <w:r>
              <w:rPr>
                <w:rFonts w:ascii="Times New Roman;sans-serif" w:hAnsi="Times New Roman;sans-serif"/>
                <w:b w:val="false"/>
                <w:color w:val="000000"/>
                <w:sz w:val="13"/>
              </w:rPr>
              <w:t xml:space="preserve">(7)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Midstream compressor contracts</w:t>
            </w:r>
            <w:r>
              <w:rPr>
                <w:rFonts w:ascii="Times New Roman;sans-serif" w:hAnsi="Times New Roman;sans-serif"/>
                <w:b w:val="false"/>
                <w:color w:val="000000"/>
                <w:sz w:val="13"/>
              </w:rPr>
              <w:t xml:space="preserve">(8)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cash obligations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3,196,588 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1,806,652 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263,253 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(1)The amounts included in the table above represent principal maturities only. At September 30, 2023, we had $530.0 million in borrowings outstanding under the Credit Agreement and approximately $45.4 million in outstanding letters of credit issued pursuant to the Credit Agreement. The Credit Agreement matures October 31, 2026. At September 30, 2023, San Mateo had $475.0 million of borrowings outstanding under the San Mateo Credit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Facility and approximately $9.0 million in outstanding letters of credit issued pursuant to the San Mateo Credit Facility. The San Mateo Credit Facility matures December 9, 2026. Assuming the amounts outstanding and interest rates of 7.42% and 7.67%, respectively, for the Credit Agreement and the San Mateo Credit Facility at September 30, 2023, the interest expense for such facilities is expected to be approximately $39.9 million and $36.9 million, respectively,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(2)The amounts included in the table above represent principal maturities only. Interest expense on the $699.2 million of outstanding 2026 Notes as of September 30, 2023 is expected to be approximately $41.1 million each year until maturity. Interest expense on the $500.0 million of outstanding 2028 Notes as of September 30, 2023 is expected to be approximately $34.4 million each year until maturity.</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(3)At September 30, 2023, we had outstanding commitments to participate in the drilling and completion of various non-operated wells.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(4)We do not own or operate our own drilling rigs, but instead we enter into contracts with third parties for such drilling rigs.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(5)The amounts included in the table above represent discounted cash flow estimates for future asset retirement obligations at September 30, 2023.</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(6)From time to time, we enter into agreements with third parties whereby we commit to deliver anticipated natural gas and oil production and produced water from certain portions of our acreage for transportation, gathering, processing, fractionation, sales and disposal. Certain of these agreements contain minimum volume commitments. If we do not meet the minimum volume commitments under these agreements, we would be required to pay certain deficiency fees. See Note 10 to the interim unaudited condensed consolidated financial statements in this Quarterly Report for more information about these contractual commitments. </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(7)We dedicated to San Mateo our current and certain future leasehold interests in the Rustler Breaks and Wolf asset areas and acreage in the southern portion of the Arrowhead asset area (the “Greater Stebbins Area”) and Stateline asset area pursuant to 15-year, fixed-fee oil transportation, oil, natural gas and produced water gathering and produced water disposal agreements. In addition, we dedicated to San Mateo our current and certain future leasehold interests in the Rustler Breaks asset area and acreage in the Greater Stebbins Area and Stateline asset area pursuant to 15-year, fixed-fee natural gas processing agreements. See Note 10 to the interim unaudited condensed consolidated financial statements in this Quarterly Report for more information about these contractual commitments.</w:t>
      </w:r>
    </w:p>
    <w:p>
      <w:pPr>
        <w:pStyle w:val="TextBody"/>
        <w:bidi w:val="0"/>
        <w:spacing w:lineRule="auto" w:line="288" w:before="12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(8)At September 30, 2023, we had outstanding commitments to purchase four compressors to be utilized in our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General Outlook and Trends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success and financial results are dependent on many factors beyond our control, such as economic, political and regulatory developments, as well as competition from other sources of energy. Commodity price volatility, in particular, is a significant risk to our business, cash flows and results of operations. Commodity prices are affected by changes in market supply and demand, which are impacted by overall economic activity, the ongoing military conflict between Russia and Ukraine, political instability in China, military conflict and political instability in the Middle East, the actions of Organization of Petroleum Exporting Countries, Russia and certain other oil-exporting countries (“OPEC+”), the ongoing impact of COVID-19 and its variants, weather, pipeline capacity constraints, inventory storage levels, oil and natural gas price differentials and other factors.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prices we receive for oil, natural gas and NGLs heavily influence our revenues, profitability, cash flow available for capital expenditures, the repayment of debt and the payment of cash dividends, if any, access to capital, borrowing capacity under our Credit Agreement and future rate of growth. Oil, natural gas and NGL prices are subject to wide fluctuations in response to relatively minor changes in supply and demand. Historically, the markets for oil, natural gas and NGLs have been volatile, and these markets will likely continue to be volatile in the future. Declines in oil, natural gas or NGL prices not only reduce our revenues, but could also reduce the amount of oil, natural gas and NGLs we can produce economically and, as a result, could have an adverse effect on our financial condition, results of operations, cash flows and reserves and our ability to comply with the financial covenants under our Credit Agreement. See “Risk Factors—Risks Related to our Financial Condition—Our success is dependent on the prices of oil, natural gas and NGLs. Low oil, natural gas and NGL prices and the continued volatility in these prices may adversely affect our financial condition and our ability to meet our capital expenditure requirements and financial obligations”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Oil prices were lower in the third quarter of 2023, as compared to the third quarter of 2022. For the three months ended September 30, 2023, oil prices averaged $82.22 per Bbl, ranging from a low of $69.79 per Bbl in early July to a high of $93.68 per Bbl in late September, based upon the West Texas Intermediate (“WTI”) oil futures contract price for the earliest delivery date. Oil prices averaged $91.43 per Bbl for the three months ended September 30, 2022. We realized a weighted average oil price of $82.49 per Bbl (with no realized gains or losses from oil derivatives) for our oil production for the three months ended September 30, 2023, as compared to $94.36 per Bbl ($91.69 per Bbl including realized losses from oil derivatives) for our oil production for the three months ended September 30, 2022. At October 24, 2023, the WTI oil futures contract for the earliest delivery date had decreased from the closing price at the end of September 2023 of $90.79 per Bbl, to $83.74 per Bbl, which was also a decrease as compared to $84.58 per Bbl at October 24,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Natural gas prices were also lower in the third quarter of 2023, as compared to the third quarter of 2022. For the three months ended September 30, 2023, natural gas prices averaged $2.66 per MMBtu, ranging from a low of $2.48 per MMBtu in early August to a high of $2.96 per MMBtu in mid-August, based upon the NYMEX Henry Hub natural gas futures contract price for the earliest delivery date. Natural gas prices averaged $7.95 per MMBtu for the three months ended September 30, 2022. We report production volumes in two streams, oil and natural gas (which includes both dry gas and NGLs). NGL prices were also lower for the third quarter of 2023, as compared to the third quarter of 2022, which contributed to lower realized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natural gas prices for the third quarter of 2023. We realized a weighted average natural gas price of $3.56 per Mcf ($3.34 per Mcf including realized losses from natural gas derivatives) for our natural gas production (including revenues attributable to NGLs) for the three months ended September 30, 2023, as compared to $9.22 per Mcf ($7.55 per Mcf including realized losses from natural gas derivatives) for our natural gas production (including revenues attributable to NGLs) for the three months ended September 30, 2022. Certain volumes of our natural gas production are sold at prices established at the beginning of each month by the various markets where we sell our natural gas production, and certain volumes of our natural gas production are sold at daily market prices. At October 24, 2023, the NYMEX Henry Hub natural gas futures contract price for the earliest delivery date had increased from the average price for the third quarter of 2023 of $2.66 per MMBtu, to $2.97 per MMBtu, which was a decrease as compared to $5.20 per MMBtu at October 24, 2022.</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prices we receive for oil and natural gas production often reflect a discount to the relevant benchmark prices, such as the WTI oil price or the NYMEX Henry Hub natural gas price. The difference between the benchmark price and the price we receive is called a differential. At September 30, 2023, most of our oil production from the Delaware Basin was sold based on prices established in Midland, Texas, and a significant portion of our natural gas production from the Delaware Basin was sold based on Houston Ship Channel pricing, while the remainder of our Delaware Basin natural gas production was sold primarily based on prices established at the Waha hub in far West Texas.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Midland-Cushing (Oklahoma) oil price differential has been highly volatile in recent years. At October 24, 2023, this oil price differential was positive at approximately +$0.80 per Bbl.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volumes of our Delaware Basin natural gas production are exposed to the Waha-Henry Hub basis differential, which has also been highly volatile in recent years. In early 2022, concerns about natural gas pipeline takeaway capacity out of the Delaware Basin began to increase, particularly beginning in the latter half of 2022 and into 2023. As a result, the Waha basis differential began to widen. The Waha-Henry Hub basis differential averaged ($0.90) per MMBtu for the nine months ended September 30, 2023. Between September 30, 2023 and October 24, 2023, this natural gas price differential widened to approximately ($1.30) per MMBtu. A significant portion of our Delaware Basin natural gas production, however, is sold at Houston Ship Channel pricing and is not exposed to Waha pricing. During 2022 and the first half of 2023, we typically realized a premium to natural gas sold at the Waha hub despite higher transportation charges incurred to transport the natural gas to the Gulf Coast. At certain times, we may also sell a portion of our natural gas production into other markets to improve our realized natural gas pricing. Further, approximately 10% of our reported natural gas production for the nine months ended September 30, 2023 was attributable to the Haynesville and Eagle Ford shale plays, which are not exposed to Waha pricing. In addition, as a two-stream reporter, most of our natural gas volumes in the Delaware Basin are processed for NGLs, resulting in a further reduction in the reported natural gas volumes exposed to Waha pricing.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use derivative financial instruments to mitigate our exposure to commodity price risk associated with oil, natural gas and NGL prices. Even so, decisions as to whether, at what price and what production volumes to hedge are difficult and depend on market conditions and our forecast of future production and oil, natural gas and NGL prices, and we may not always employ the optimal hedging strategy. This, in turn, may affect the liquidity that can be accessed through the borrowing base under the Credit Agreement and through the capital markets. During the first nine months of 2023, we incurred realized losses on our natural gas basis differential derivative contracts of approximately $6.5 million resulting from natural gas basis differentials that were above the strike price of our natural gas basis differential swap contract, offset by natural gas prices that were below the floor prices of certain of our natural gas costless collar contracts. At October 24, 2023, we had derivative natural gas basis differential swap contracts in place to mitigate our exposure to the Waha basis differential for approximately 4.6 Bcf of our anticipated natural gas production for the remainder of 2023 and approximately 11.0 Bcf in both 2024 and 2025.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at times experienced pipeline-related interruptions to our oil, natural gas or NGL production or produced water disposal. In certain recent periods, shortages of NGL fractionation capacity were experienced by certain operators in the Delaware Basin. Although we did not encounter such fractionation capacity problems, we can provide no assurances that such problems will not arise. If we experience any material interruptions with produced water disposal, takeaway capacity or NGL fractionation, our oil and natural gas revenues, business, financial condition, results of operations and cash flows could be adversely affected. Should we experience future periods of negative pricing for natural gas as we have experienced historically, we may temporarily shut in certain high gas-oil ratio wells and take other actions to mitigate the impact on our realized natural gas prices and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increases in oil prices during 2022, we have at times experienced inflation in the costs of certain oilfield services, including diesel, steel, labor, trucking, sand, personnel and completion costs, among others. Should oil prices remain at their current levels or increase, we may be subject to additional service cost inflation in future periods, which may increase our costs to drill, complete, equip and operate wells. In addition, supply chain disruptions experienced in recent periods throughout the United States and global economy and in the oil and natural gas industry may limit our ability to procure the necessary products and services we need for drilling, completing and producing wells in a timely fashion, which could result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delays to our operations and could, in turn, adversely affect our business, financial condition, results of operations and cash flows.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recorded a current income tax provision of $9.0 million for each of the three and nine months ended September 30, 2023 and a deferred income tax provision of $5.6 million and $119.6 million, respectively, for the three and nine months ended September 30, 2023. Our effective income tax rates of 5% and 18% for the three and nine months ended September 30, 2023, respectively, differed from the U.S. federal statutory rate due primarily to recognizing research and experimental expenditure tax credits of $65.1 million in the third quarter of 2023, which were partially offset by permanent differences between book and taxable income and state taxes, primarily in New Mexico.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oil and natural gas exploration, development, production, midstream and related operations are subject to extensive federal, state and local laws, rules and regulations. The regulatory burden on the oil and natural gas industry increases our cost of doing business and affects our profitability. Because these laws, rules and regulations are frequently amended or reinterpreted and new laws, rules and regulations are proposed or promulgated, we are unable to predict the future cost or impact of complying with the laws, rules and regulations to which we are, or will become, subject. For example, although such bills have not passed, in recent years, various bills have been introduced in the New Mexico legislature proposing to add a surtax on natural gas processors and proposing to place a moratorium on, ban or otherwise restrict hydraulic fracturing, including prohibiting the injection of fresh water in such operations. In 2019, New Mexico’s governor signed an executive order declaring that New Mexico would support the goals of the Paris Agreement by joining the U.S. Climate Alliance, a bipartisan coalition of governors committed to reducing greenhouse gas emissions consistent with the goals of the Paris Agreement. The stated objective of the executive order is to achieve a statewide reduction in greenhouse gas emissions of at least 45% by 2030 as compared to 2005 levels. The executive order also requires New Mexico regulatory agencies to create an “enforceable regulatory framework” to ensure methane emission reductions. In 2021, the New Mexico Oil Conservation Division (the “NMOCD”) implemented rules regarding the reduction of natural gas waste and the control of emissions that, among other items, require upstream and midstream operators to reduce natural gas waste by a fixed amount each year and achieve a 98% natural gas capture rate by the end of 2026. The New Mexico Environment Department (the “NMED”) has implemented similar rules and regulations. These and other laws, rules and regulations, including any federal legislation, regulations or orders intended to limit or restrict oil and natural gas operations on federal lands, if enacted, could have an adverse impact on our business, financial condition, results of operations and 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2021, President Biden signed an executive order instructing the Department of the Interior to pause new oil and natural gas leases on public lands pending completion of a comprehensive review and consideration of federal oil and natural gas permitting and leasing practices, which has lapsed. In 2019, 2020 and 2021, an environmental group filed three lawsuits in federal district courts in New Mexico and the District of Columbia challenging certain Bureau of Land Management (“BLM”) lease sales, including lease sales in which we purchased leases in New Mexico. In 2021, ten states, led by the State of Louisiana, filed a lawsuit in federal district court in Louisiana against President Biden and various other federal government officials and agencies challenging an executive order directing the federal government to utilize certain calculations of the “social cost” of carbon and other greenhouse gases in its decision making. The BLM has, at times, indicated that the lease sale litigation or the social cost of carbon litigation will require additional processes and approvals or may delay lease sales and the approval of drilling permits, and the BLM has implemented certain of these additional processes. The impact of federal actions and lawsuits related to the oil and natural gas industry remains unclear, and should limitations or prohibitions be imposed or continue to be applied, our operations on federal lands could be adversely impacted. Such limitations or prohibitions would almost certainly impact our future drilling and completion plans and could materially impact our production volumes, revenues, reserves, cash flows and availability under our Credit Agreement. See “Risk Factors—Risks Related to Laws and Regulations—Approximately 31% of our leasehold and mineral acres in the Delaware Basin is located on federal lands, which are subject to administrative permitting requirements and potential federal legislation, regulation and orders that may limit or restrict oil and natural gas operations on federal lands”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and San Mateo dispose of large volumes of produced water gathered from our and third parties’ drilling and production operations by injecting it into wells pursuant to permits issued to us by governmental authorities overseeing such disposal activities. State and federal regulatory agencies recently have focused on a possible connection between the operation of injection wells used for produced water disposal and the increased occurrence of seismic activity, also known as “induced seismicity.” This has resulted in stricter regulatory requirements in some jurisdictions relating to the location and operation of underground injection wells. In addition, a number of lawsuits have been filed in some states alleging that fluid injection or oil and natural gas extraction have caused damage to neighboring properties or otherwise violated state and federal rules regarding waste disposal. In response to these concerns, regulators in some states, including New Mexico and Texas, are seeking to impose additional requirements, including requirements regarding the permitting of salt water disposal wells or otherwise, to assess the relationship between seismicity and the use of such wells. For example, in 2021, the NMOCD implemented new rules establishing protocols in response to seismic events in New Mexico. Under these protocols, applications for salt water disposal well permits in certain areas of New Mexico with recent seismic activity require enhanced review prior to approval.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 the protocols require enhanced reporting and varying levels of curtailment of injection rates for salt water disposal wells, including potentially shutting in such wells, in the area of seismic events based on the magnitude, timing and proximity of the seismic event. Three of the Company’s salt water disposal wells are currently subject to enhanced reporting or curtailment due to the magnitude and proximity of seismic events to such wells. The adoption of federal, state and local legislation and regulations intended to address induced seismicity in the areas in which we operate could restrict our drilling and production activities, as well as our ability to dispose of produced water gathered from such activities, and could result in increased costs and additional operating restrictions or delays, that could, in turn, materially impact our production volumes, revenues, reserves, cash flows and availability under our Credit Agreement. The adoption of such legislation and regulations could also decrease our and San Mateo’s revenues and result in increased costs and additional operating restrictions for San Mateo as well.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Certain segments of the investor community have recently expressed negative sentiment towards investing in the oil and natural gas industry. Equity returns in the sector prior to 2021 versus other industry sectors have led to lower oil and natural gas representation in certain key equity market indices and some investors, including certain pension funds, university endowments and family foundations, have stated policies to reduce or eliminate their investments in the oil and natural gas sector based on social and environmental considerations.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Like other oil and natural gas producing companies, our properties are subject to natural production declines. By their nature, our oil and natural gas wells will experience rapid initial production declines. We attempt to overcome these production declines by drilling to develop and identify additional reserves, by exploring for new sources of reserves and, at times, by acquisitions. During times of severe oil, natural gas and NGL price declines, however, drilling additional oil or natural gas wells may not be economic, and we may find it necessary to reduce capital expenditures and curtail drilling operations in order to preserve liquidity. A significant reduction in capital expenditures and drilling activities could materially impact our production volumes, revenues, reserves, cash flows and the availability under our Credit Agreement. See “Risk Factors—Risks Related to our Financial Condition—Our exploration, development, exploitation and midstream projects require substantial capital expenditures that may exceed our cash flows from operations and potential borrowings, and we may be unable to obtain needed capital on satisfactory terms, which could adversely affect our future growth” in the Annual Report.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strive to focus our efforts on increasing oil and natural gas reserves and production while controlling costs at a level that is appropriate for long-term operations. Our ability to find and develop sufficient quantities of oil and natural gas reserves at economical costs is critical to our long-term success. Future finding and development costs are subject to changes in the costs of acquiring, drilling and completing our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Except as set forth below, there have been no material changes to the sources and effects of our market risk since December 31, 2022, which are disclosed in Part II, Item 7A of the Annual Report and incorporated herein by reference.</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Commodity price exposure.</w:t>
      </w:r>
      <w:r>
        <w:rPr>
          <w:color w:val="000000"/>
        </w:rPr>
        <w:t xml:space="preserve"> </w:t>
      </w:r>
      <w:r>
        <w:rPr>
          <w:rFonts w:ascii="Times New Roman;sans-serif" w:hAnsi="Times New Roman;sans-serif"/>
          <w:b w:val="false"/>
          <w:color w:val="000000"/>
          <w:sz w:val="20"/>
        </w:rPr>
        <w:t>We are exposed to market risk as the prices of oil, natural gas and NGLs fluctuate as a result of changes in supply and demand and other factors. To partially reduce price risk caused by these market fluctuations, we have entered into derivative financial instruments in the past and expect to enter into derivative financial instruments in the future to cover a significant portion of our anticipated future production.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typically use costless (or zero-cost) collars, three-way collars and/or swap contracts to manage risks related to changes in oil, natural gas and NGL prices. Costless collars provide us with downside price protection through the purchase of a put option that is financed through the sale of a call option. Because the call option proceeds are used to offset the cost of the put option, these arrangements are initially “costless” to us. Three-way costless collars also provide us with downside price protection through the purchase of a put option, but they also allow us to participate in price upside through the purchase of a call option. The purchase of both the put option and call option are financed through the sale of a call option. Because the proceeds from the call option sale are used to offset the cost of the purchased put and call options, these arrangements are also initially “costless” to us. In the case of a costless collar, the put option or options and the call option have different fixed price components. In a swap contract, a floating price is exchanged for a fixed price over a specified period, providing downside price protection.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record all derivative financial instruments at fair value. The fair value of our derivative financial instruments is determined using purchase and sale information available for similarly traded securities. At September 30, 2023, PNC Bank (or affiliates thereof) was the counterparty for all of our derivative instruments. We have considered the credit standing of the counterparty in determining the fair value of our derivative financial instruments. See Note 8 to the interim unaudited condensed consolidated financial statements in this Quarterly Report for a summary of our open derivative financial instruments. Such information is incorporated herein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Evaluation of Disclosure Controls and Procedures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the end of the period covered by this Quarterly Report, we evaluated the effectiveness of the design and operation of the Company’s disclosure controls and procedures (as defined in Rule 13a-15(e) under the Exchange Act) under the supervision and with the participation of our management, including our Chief Executive Officer and our Chief Financial Officer. Based on that evaluation, our Chief Executive Officer and our Chief Financial Officer concluded that the Company’s disclosure controls and procedures were effective as of September 30, 2023 to ensure that (i) information required to be disclosed in the reports it files and submits under the Exchange Act is recorded, processed, summarized and reported within the time periods specified in the SEC’s rules and forms and (ii) information required to be disclosed under the Exchange Act is accumulated and communicated to the Company’s management, including our Chief Executive Officer and our Chief Financial Officer, as appropriate to allow timely decisions regarding required disclosure.</w:t>
      </w:r>
    </w:p>
    <w:p>
      <w:pPr>
        <w:pStyle w:val="TextBody"/>
        <w:bidi w:val="0"/>
        <w:spacing w:lineRule="auto" w:line="240" w:before="120" w:after="283"/>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Changes in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there were no changes in our internal controls that have materially affected or are reasonably likely to have a material effect on our internal control over financial reporting.</w:t>
      </w:r>
    </w:p>
    <w:p>
      <w:pPr>
        <w:pStyle w:val="TextBody"/>
        <w:bidi w:val="0"/>
        <w:spacing w:before="120" w:after="283"/>
        <w:ind w:left="0" w:right="0" w:firstLine="495"/>
        <w:jc w:val="left"/>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party to several legal proceedings encountered in the ordinary course of business. While the ultimate outcome and impact on us cannot be predicted with certainty, in the opinion of management, it is remote that these legal proceedings will have a material adverse impact on our financial condition, results of operations or 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there were no material changes regarding the legal proceedings we have disclosed in “Item 3. Legal Proceedings” in the Annual Report and in “Item 1. Legal Proceedings” in our Quarterly Reports on Form 10-Q for the quarters ended March 31, 2023 and June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risks and uncertainties in the course of our business. For a discussion of such risks and uncertainties, please see “Item 1A. Risk Factors” in the Annual Report. There have been no material changes to the risk factors we have disclosed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September 30, 2023, no director or officer (as defined in Rule 16a-1(f) under the Exchange Act) of the Company adopted, modified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651d5a1275754f5a8817d0e5a36b4b96_7">
        <w:r>
          <w:rPr>
            <w:rStyle w:val="InternetLink"/>
            <w:rFonts w:ascii="Times New Roman;sans-serif" w:hAnsi="Times New Roman;sans-serif"/>
            <w:b w:val="false"/>
            <w:color w:val="000080"/>
            <w:sz w:val="20"/>
            <w:u w:val="single"/>
          </w:rPr>
          <w:t xml:space="preserve">Table </w:t>
        </w:r>
      </w:hyperlink>
      <w:hyperlink w:anchor="i651d5a1275754f5a8817d0e5a36b4b96_7">
        <w:r>
          <w:rPr>
            <w:rStyle w:val="InternetLink"/>
            <w:rFonts w:ascii="Times New Roman;sans-serif" w:hAnsi="Times New Roman;sans-serif"/>
            <w:b w:val="false"/>
            <w:color w:val="000080"/>
            <w:sz w:val="20"/>
            <w:u w:val="single"/>
          </w:rPr>
          <w:t>o</w:t>
        </w:r>
      </w:hyperlink>
      <w:hyperlink w:anchor="i651d5a1275754f5a8817d0e5a36b4b96_7">
        <w:r>
          <w:rPr>
            <w:rStyle w:val="InternetLink"/>
            <w:rFonts w:ascii="Times New Roman;sans-serif" w:hAnsi="Times New Roman;sans-serif"/>
            <w:b w:val="false"/>
            <w:color w:val="000080"/>
            <w:sz w:val="20"/>
            <w:u w:val="single"/>
          </w:rPr>
          <w:t>f</w:t>
        </w:r>
      </w:hyperlink>
      <w:hyperlink w:anchor="i651d5a1275754f5a8817d0e5a36b4b96_7">
        <w:r>
          <w:rPr>
            <w:rStyle w:val="InternetLink"/>
            <w:rFonts w:ascii="Times New Roman;sans-serif" w:hAnsi="Times New Roman;sans-serif"/>
            <w:b w:val="false"/>
            <w:color w:val="000080"/>
            <w:sz w:val="20"/>
            <w:u w:val="single"/>
          </w:rPr>
          <w:t xml:space="preserve"> </w:t>
        </w:r>
      </w:hyperlink>
      <w:hyperlink w:anchor="i651d5a1275754f5a8817d0e5a36b4b96_7">
        <w:r>
          <w:rPr>
            <w:rStyle w:val="InternetLink"/>
            <w:rFonts w:ascii="Times New Roman;sans-serif" w:hAnsi="Times New Roman;sans-serif"/>
            <w:b w:val="false"/>
            <w:color w:val="000080"/>
            <w:sz w:val="20"/>
            <w:u w:val="single"/>
          </w:rPr>
          <w:t>C</w:t>
        </w:r>
      </w:hyperlink>
      <w:hyperlink w:anchor="i651d5a1275754f5a8817d0e5a36b4b96_7">
        <w:r>
          <w:rPr>
            <w:rStyle w:val="InternetLink"/>
            <w:rFonts w:ascii="Times New Roman;sans-serif" w:hAnsi="Times New Roman;sans-serif"/>
            <w:b w:val="false"/>
            <w:color w:val="000080"/>
            <w:sz w:val="20"/>
            <w:u w:val="single"/>
          </w:rPr>
          <w:t>o</w:t>
        </w:r>
      </w:hyperlink>
      <w:hyperlink w:anchor="i651d5a1275754f5a8817d0e5a36b4b96_7">
        <w:r>
          <w:rPr>
            <w:rStyle w:val="InternetLink"/>
            <w:rFonts w:ascii="Times New Roman;sans-serif" w:hAnsi="Times New Roman;sans-serif"/>
            <w:b w:val="false"/>
            <w:color w:val="000080"/>
            <w:sz w:val="20"/>
            <w:u w:val="single"/>
          </w:rPr>
          <w:t>n</w:t>
        </w:r>
      </w:hyperlink>
      <w:hyperlink w:anchor="i651d5a1275754f5a8817d0e5a36b4b96_7">
        <w:r>
          <w:rPr>
            <w:rStyle w:val="InternetLink"/>
            <w:rFonts w:ascii="Times New Roman;sans-serif" w:hAnsi="Times New Roman;sans-serif"/>
            <w:b w:val="false"/>
            <w:color w:val="000080"/>
            <w:sz w:val="20"/>
            <w:u w:val="single"/>
          </w:rPr>
          <w:t>t</w:t>
        </w:r>
      </w:hyperlink>
      <w:hyperlink w:anchor="i651d5a1275754f5a8817d0e5a36b4b96_7">
        <w:r>
          <w:rPr>
            <w:rStyle w:val="InternetLink"/>
            <w:rFonts w:ascii="Times New Roman;sans-serif" w:hAnsi="Times New Roman;sans-serif"/>
            <w:b w:val="false"/>
            <w:color w:val="000080"/>
            <w:sz w:val="20"/>
            <w:u w:val="single"/>
          </w:rPr>
          <w:t>e</w:t>
        </w:r>
      </w:hyperlink>
      <w:hyperlink w:anchor="i651d5a1275754f5a8817d0e5a36b4b96_7">
        <w:r>
          <w:rPr>
            <w:rStyle w:val="InternetLink"/>
            <w:rFonts w:ascii="Times New Roman;sans-serif" w:hAnsi="Times New Roman;sans-serif"/>
            <w:b w:val="false"/>
            <w:color w:val="000080"/>
            <w:sz w:val="20"/>
            <w:u w:val="single"/>
          </w:rPr>
          <w:t>n</w:t>
        </w:r>
      </w:hyperlink>
      <w:hyperlink w:anchor="i651d5a1275754f5a8817d0e5a36b4b96_7">
        <w:r>
          <w:rPr>
            <w:rStyle w:val="InternetLink"/>
            <w:rFonts w:ascii="Times New Roman;sans-serif" w:hAnsi="Times New Roman;sans-serif"/>
            <w:b w:val="false"/>
            <w:color w:val="000080"/>
            <w:sz w:val="20"/>
            <w:u w:val="single"/>
          </w:rPr>
          <w:t>t</w:t>
        </w:r>
      </w:hyperlink>
      <w:hyperlink w:anchor="i651d5a1275754f5a8817d0e5a36b4b96_7">
        <w:r>
          <w:rPr>
            <w:rStyle w:val="InternetLink"/>
            <w:rFonts w:ascii="Times New Roman;sans-serif" w:hAnsi="Times New Roman;sans-serif"/>
            <w:b w:val="false"/>
            <w:color w:val="000080"/>
            <w:sz w:val="20"/>
            <w:u w:val="single"/>
          </w:rPr>
          <w: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3026"/>
        <w:gridCol w:w="2872"/>
        <w:gridCol w:w="2901"/>
        <w:gridCol w:w="109"/>
        <w:gridCol w:w="109"/>
        <w:gridCol w:w="155"/>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6"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2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Securities Purchase Agreement, dated January 24, 2023, by and among MRC Hat Mesa, LLC, MRC Energy Company (solely for the limited purposes stated therein), AEP EnCap HoldCo, LLC, Ameradvance Management LLC and Advance Energy Partners Holdings, LLC (incorporated by reference to Exhibit 2.1 to the Current Report on Form 8-K filed on January 24,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Amended and Restated Certificate of Formation of Matador Resources Company (incorporated by reference to Exhibit 3.2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Certificate of Amendment to the Amended and Restated Certificate of Formation of Matador Resources Company dated April 2, 2015 (incorporated by reference to Exhibit 3.3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Certificate of Amendment to the Amended and Restated Certificate of Formation of Matador Resources Company effective June 2, 2017 (incorporated by reference to Exhibit 3.4 to the Quarterly Report on Form 10-Q for the quarter ended June 30, 2017).</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6">
              <w:r>
                <w:rPr>
                  <w:rStyle w:val="InternetLink"/>
                  <w:rFonts w:ascii="Times New Roman;sans-serif" w:hAnsi="Times New Roman;sans-serif"/>
                  <w:b w:val="false"/>
                  <w:color w:val="0000FF"/>
                  <w:sz w:val="20"/>
                  <w:u w:val="single"/>
                </w:rPr>
                <w:t>Amended and Restated Bylaws of Matador Resources Company, as amended (incorporated by reference to Exhibit 3.1 to the Current Report on Form 8-K filed on February 22, 2018).</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Third Supplemental Indenture, dated as of July 25, 2023, by and among MRC Hat Mesa, LLC, a subsidiary of the Company, the existing Guarantor Subsidiaries, the Company and Computershare Trust Company, N.A., as trustee (incorporated by reference to Exhibit 4.2 to the Quarterly Report on Form 10-Q for the quarter ended June 30,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First Supplemental Indenture, dated as of July 25, 2023, by and among MRC Hat Mesa, LLC, a subsidiary of the Company, the existing Guarantor Subsidiaries, the Company and Computershare Trust Company, N.A., as trustee (</w:t>
              </w:r>
            </w:hyperlink>
            <w:hyperlink r:id="rId9">
              <w:r>
                <w:rPr>
                  <w:rStyle w:val="InternetLink"/>
                  <w:rFonts w:ascii="Times New Roman;sans-serif" w:hAnsi="Times New Roman;sans-serif"/>
                  <w:b w:val="false"/>
                  <w:color w:val="000080"/>
                  <w:sz w:val="20"/>
                  <w:u w:val="single"/>
                </w:rPr>
                <w:t>incorporated by reference to Exhibit 4.</w:t>
              </w:r>
            </w:hyperlink>
            <w:hyperlink r:id="rId10">
              <w:r>
                <w:rPr>
                  <w:rStyle w:val="InternetLink"/>
                  <w:rFonts w:ascii="Times New Roman;sans-serif" w:hAnsi="Times New Roman;sans-serif"/>
                  <w:b w:val="false"/>
                  <w:color w:val="000080"/>
                  <w:sz w:val="20"/>
                  <w:u w:val="single"/>
                </w:rPr>
                <w:t>3</w:t>
              </w:r>
            </w:hyperlink>
            <w:hyperlink r:id="rId11">
              <w:r>
                <w:rPr>
                  <w:rStyle w:val="InternetLink"/>
                  <w:rFonts w:ascii="Times New Roman;sans-serif" w:hAnsi="Times New Roman;sans-serif"/>
                  <w:b w:val="false"/>
                  <w:color w:val="000080"/>
                  <w:sz w:val="20"/>
                  <w:u w:val="single"/>
                </w:rPr>
                <w:t xml:space="preserve"> to the Quarterly Report on Form 10-Q for the quarter ended June 30, 2023</w:t>
              </w:r>
            </w:hyperlink>
            <w:hyperlink r:id="rId12">
              <w:r>
                <w:rPr>
                  <w:rStyle w:val="InternetLink"/>
                  <w:rFonts w:ascii="Times New Roman;sans-serif" w:hAnsi="Times New Roman;sans-serif"/>
                  <w:b w:val="false"/>
                  <w:color w:val="000080"/>
                  <w:sz w:val="20"/>
                  <w:u w:val="single"/>
                </w:rPr>
                <w:t>)</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Fourth Amendment to Fourth Amended and Restated Credit Agreement, dated as of October 19, 2023, by and among MRC Energy Company, as Borrower, the Lenders party thereto and Truist Bank, as Administrative Agent for the Lenders (incorporated by reference to Exhibit 10.1 to the Current Report on Form 8-K filed on October 19, 2023).</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mtdr10qex221.htm">
              <w:r>
                <w:rPr>
                  <w:rStyle w:val="InternetLink"/>
                  <w:rFonts w:ascii="Times New Roman;sans-serif" w:hAnsi="Times New Roman;sans-serif"/>
                  <w:b w:val="false"/>
                  <w:color w:val="0000FF"/>
                  <w:sz w:val="20"/>
                  <w:u w:val="single"/>
                </w:rPr>
                <w:t>List of Subsidiary Guarantors (filed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mtdr10qex311.htm">
              <w:r>
                <w:rPr>
                  <w:rStyle w:val="InternetLink"/>
                  <w:rFonts w:ascii="Times New Roman;sans-serif" w:hAnsi="Times New Roman;sans-serif"/>
                  <w:b w:val="false"/>
                  <w:color w:val="0000FF"/>
                  <w:sz w:val="20"/>
                  <w:u w:val="single"/>
                </w:rPr>
                <w:t>Certification of Principal Executive Officer pursuant to Section 302 of the Sarbanes-Oxley Act of 2002 (filed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mtdr10qex312.htm">
              <w:r>
                <w:rPr>
                  <w:rStyle w:val="InternetLink"/>
                  <w:rFonts w:ascii="Times New Roman;sans-serif" w:hAnsi="Times New Roman;sans-serif"/>
                  <w:b w:val="false"/>
                  <w:color w:val="0000FF"/>
                  <w:sz w:val="20"/>
                  <w:u w:val="single"/>
                </w:rPr>
                <w:t>Certification of Principal Financial Officer pursuant to Section 302 of the Sarbanes-Oxley Act of 2002 (filed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mtdr10qex32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 (furnished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30930mtdr10qex322.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 (furnished herewith).</w:t>
              </w:r>
            </w:hyperlink>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financial information from Matador Resources Company’s Quarterly Report on Form 10-Q for the quarter ended September 30, 2023, formatted in Inline XBRL (Inline eXtensible Business Reporting Language): (i) the Condensed Consolidated Balance Sheets - Unaudited, (ii) the Condensed Consolidated Statements of Operations - Unaudited, (iii) the Condensed Consolidated Statements of Changes in Shareholders’ Equity - Unaudited, (iv) the Condensed Consolidated Statements of Cash Flows - Unaudited and (v) the Notes to Condensed Consolidated Financial Statements - Unaudited (submitted electronically herewith).</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(included as Exhibit 101).</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99" w:type="dxa"/>
            <w:gridSpan w:val="3"/>
            <w:tcBorders/>
            <w:vAlign w:val="center"/>
          </w:tcPr>
          <w:p>
            <w:pPr>
              <w:pStyle w:val="TableContents"/>
              <w:bidi w:val="0"/>
              <w:spacing w:before="0" w:after="283"/>
              <w:jc w:val="left"/>
              <w:rPr>
                <w:sz w:val="4"/>
                <w:szCs w:val="4"/>
              </w:rPr>
            </w:pPr>
            <w:r>
              <w:rPr>
                <w:sz w:val="4"/>
                <w:szCs w:val="4"/>
              </w:rPr>
            </w:r>
          </w:p>
        </w:tc>
        <w:tc>
          <w:tcPr>
            <w:tcW w:w="373" w:type="dxa"/>
            <w:gridSpan w:val="3"/>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filing excludes certain schedules and exhibits pursuant to Item 601(a)(5) of Regulation S-K, which the registrant agrees to furnish supplementally to the Securities and Exchange Commission upon request by the Commission; provided, however, that the registrant may request confidential treatment pursuant to Rule 24b-2 of the Securities Exchange Act of 1934, as amended, for any schedules or exhibits so furnished.</w:t>
            </w:r>
          </w:p>
        </w:tc>
        <w:tc>
          <w:tcPr>
            <w:tcW w:w="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6039"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964"/>
        <w:gridCol w:w="964"/>
        <w:gridCol w:w="1371"/>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RESOURCES COMPANY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r>
          </w:p>
        </w:tc>
      </w:tr>
    </w:tbl>
    <w:tbl>
      <w:tblPr>
        <w:tblW w:w="7224" w:type="dxa"/>
        <w:jc w:val="right"/>
        <w:tblInd w:w="0" w:type="dxa"/>
        <w:tblLayout w:type="fixed"/>
        <w:tblCellMar>
          <w:top w:w="28" w:type="dxa"/>
          <w:left w:w="28" w:type="dxa"/>
          <w:bottom w:w="28" w:type="dxa"/>
          <w:right w:w="28" w:type="dxa"/>
        </w:tblCellMar>
      </w:tblPr>
      <w:tblGrid>
        <w:gridCol w:w="726"/>
        <w:gridCol w:w="640"/>
        <w:gridCol w:w="643"/>
        <w:gridCol w:w="134"/>
        <w:gridCol w:w="134"/>
        <w:gridCol w:w="136"/>
        <w:gridCol w:w="109"/>
        <w:gridCol w:w="109"/>
        <w:gridCol w:w="109"/>
        <w:gridCol w:w="1308"/>
        <w:gridCol w:w="1308"/>
        <w:gridCol w:w="1868"/>
      </w:tblGrid>
      <w:tr>
        <w:trPr/>
        <w:tc>
          <w:tcPr>
            <w:tcW w:w="726"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October 27, 2023</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r>
      <w:tr>
        <w:trPr/>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Executive Vice President and Chief Financial Officer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22.1</w:t>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333" w:before="100" w:after="100"/>
        <w:jc w:val="center"/>
        <w:rPr>
          <w:rFonts w:ascii="Times New Roman;sans-serif" w:hAnsi="Times New Roman;sans-serif"/>
          <w:b/>
          <w:color w:val="000000"/>
          <w:sz w:val="20"/>
        </w:rPr>
      </w:pPr>
      <w:r>
        <w:rPr>
          <w:rFonts w:ascii="Times New Roman;sans-serif" w:hAnsi="Times New Roman;sans-serif"/>
          <w:b/>
          <w:color w:val="000000"/>
          <w:sz w:val="20"/>
        </w:rPr>
        <w:t>List of Subsidiary Guarantors</w:t>
      </w:r>
    </w:p>
    <w:p>
      <w:pPr>
        <w:pStyle w:val="TextBody"/>
        <w:bidi w:val="0"/>
        <w:spacing w:lineRule="auto" w:line="333" w:before="100" w:after="10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following subsidiaries of Matador Resources Company (the “Company”) were guarantors of the Company’s 5.875% Senior Notes due 2026.</w:t>
      </w:r>
    </w:p>
    <w:tbl>
      <w:tblPr>
        <w:tblW w:w="5727" w:type="dxa"/>
        <w:jc w:val="left"/>
        <w:tblInd w:w="0" w:type="dxa"/>
        <w:tblLayout w:type="fixed"/>
        <w:tblCellMar>
          <w:top w:w="28" w:type="dxa"/>
          <w:left w:w="28" w:type="dxa"/>
          <w:bottom w:w="28" w:type="dxa"/>
          <w:right w:w="28" w:type="dxa"/>
        </w:tblCellMar>
      </w:tblPr>
      <w:tblGrid>
        <w:gridCol w:w="1568"/>
        <w:gridCol w:w="1370"/>
        <w:gridCol w:w="1396"/>
        <w:gridCol w:w="109"/>
        <w:gridCol w:w="109"/>
        <w:gridCol w:w="109"/>
        <w:gridCol w:w="312"/>
        <w:gridCol w:w="312"/>
        <w:gridCol w:w="442"/>
      </w:tblGrid>
      <w:tr>
        <w:trPr/>
        <w:tc>
          <w:tcPr>
            <w:tcW w:w="1568"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Jurisdiction</w:t>
            </w:r>
          </w:p>
        </w:tc>
      </w:tr>
      <w:tr>
        <w:trPr/>
        <w:tc>
          <w:tcPr>
            <w:tcW w:w="43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GP,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Gathering and Disposal Systems, LP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Delaware,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Holdings,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Southeast,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Longwood Midstream South Texas,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Matador Production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Delaware Resources,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Southeast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Energy South Texas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Hat Mesa,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Permian LKE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MRC Rockies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Southeast Water Management Company,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Texas</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WR Permian, LLC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Joseph Wm. Foran,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2023</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Brian J. Willey, certify that: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Matador Resources Company;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00" w:after="283"/>
        <w:ind w:left="0" w:right="0" w:firstLine="990"/>
        <w:jc w:val="left"/>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tbl>
      <w:tblPr>
        <w:tblW w:w="5966" w:type="dxa"/>
        <w:jc w:val="left"/>
        <w:tblInd w:w="0" w:type="dxa"/>
        <w:tblLayout w:type="fixed"/>
        <w:tblCellMar>
          <w:top w:w="28" w:type="dxa"/>
          <w:left w:w="28" w:type="dxa"/>
          <w:bottom w:w="28" w:type="dxa"/>
          <w:right w:w="28" w:type="dxa"/>
        </w:tblCellMar>
      </w:tblPr>
      <w:tblGrid>
        <w:gridCol w:w="553"/>
        <w:gridCol w:w="487"/>
        <w:gridCol w:w="489"/>
        <w:gridCol w:w="898"/>
        <w:gridCol w:w="898"/>
        <w:gridCol w:w="898"/>
        <w:gridCol w:w="510"/>
        <w:gridCol w:w="510"/>
        <w:gridCol w:w="723"/>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2023</w:t>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17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 xml:space="preserve">(Principal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September 30, 2023 as filed with the Securities and Exchange Commission on the date hereof (the “Form 10-Q”), I, Joseph Wm. Foran, hereby certify in my capacity as Chairman and Chief Executive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110" w:type="dxa"/>
        <w:jc w:val="left"/>
        <w:tblInd w:w="0" w:type="dxa"/>
        <w:tblLayout w:type="fixed"/>
        <w:tblCellMar>
          <w:top w:w="28" w:type="dxa"/>
          <w:left w:w="28" w:type="dxa"/>
          <w:bottom w:w="28" w:type="dxa"/>
          <w:right w:w="28" w:type="dxa"/>
        </w:tblCellMar>
      </w:tblPr>
      <w:tblGrid>
        <w:gridCol w:w="553"/>
        <w:gridCol w:w="487"/>
        <w:gridCol w:w="489"/>
        <w:gridCol w:w="1068"/>
        <w:gridCol w:w="1068"/>
        <w:gridCol w:w="1073"/>
        <w:gridCol w:w="109"/>
        <w:gridCol w:w="109"/>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2023</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Joseph Wm. Foran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and Chief Executive Officer</w:t>
              <w:br/>
              <w:t>(Principal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2" name="Frame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CERTIFICATION PURSUANT TO 18 U.S.C. SECTION 1350,</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OF THE SARBANES-OXLEY ACT OF 2002</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Matador Resources Company (the “Company”) on Form 10-Q for the period ended September 30, 2023 as filed with the Securities and Exchange Commission on the date hereof (the “Form 10-Q”), I, Brian J. Willey, hereby certify in my capacity as Executive Vice President and Chief Financial Officer of the Company, pursuant to 18 U.S.C. § 1350, as adopted pursuant to § 906 of the Sarbanes-Oxley Act of 2002, that to the best of my knowledge:</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 The Form 10-Q fully complies with the requirements of Section 13(a) or 15(d) of the Securities Exchange Act of 1934; and</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 The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5967" w:type="dxa"/>
        <w:jc w:val="left"/>
        <w:tblInd w:w="0" w:type="dxa"/>
        <w:tblLayout w:type="fixed"/>
        <w:tblCellMar>
          <w:top w:w="28" w:type="dxa"/>
          <w:left w:w="28" w:type="dxa"/>
          <w:bottom w:w="28" w:type="dxa"/>
          <w:right w:w="28" w:type="dxa"/>
        </w:tblCellMar>
      </w:tblPr>
      <w:tblGrid>
        <w:gridCol w:w="553"/>
        <w:gridCol w:w="487"/>
        <w:gridCol w:w="489"/>
        <w:gridCol w:w="1193"/>
        <w:gridCol w:w="1193"/>
        <w:gridCol w:w="1198"/>
        <w:gridCol w:w="250"/>
        <w:gridCol w:w="250"/>
        <w:gridCol w:w="354"/>
      </w:tblGrid>
      <w:tr>
        <w:trPr/>
        <w:tc>
          <w:tcPr>
            <w:tcW w:w="5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October 27, 2023</w:t>
            </w:r>
          </w:p>
        </w:tc>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Brian J. Willey</w:t>
            </w:r>
          </w:p>
        </w:tc>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and Chief Financial Officer</w:t>
              <w:br/>
              <w:t>(Principal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3"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0006/000119312523013640/d428449dex21.htm" TargetMode="External"/><Relationship Id="rId3" Type="http://schemas.openxmlformats.org/officeDocument/2006/relationships/hyperlink" Target="http://www.sec.gov/Archives/edgar/data/1520006/000152000617000188/a20170630mtdr10q-exhibit32.htm" TargetMode="External"/><Relationship Id="rId4" Type="http://schemas.openxmlformats.org/officeDocument/2006/relationships/hyperlink" Target="http://www.sec.gov/Archives/edgar/data/1520006/000152000617000188/a20170630mtdr10q-exhibit33.htm" TargetMode="External"/><Relationship Id="rId5" Type="http://schemas.openxmlformats.org/officeDocument/2006/relationships/hyperlink" Target="http://www.sec.gov/Archives/edgar/data/1520006/000152000617000188/a20170630mtdr10q-exhibit34.htm" TargetMode="External"/><Relationship Id="rId6" Type="http://schemas.openxmlformats.org/officeDocument/2006/relationships/hyperlink" Target="http://www.sec.gov/Archives/edgar/data/1520006/000152000618000051/a20171231mtdr8k-amendedbyl.htm" TargetMode="External"/><Relationship Id="rId7" Type="http://schemas.openxmlformats.org/officeDocument/2006/relationships/hyperlink" Target="http://www.sec.gov/Archives/edgar/data/1520006/000152000623000174/a20230630mtdr10qex42.htm" TargetMode="External"/><Relationship Id="rId8" Type="http://schemas.openxmlformats.org/officeDocument/2006/relationships/hyperlink" Target="http://www.sec.gov/Archives/edgar/data/1520006/000152000623000174/a20230630mtdr10qex43.htm" TargetMode="External"/><Relationship Id="rId9" Type="http://schemas.openxmlformats.org/officeDocument/2006/relationships/hyperlink" Target="http://www.sec.gov/Archives/edgar/data/1520006/000152000623000174/a20230630mtdr10qex43.htm" TargetMode="External"/><Relationship Id="rId10" Type="http://schemas.openxmlformats.org/officeDocument/2006/relationships/hyperlink" Target="http://www.sec.gov/Archives/edgar/data/1520006/000152000623000174/a20230630mtdr10qex43.htm" TargetMode="External"/><Relationship Id="rId11" Type="http://schemas.openxmlformats.org/officeDocument/2006/relationships/hyperlink" Target="http://www.sec.gov/Archives/edgar/data/1520006/000152000623000174/a20230630mtdr10qex43.htm" TargetMode="External"/><Relationship Id="rId12" Type="http://schemas.openxmlformats.org/officeDocument/2006/relationships/hyperlink" Target="http://www.sec.gov/Archives/edgar/data/1520006/000152000623000174/a20230630mtdr10qex43.htm" TargetMode="External"/><Relationship Id="rId13" Type="http://schemas.openxmlformats.org/officeDocument/2006/relationships/hyperlink" Target="http://www.sec.gov/Archives/edgar/data/1520006/000152000623000188/a20231019mtdr8kex101.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28872</Words>
  <Characters>161624</Characters>
  <CharactersWithSpaces>189132</CharactersWithSpaces>
  <Paragraphs>3363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